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ARKUSZ ODPOWIEDZI — BANK KAZUSÓW WIELOASPEKTOWYCH</w:t>
      </w:r>
    </w:p>
    <w:p>
      <w:pPr>
        <w:spacing w:after="140"/>
      </w:pPr>
      <w:r>
        <w:rPr>
          <w:b/>
          <w:bCs/>
          <w:i w:val="false"/>
          <w:iCs w:val="false"/>
        </w:rPr>
        <w:t xml:space="preserve">Partia P5 — kazusy PL-06 i PL-07 (domknięcie banku)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F3864" w:color="auto" w:val="clear"/>
            <w:tcMar>
              <w:top w:type="dxa" w:w="60"/>
              <w:left w:type="dxa" w:w="90"/>
              <w:bottom w:type="dxa" w:w="60"/>
              <w:right w:type="dxa" w:w="90"/>
            </w:tcMar>
          </w:tcPr>
          <w:p>
            <w:pPr>
              <w:spacing w:after="20"/>
            </w:pPr>
            <w:r>
              <w:rPr>
                <w:b/>
                <w:bCs/>
                <w:color w:val="FFFFFF"/>
                <w:sz w:val="19"/>
                <w:szCs w:val="19"/>
              </w:rPr>
              <w:t xml:space="preserve">Pole</w:t>
            </w:r>
          </w:p>
        </w:tc>
        <w:tc>
          <w:tcPr>
            <w:tcW w:type="dxa" w:w="6600"/>
            <w:shd w:fill="1F3864" w:color="auto" w:val="clear"/>
            <w:tcMar>
              <w:top w:type="dxa" w:w="60"/>
              <w:left w:type="dxa" w:w="90"/>
              <w:bottom w:type="dxa" w:w="60"/>
              <w:right w:type="dxa" w:w="90"/>
            </w:tcMar>
          </w:tcPr>
          <w:p>
            <w:pPr>
              <w:spacing w:after="20"/>
            </w:pPr>
            <w:r>
              <w:rPr>
                <w:b/>
                <w:bCs/>
                <w:color w:val="FFFFFF"/>
                <w:sz w:val="19"/>
                <w:szCs w:val="19"/>
              </w:rPr>
              <w:t xml:space="preserve">Wartość</w:t>
            </w:r>
          </w:p>
        </w:tc>
      </w:tr>
      <w:tr>
        <w:tc>
          <w:tcPr>
            <w:tcW w:type="dxa" w:w="2400"/>
            <w:tcMar>
              <w:top w:type="dxa" w:w="60"/>
              <w:left w:type="dxa" w:w="90"/>
              <w:bottom w:type="dxa" w:w="60"/>
              <w:right w:type="dxa" w:w="90"/>
            </w:tcMar>
          </w:tcPr>
          <w:p>
            <w:pPr>
              <w:spacing w:after="20"/>
            </w:pPr>
            <w:r>
              <w:rPr>
                <w:b w:val="false"/>
                <w:bCs w:val="false"/>
                <w:sz w:val="19"/>
                <w:szCs w:val="19"/>
              </w:rPr>
              <w:t xml:space="preserve">Narzędzie</w:t>
            </w:r>
          </w:p>
        </w:tc>
        <w:tc>
          <w:tcPr>
            <w:tcW w:type="dxa" w:w="6600"/>
            <w:tcMar>
              <w:top w:type="dxa" w:w="60"/>
              <w:left w:type="dxa" w:w="90"/>
              <w:bottom w:type="dxa" w:w="60"/>
              <w:right w:type="dxa" w:w="90"/>
            </w:tcMar>
          </w:tcPr>
          <w:p>
            <w:pPr>
              <w:spacing w:after="20"/>
            </w:pPr>
            <w:r>
              <w:rPr>
                <w:b w:val="false"/>
                <w:bCs w:val="false"/>
                <w:sz w:val="19"/>
                <w:szCs w:val="19"/>
              </w:rPr>
              <w:t xml:space="preserve">Claude Opus 5 (Anthropic), tryb high</w:t>
            </w:r>
          </w:p>
        </w:tc>
      </w:tr>
      <w:tr>
        <w:tc>
          <w:tcPr>
            <w:tcW w:type="dxa" w:w="2400"/>
            <w:tcMar>
              <w:top w:type="dxa" w:w="60"/>
              <w:left w:type="dxa" w:w="90"/>
              <w:bottom w:type="dxa" w:w="60"/>
              <w:right w:type="dxa" w:w="90"/>
            </w:tcMar>
          </w:tcPr>
          <w:p>
            <w:pPr>
              <w:spacing w:after="20"/>
            </w:pPr>
            <w:r>
              <w:rPr>
                <w:b w:val="false"/>
                <w:bCs w:val="false"/>
                <w:sz w:val="19"/>
                <w:szCs w:val="19"/>
              </w:rPr>
              <w:t xml:space="preserve">System</w:t>
            </w:r>
          </w:p>
        </w:tc>
        <w:tc>
          <w:tcPr>
            <w:tcW w:type="dxa" w:w="6600"/>
            <w:tcMar>
              <w:top w:type="dxa" w:w="60"/>
              <w:left w:type="dxa" w:w="90"/>
              <w:bottom w:type="dxa" w:w="60"/>
              <w:right w:type="dxa" w:w="90"/>
            </w:tcMar>
          </w:tcPr>
          <w:p>
            <w:pPr>
              <w:spacing w:after="20"/>
            </w:pPr>
            <w:r>
              <w:rPr>
                <w:b w:val="false"/>
                <w:bCs w:val="false"/>
                <w:sz w:val="19"/>
                <w:szCs w:val="19"/>
              </w:rPr>
              <w:t xml:space="preserve">prawny-router-v3 v3.37 (Lex Machina)</w:t>
            </w:r>
          </w:p>
        </w:tc>
      </w:tr>
      <w:tr>
        <w:tc>
          <w:tcPr>
            <w:tcW w:type="dxa" w:w="2400"/>
            <w:tcMar>
              <w:top w:type="dxa" w:w="60"/>
              <w:left w:type="dxa" w:w="90"/>
              <w:bottom w:type="dxa" w:w="60"/>
              <w:right w:type="dxa" w:w="90"/>
            </w:tcMar>
          </w:tcPr>
          <w:p>
            <w:pPr>
              <w:spacing w:after="20"/>
            </w:pPr>
            <w:r>
              <w:rPr>
                <w:b w:val="false"/>
                <w:bCs w:val="false"/>
                <w:sz w:val="19"/>
                <w:szCs w:val="19"/>
              </w:rPr>
              <w:t xml:space="preserve">Data opracowania</w:t>
            </w:r>
          </w:p>
        </w:tc>
        <w:tc>
          <w:tcPr>
            <w:tcW w:type="dxa" w:w="6600"/>
            <w:tcMar>
              <w:top w:type="dxa" w:w="60"/>
              <w:left w:type="dxa" w:w="90"/>
              <w:bottom w:type="dxa" w:w="60"/>
              <w:right w:type="dxa" w:w="90"/>
            </w:tcMar>
          </w:tcPr>
          <w:p>
            <w:pPr>
              <w:spacing w:after="20"/>
            </w:pPr>
            <w:r>
              <w:rPr>
                <w:b w:val="false"/>
                <w:bCs w:val="false"/>
                <w:sz w:val="19"/>
                <w:szCs w:val="19"/>
              </w:rPr>
              <w:t xml:space="preserve">2026-09-02</w:t>
            </w:r>
          </w:p>
        </w:tc>
      </w:tr>
      <w:tr>
        <w:tc>
          <w:tcPr>
            <w:tcW w:type="dxa" w:w="2400"/>
            <w:tcMar>
              <w:top w:type="dxa" w:w="60"/>
              <w:left w:type="dxa" w:w="90"/>
              <w:bottom w:type="dxa" w:w="60"/>
              <w:right w:type="dxa" w:w="90"/>
            </w:tcMar>
          </w:tcPr>
          <w:p>
            <w:pPr>
              <w:spacing w:after="20"/>
            </w:pPr>
            <w:r>
              <w:rPr>
                <w:b w:val="false"/>
                <w:bCs w:val="false"/>
                <w:sz w:val="19"/>
                <w:szCs w:val="19"/>
              </w:rPr>
              <w:t xml:space="preserve">Materiał źródłowy</w:t>
            </w:r>
          </w:p>
        </w:tc>
        <w:tc>
          <w:tcPr>
            <w:tcW w:type="dxa" w:w="6600"/>
            <w:tcMar>
              <w:top w:type="dxa" w:w="60"/>
              <w:left w:type="dxa" w:w="90"/>
              <w:bottom w:type="dxa" w:w="60"/>
              <w:right w:type="dxa" w:w="90"/>
            </w:tcMar>
          </w:tcPr>
          <w:p>
            <w:pPr>
              <w:spacing w:after="20"/>
            </w:pPr>
            <w:r>
              <w:rPr>
                <w:b w:val="false"/>
                <w:bCs w:val="false"/>
                <w:sz w:val="19"/>
                <w:szCs w:val="19"/>
              </w:rPr>
              <w:t xml:space="preserve">Baza_kazusow_wieloaspektowych.docx (14 kazusów)</w:t>
            </w:r>
          </w:p>
        </w:tc>
      </w:tr>
      <w:tr>
        <w:tc>
          <w:tcPr>
            <w:tcW w:type="dxa" w:w="2400"/>
            <w:tcMar>
              <w:top w:type="dxa" w:w="60"/>
              <w:left w:type="dxa" w:w="90"/>
              <w:bottom w:type="dxa" w:w="60"/>
              <w:right w:type="dxa" w:w="90"/>
            </w:tcMar>
          </w:tcPr>
          <w:p>
            <w:pPr>
              <w:spacing w:after="20"/>
            </w:pPr>
            <w:r>
              <w:rPr>
                <w:b w:val="false"/>
                <w:bCs w:val="false"/>
                <w:sz w:val="19"/>
                <w:szCs w:val="19"/>
              </w:rPr>
              <w:t xml:space="preserve">Zakres tego pliku</w:t>
            </w:r>
          </w:p>
        </w:tc>
        <w:tc>
          <w:tcPr>
            <w:tcW w:type="dxa" w:w="6600"/>
            <w:tcMar>
              <w:top w:type="dxa" w:w="60"/>
              <w:left w:type="dxa" w:w="90"/>
              <w:bottom w:type="dxa" w:w="60"/>
              <w:right w:type="dxa" w:w="90"/>
            </w:tcMar>
          </w:tcPr>
          <w:p>
            <w:pPr>
              <w:spacing w:after="20"/>
            </w:pPr>
            <w:r>
              <w:rPr>
                <w:b w:val="false"/>
                <w:bCs w:val="false"/>
                <w:sz w:val="19"/>
                <w:szCs w:val="19"/>
              </w:rPr>
              <w:t xml:space="preserve">PL-06 „Karuzela, faktoring i milczący zarząd”, PL-07 „Deepfake w wyborach samorządowych”</w:t>
            </w:r>
          </w:p>
        </w:tc>
      </w:tr>
      <w:tr>
        <w:tc>
          <w:tcPr>
            <w:tcW w:type="dxa" w:w="2400"/>
            <w:tcMar>
              <w:top w:type="dxa" w:w="60"/>
              <w:left w:type="dxa" w:w="90"/>
              <w:bottom w:type="dxa" w:w="60"/>
              <w:right w:type="dxa" w:w="90"/>
            </w:tcMar>
          </w:tcPr>
          <w:p>
            <w:pPr>
              <w:spacing w:after="20"/>
            </w:pPr>
            <w:r>
              <w:rPr>
                <w:b w:val="false"/>
                <w:bCs w:val="false"/>
                <w:sz w:val="19"/>
                <w:szCs w:val="19"/>
              </w:rPr>
              <w:t xml:space="preserve">Reżim weryfikacji</w:t>
            </w:r>
          </w:p>
        </w:tc>
        <w:tc>
          <w:tcPr>
            <w:tcW w:type="dxa" w:w="6600"/>
            <w:tcMar>
              <w:top w:type="dxa" w:w="60"/>
              <w:left w:type="dxa" w:w="90"/>
              <w:bottom w:type="dxa" w:w="60"/>
              <w:right w:type="dxa" w:w="90"/>
            </w:tcMar>
          </w:tcPr>
          <w:p>
            <w:pPr>
              <w:spacing w:after="20"/>
            </w:pPr>
            <w:r>
              <w:rPr>
                <w:b w:val="false"/>
                <w:bCs w:val="false"/>
                <w:sz w:val="19"/>
                <w:szCs w:val="19"/>
              </w:rPr>
              <w:t xml:space="preserve">HARD GATE aktywny; teksty jednolite pobrane z api.sejm.gov.pl (ELI) — RZĄD 1; DSA i AI Act z EUR-Lex / ec.europa.eu — RZĄD 1</w:t>
            </w:r>
          </w:p>
        </w:tc>
      </w:tr>
      <w:tr>
        <w:tc>
          <w:tcPr>
            <w:tcW w:type="dxa" w:w="2400"/>
            <w:tcMar>
              <w:top w:type="dxa" w:w="60"/>
              <w:left w:type="dxa" w:w="90"/>
              <w:bottom w:type="dxa" w:w="60"/>
              <w:right w:type="dxa" w:w="90"/>
            </w:tcMar>
          </w:tcPr>
          <w:p>
            <w:pPr>
              <w:spacing w:after="20"/>
            </w:pPr>
            <w:r>
              <w:rPr>
                <w:b w:val="false"/>
                <w:bCs w:val="false"/>
                <w:sz w:val="19"/>
                <w:szCs w:val="19"/>
              </w:rPr>
              <w:t xml:space="preserve">Tryb</w:t>
            </w:r>
          </w:p>
        </w:tc>
        <w:tc>
          <w:tcPr>
            <w:tcW w:type="dxa" w:w="6600"/>
            <w:tcMar>
              <w:top w:type="dxa" w:w="60"/>
              <w:left w:type="dxa" w:w="90"/>
              <w:bottom w:type="dxa" w:w="60"/>
              <w:right w:type="dxa" w:w="90"/>
            </w:tcMar>
          </w:tcPr>
          <w:p>
            <w:pPr>
              <w:spacing w:after="20"/>
            </w:pPr>
            <w:r>
              <w:rPr>
                <w:b w:val="false"/>
                <w:bCs w:val="false"/>
                <w:sz w:val="19"/>
                <w:szCs w:val="19"/>
              </w:rPr>
              <w:t xml:space="preserve">PRAWNIK; PRIMARY: analiza-sadowa-v6; kwalifikator karnomaterialny aktywny (UP-3)</w:t>
            </w:r>
          </w:p>
        </w:tc>
      </w:tr>
      <w:tr>
        <w:tc>
          <w:tcPr>
            <w:tcW w:type="dxa" w:w="2400"/>
            <w:tcMar>
              <w:top w:type="dxa" w:w="60"/>
              <w:left w:type="dxa" w:w="90"/>
              <w:bottom w:type="dxa" w:w="60"/>
              <w:right w:type="dxa" w:w="90"/>
            </w:tcMar>
          </w:tcPr>
          <w:p>
            <w:pPr>
              <w:spacing w:after="20"/>
            </w:pPr>
            <w:r>
              <w:rPr>
                <w:b w:val="false"/>
                <w:bCs w:val="false"/>
                <w:sz w:val="19"/>
                <w:szCs w:val="19"/>
              </w:rPr>
              <w:t xml:space="preserve">Aneks</w:t>
            </w:r>
          </w:p>
        </w:tc>
        <w:tc>
          <w:tcPr>
            <w:tcW w:type="dxa" w:w="6600"/>
            <w:tcMar>
              <w:top w:type="dxa" w:w="60"/>
              <w:left w:type="dxa" w:w="90"/>
              <w:bottom w:type="dxa" w:w="60"/>
              <w:right w:type="dxa" w:w="90"/>
            </w:tcMar>
          </w:tcPr>
          <w:p>
            <w:pPr>
              <w:spacing w:after="20"/>
            </w:pPr>
            <w:r>
              <w:rPr>
                <w:b w:val="false"/>
                <w:bCs w:val="false"/>
                <w:sz w:val="19"/>
                <w:szCs w:val="19"/>
              </w:rPr>
              <w:t xml:space="preserve">Aneks weryfikacyjny A-1 – A-3 domyka warstwę unijną: orzecznictwo TSUE (C-281/20 Ferimet) dla PL-06 oraz rozporządzenie (UE) 2026/1744 (Digital Omnibus on AI) dla PL-07</w:t>
            </w:r>
          </w:p>
        </w:tc>
      </w:tr>
    </w:tbl>
    <w:p>
      <w:pPr>
        <w:pStyle w:val="Heading2"/>
        <w:spacing w:after="140" w:before="300"/>
      </w:pPr>
      <w:r>
        <w:t xml:space="preserve">Ślad routingu (KROK 3A)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F3864" w:color="auto" w:val="clear"/>
            <w:tcMar>
              <w:top w:type="dxa" w:w="60"/>
              <w:left w:type="dxa" w:w="90"/>
              <w:bottom w:type="dxa" w:w="60"/>
              <w:right w:type="dxa" w:w="90"/>
            </w:tcMar>
          </w:tcPr>
          <w:p>
            <w:pPr>
              <w:spacing w:after="20"/>
            </w:pPr>
            <w:r>
              <w:rPr>
                <w:b/>
                <w:bCs/>
                <w:color w:val="FFFFFF"/>
                <w:sz w:val="19"/>
                <w:szCs w:val="19"/>
              </w:rPr>
              <w:t xml:space="preserve">Pozycja</w:t>
            </w:r>
          </w:p>
        </w:tc>
        <w:tc>
          <w:tcPr>
            <w:tcW w:type="dxa" w:w="6600"/>
            <w:shd w:fill="1F3864" w:color="auto" w:val="clear"/>
            <w:tcMar>
              <w:top w:type="dxa" w:w="60"/>
              <w:left w:type="dxa" w:w="90"/>
              <w:bottom w:type="dxa" w:w="60"/>
              <w:right w:type="dxa" w:w="90"/>
            </w:tcMar>
          </w:tcPr>
          <w:p>
            <w:pPr>
              <w:spacing w:after="20"/>
            </w:pPr>
            <w:r>
              <w:rPr>
                <w:b/>
                <w:bCs/>
                <w:color w:val="FFFFFF"/>
                <w:sz w:val="19"/>
                <w:szCs w:val="19"/>
              </w:rPr>
              <w:t xml:space="preserve">Wartość</w:t>
            </w:r>
          </w:p>
        </w:tc>
      </w:tr>
      <w:tr>
        <w:tc>
          <w:tcPr>
            <w:tcW w:type="dxa" w:w="2400"/>
            <w:tcMar>
              <w:top w:type="dxa" w:w="60"/>
              <w:left w:type="dxa" w:w="90"/>
              <w:bottom w:type="dxa" w:w="60"/>
              <w:right w:type="dxa" w:w="90"/>
            </w:tcMar>
          </w:tcPr>
          <w:p>
            <w:pPr>
              <w:spacing w:after="20"/>
            </w:pPr>
            <w:r>
              <w:rPr>
                <w:b w:val="false"/>
                <w:bCs w:val="false"/>
                <w:sz w:val="19"/>
                <w:szCs w:val="19"/>
              </w:rPr>
              <w:t xml:space="preserve">TRYB</w:t>
            </w:r>
          </w:p>
        </w:tc>
        <w:tc>
          <w:tcPr>
            <w:tcW w:type="dxa" w:w="6600"/>
            <w:tcMar>
              <w:top w:type="dxa" w:w="60"/>
              <w:left w:type="dxa" w:w="90"/>
              <w:bottom w:type="dxa" w:w="60"/>
              <w:right w:type="dxa" w:w="90"/>
            </w:tcMar>
          </w:tcPr>
          <w:p>
            <w:pPr>
              <w:spacing w:after="20"/>
            </w:pPr>
            <w:r>
              <w:rPr>
                <w:b w:val="false"/>
                <w:bCs w:val="false"/>
                <w:sz w:val="19"/>
                <w:szCs w:val="19"/>
              </w:rPr>
              <w:t xml:space="preserve">PRAWNIK — materiał operuje terminologią ustawową i pyta o kwalifikację</w:t>
            </w:r>
          </w:p>
        </w:tc>
      </w:tr>
      <w:tr>
        <w:tc>
          <w:tcPr>
            <w:tcW w:type="dxa" w:w="2400"/>
            <w:tcMar>
              <w:top w:type="dxa" w:w="60"/>
              <w:left w:type="dxa" w:w="90"/>
              <w:bottom w:type="dxa" w:w="60"/>
              <w:right w:type="dxa" w:w="90"/>
            </w:tcMar>
          </w:tcPr>
          <w:p>
            <w:pPr>
              <w:spacing w:after="20"/>
            </w:pPr>
            <w:r>
              <w:rPr>
                <w:b w:val="false"/>
                <w:bCs w:val="false"/>
                <w:sz w:val="19"/>
                <w:szCs w:val="19"/>
              </w:rPr>
              <w:t xml:space="preserve">PRIMARY</w:t>
            </w:r>
          </w:p>
        </w:tc>
        <w:tc>
          <w:tcPr>
            <w:tcW w:type="dxa" w:w="6600"/>
            <w:tcMar>
              <w:top w:type="dxa" w:w="60"/>
              <w:left w:type="dxa" w:w="90"/>
              <w:bottom w:type="dxa" w:w="60"/>
              <w:right w:type="dxa" w:w="90"/>
            </w:tcMar>
          </w:tcPr>
          <w:p>
            <w:pPr>
              <w:spacing w:after="20"/>
            </w:pPr>
            <w:r>
              <w:rPr>
                <w:b w:val="false"/>
                <w:bCs w:val="false"/>
                <w:sz w:val="19"/>
                <w:szCs w:val="19"/>
              </w:rPr>
              <w:t xml:space="preserve">analiza-sadowa-v6 — ROUTER-WCZYTANY: TAK</w:t>
            </w:r>
          </w:p>
        </w:tc>
      </w:tr>
      <w:tr>
        <w:tc>
          <w:tcPr>
            <w:tcW w:type="dxa" w:w="2400"/>
            <w:tcMar>
              <w:top w:type="dxa" w:w="60"/>
              <w:left w:type="dxa" w:w="90"/>
              <w:bottom w:type="dxa" w:w="60"/>
              <w:right w:type="dxa" w:w="90"/>
            </w:tcMar>
          </w:tcPr>
          <w:p>
            <w:pPr>
              <w:spacing w:after="20"/>
            </w:pPr>
            <w:r>
              <w:rPr>
                <w:b w:val="false"/>
                <w:bCs w:val="false"/>
                <w:sz w:val="19"/>
                <w:szCs w:val="19"/>
              </w:rPr>
              <w:t xml:space="preserve">SECONDARY</w:t>
            </w:r>
          </w:p>
        </w:tc>
        <w:tc>
          <w:tcPr>
            <w:tcW w:type="dxa" w:w="6600"/>
            <w:tcMar>
              <w:top w:type="dxa" w:w="60"/>
              <w:left w:type="dxa" w:w="90"/>
              <w:bottom w:type="dxa" w:w="60"/>
              <w:right w:type="dxa" w:w="90"/>
            </w:tcMar>
          </w:tcPr>
          <w:p>
            <w:pPr>
              <w:spacing w:after="20"/>
            </w:pPr>
            <w:r>
              <w:rPr>
                <w:b w:val="false"/>
                <w:bCs w:val="false"/>
                <w:sz w:val="19"/>
                <w:szCs w:val="19"/>
              </w:rPr>
              <w:t xml:space="preserve">dr-03 (mod-KKS-karny-skarbowy-i-AML.md, kwalifikator part-06 BLOK R), dr-06 (warstwa podatkowa i AML), dr-11 (DSA, AI Act)</w:t>
            </w:r>
          </w:p>
        </w:tc>
      </w:tr>
      <w:tr>
        <w:tc>
          <w:tcPr>
            <w:tcW w:type="dxa" w:w="2400"/>
            <w:tcMar>
              <w:top w:type="dxa" w:w="60"/>
              <w:left w:type="dxa" w:w="90"/>
              <w:bottom w:type="dxa" w:w="60"/>
              <w:right w:type="dxa" w:w="90"/>
            </w:tcMar>
          </w:tcPr>
          <w:p>
            <w:pPr>
              <w:spacing w:after="20"/>
            </w:pPr>
            <w:r>
              <w:rPr>
                <w:b w:val="false"/>
                <w:bCs w:val="false"/>
                <w:sz w:val="19"/>
                <w:szCs w:val="19"/>
              </w:rPr>
              <w:t xml:space="preserve">ODRZUCONE</w:t>
            </w:r>
          </w:p>
        </w:tc>
        <w:tc>
          <w:tcPr>
            <w:tcW w:type="dxa" w:w="6600"/>
            <w:tcMar>
              <w:top w:type="dxa" w:w="60"/>
              <w:left w:type="dxa" w:w="90"/>
              <w:bottom w:type="dxa" w:w="60"/>
              <w:right w:type="dxa" w:w="90"/>
            </w:tcMar>
          </w:tcPr>
          <w:p>
            <w:pPr>
              <w:spacing w:after="20"/>
            </w:pPr>
            <w:r>
              <w:rPr>
                <w:b w:val="false"/>
                <w:bCs w:val="false"/>
                <w:sz w:val="19"/>
                <w:szCs w:val="19"/>
              </w:rPr>
              <w:t xml:space="preserve">pisma-procesowe-v3 — powód: zlecenie kończy się analizą, nie pismem procesowym; [11] audyt cudzego klucza — powód: brak klucza wzorcowego do porównania</w:t>
            </w:r>
          </w:p>
        </w:tc>
      </w:tr>
      <w:tr>
        <w:tc>
          <w:tcPr>
            <w:tcW w:type="dxa" w:w="2400"/>
            <w:tcMar>
              <w:top w:type="dxa" w:w="60"/>
              <w:left w:type="dxa" w:w="90"/>
              <w:bottom w:type="dxa" w:w="60"/>
              <w:right w:type="dxa" w:w="90"/>
            </w:tcMar>
          </w:tcPr>
          <w:p>
            <w:pPr>
              <w:spacing w:after="20"/>
            </w:pPr>
            <w:r>
              <w:rPr>
                <w:b w:val="false"/>
                <w:bCs w:val="false"/>
                <w:sz w:val="19"/>
                <w:szCs w:val="19"/>
              </w:rPr>
              <w:t xml:space="preserve">WERSJA ROUTERA</w:t>
            </w:r>
          </w:p>
        </w:tc>
        <w:tc>
          <w:tcPr>
            <w:tcW w:type="dxa" w:w="6600"/>
            <w:tcMar>
              <w:top w:type="dxa" w:w="60"/>
              <w:left w:type="dxa" w:w="90"/>
              <w:bottom w:type="dxa" w:w="60"/>
              <w:right w:type="dxa" w:w="90"/>
            </w:tcMar>
          </w:tcPr>
          <w:p>
            <w:pPr>
              <w:spacing w:after="20"/>
            </w:pPr>
            <w:r>
              <w:rPr>
                <w:b w:val="false"/>
                <w:bCs w:val="false"/>
                <w:sz w:val="19"/>
                <w:szCs w:val="19"/>
              </w:rPr>
              <w:t xml:space="preserve">3.37</w:t>
            </w:r>
          </w:p>
        </w:tc>
      </w:tr>
    </w:tbl>
    <w:p>
      <w:pPr>
        <w:pStyle w:val="Heading2"/>
        <w:spacing w:after="140" w:before="300"/>
      </w:pPr>
      <w:r>
        <w:t xml:space="preserve">Stan pokrycia banku kazusów (rejestr RPK)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2900"/>
        <w:gridCol w:w="1300"/>
      </w:tblGrid>
      <w:tr>
        <w:trPr>
          <w:tblHeader/>
        </w:trPr>
        <w:tc>
          <w:tcPr>
            <w:tcW w:type="dxa" w:w="900"/>
            <w:shd w:fill="1F3864" w:color="auto" w:val="clear"/>
            <w:tcMar>
              <w:top w:type="dxa" w:w="60"/>
              <w:left w:type="dxa" w:w="90"/>
              <w:bottom w:type="dxa" w:w="60"/>
              <w:right w:type="dxa" w:w="90"/>
            </w:tcMar>
          </w:tcPr>
          <w:p>
            <w:pPr>
              <w:spacing w:after="20"/>
            </w:pPr>
            <w:r>
              <w:rPr>
                <w:b/>
                <w:bCs/>
                <w:color w:val="FFFFFF"/>
                <w:sz w:val="19"/>
                <w:szCs w:val="19"/>
              </w:rPr>
              <w:t xml:space="preserve">Kod</w:t>
            </w:r>
          </w:p>
        </w:tc>
        <w:tc>
          <w:tcPr>
            <w:tcW w:type="dxa" w:w="3900"/>
            <w:shd w:fill="1F3864" w:color="auto" w:val="clear"/>
            <w:tcMar>
              <w:top w:type="dxa" w:w="60"/>
              <w:left w:type="dxa" w:w="90"/>
              <w:bottom w:type="dxa" w:w="60"/>
              <w:right w:type="dxa" w:w="90"/>
            </w:tcMar>
          </w:tcPr>
          <w:p>
            <w:pPr>
              <w:spacing w:after="20"/>
            </w:pPr>
            <w:r>
              <w:rPr>
                <w:b/>
                <w:bCs/>
                <w:color w:val="FFFFFF"/>
                <w:sz w:val="19"/>
                <w:szCs w:val="19"/>
              </w:rPr>
              <w:t xml:space="preserve">Kazus</w:t>
            </w:r>
          </w:p>
        </w:tc>
        <w:tc>
          <w:tcPr>
            <w:tcW w:type="dxa" w:w="2900"/>
            <w:shd w:fill="1F3864" w:color="auto" w:val="clear"/>
            <w:tcMar>
              <w:top w:type="dxa" w:w="60"/>
              <w:left w:type="dxa" w:w="90"/>
              <w:bottom w:type="dxa" w:w="60"/>
              <w:right w:type="dxa" w:w="90"/>
            </w:tcMar>
          </w:tcPr>
          <w:p>
            <w:pPr>
              <w:spacing w:after="20"/>
            </w:pPr>
            <w:r>
              <w:rPr>
                <w:b/>
                <w:bCs/>
                <w:color w:val="FFFFFF"/>
                <w:sz w:val="19"/>
                <w:szCs w:val="19"/>
              </w:rPr>
              <w:t xml:space="preserve">Status</w:t>
            </w:r>
          </w:p>
        </w:tc>
        <w:tc>
          <w:tcPr>
            <w:tcW w:type="dxa" w:w="1300"/>
            <w:shd w:fill="1F3864" w:color="auto" w:val="clear"/>
            <w:tcMar>
              <w:top w:type="dxa" w:w="60"/>
              <w:left w:type="dxa" w:w="90"/>
              <w:bottom w:type="dxa" w:w="60"/>
              <w:right w:type="dxa" w:w="90"/>
            </w:tcMar>
          </w:tcPr>
          <w:p>
            <w:pPr>
              <w:spacing w:after="20"/>
            </w:pPr>
            <w:r>
              <w:rPr>
                <w:b/>
                <w:bCs/>
                <w:color w:val="FFFFFF"/>
                <w:sz w:val="19"/>
                <w:szCs w:val="19"/>
              </w:rPr>
              <w:t xml:space="preserve">Partia</w:t>
            </w:r>
          </w:p>
        </w:tc>
      </w:tr>
      <w:tr>
        <w:tc>
          <w:tcPr>
            <w:tcW w:type="dxa" w:w="900"/>
            <w:tcMar>
              <w:top w:type="dxa" w:w="60"/>
              <w:left w:type="dxa" w:w="90"/>
              <w:bottom w:type="dxa" w:w="60"/>
              <w:right w:type="dxa" w:w="90"/>
            </w:tcMar>
          </w:tcPr>
          <w:p>
            <w:pPr>
              <w:spacing w:after="20"/>
            </w:pPr>
            <w:r>
              <w:rPr>
                <w:b w:val="false"/>
                <w:bCs w:val="false"/>
                <w:sz w:val="19"/>
                <w:szCs w:val="19"/>
              </w:rPr>
              <w:t xml:space="preserve">K-01</w:t>
            </w:r>
          </w:p>
        </w:tc>
        <w:tc>
          <w:tcPr>
            <w:tcW w:type="dxa" w:w="3900"/>
            <w:tcMar>
              <w:top w:type="dxa" w:w="60"/>
              <w:left w:type="dxa" w:w="90"/>
              <w:bottom w:type="dxa" w:w="60"/>
              <w:right w:type="dxa" w:w="90"/>
            </w:tcMar>
          </w:tcPr>
          <w:p>
            <w:pPr>
              <w:spacing w:after="20"/>
            </w:pPr>
            <w:r>
              <w:rPr>
                <w:b w:val="false"/>
                <w:bCs w:val="false"/>
                <w:sz w:val="19"/>
                <w:szCs w:val="19"/>
              </w:rPr>
              <w:t xml:space="preserve">Heliox p. Królestwu Solarii</w:t>
            </w:r>
          </w:p>
        </w:tc>
        <w:tc>
          <w:tcPr>
            <w:tcW w:type="dxa" w:w="2900"/>
            <w:tcMar>
              <w:top w:type="dxa" w:w="60"/>
              <w:left w:type="dxa" w:w="90"/>
              <w:bottom w:type="dxa" w:w="60"/>
              <w:right w:type="dxa" w:w="90"/>
            </w:tcMar>
          </w:tcPr>
          <w:p>
            <w:pPr>
              <w:spacing w:after="20"/>
            </w:pPr>
            <w:r>
              <w:rPr>
                <w:b w:val="false"/>
                <w:bCs w:val="false"/>
                <w:sz w:val="19"/>
                <w:szCs w:val="19"/>
              </w:rPr>
              <w:t xml:space="preserve">ZWERYFIKOWANE</w:t>
            </w:r>
          </w:p>
        </w:tc>
        <w:tc>
          <w:tcPr>
            <w:tcW w:type="dxa" w:w="1300"/>
            <w:tcMar>
              <w:top w:type="dxa" w:w="60"/>
              <w:left w:type="dxa" w:w="90"/>
              <w:bottom w:type="dxa" w:w="60"/>
              <w:right w:type="dxa" w:w="90"/>
            </w:tcMar>
          </w:tcPr>
          <w:p>
            <w:pPr>
              <w:spacing w:after="20"/>
            </w:pPr>
            <w:r>
              <w:rPr>
                <w:b w:val="false"/>
                <w:bCs w:val="false"/>
                <w:sz w:val="19"/>
                <w:szCs w:val="19"/>
              </w:rPr>
              <w:t xml:space="preserve">P1</w:t>
            </w:r>
          </w:p>
        </w:tc>
      </w:tr>
      <w:tr>
        <w:tc>
          <w:tcPr>
            <w:tcW w:type="dxa" w:w="900"/>
            <w:tcMar>
              <w:top w:type="dxa" w:w="60"/>
              <w:left w:type="dxa" w:w="90"/>
              <w:bottom w:type="dxa" w:w="60"/>
              <w:right w:type="dxa" w:w="90"/>
            </w:tcMar>
          </w:tcPr>
          <w:p>
            <w:pPr>
              <w:spacing w:after="20"/>
            </w:pPr>
            <w:r>
              <w:rPr>
                <w:b w:val="false"/>
                <w:bCs w:val="false"/>
                <w:sz w:val="19"/>
                <w:szCs w:val="19"/>
              </w:rPr>
              <w:t xml:space="preserve">K-02</w:t>
            </w:r>
          </w:p>
        </w:tc>
        <w:tc>
          <w:tcPr>
            <w:tcW w:type="dxa" w:w="3900"/>
            <w:tcMar>
              <w:top w:type="dxa" w:w="60"/>
              <w:left w:type="dxa" w:w="90"/>
              <w:bottom w:type="dxa" w:w="60"/>
              <w:right w:type="dxa" w:w="90"/>
            </w:tcMar>
          </w:tcPr>
          <w:p>
            <w:pPr>
              <w:spacing w:after="20"/>
            </w:pPr>
            <w:r>
              <w:rPr>
                <w:b w:val="false"/>
                <w:bCs w:val="false"/>
                <w:sz w:val="19"/>
                <w:szCs w:val="19"/>
              </w:rPr>
              <w:t xml:space="preserve">Spór o Wąwóz Gordyjski</w:t>
            </w:r>
          </w:p>
        </w:tc>
        <w:tc>
          <w:tcPr>
            <w:tcW w:type="dxa" w:w="2900"/>
            <w:tcMar>
              <w:top w:type="dxa" w:w="60"/>
              <w:left w:type="dxa" w:w="90"/>
              <w:bottom w:type="dxa" w:w="60"/>
              <w:right w:type="dxa" w:w="90"/>
            </w:tcMar>
          </w:tcPr>
          <w:p>
            <w:pPr>
              <w:spacing w:after="20"/>
            </w:pPr>
            <w:r>
              <w:rPr>
                <w:b w:val="false"/>
                <w:bCs w:val="false"/>
                <w:sz w:val="19"/>
                <w:szCs w:val="19"/>
              </w:rPr>
              <w:t xml:space="preserve">ZWERYFIKOWANE</w:t>
            </w:r>
          </w:p>
        </w:tc>
        <w:tc>
          <w:tcPr>
            <w:tcW w:type="dxa" w:w="1300"/>
            <w:tcMar>
              <w:top w:type="dxa" w:w="60"/>
              <w:left w:type="dxa" w:w="90"/>
              <w:bottom w:type="dxa" w:w="60"/>
              <w:right w:type="dxa" w:w="90"/>
            </w:tcMar>
          </w:tcPr>
          <w:p>
            <w:pPr>
              <w:spacing w:after="20"/>
            </w:pPr>
            <w:r>
              <w:rPr>
                <w:b w:val="false"/>
                <w:bCs w:val="false"/>
                <w:sz w:val="19"/>
                <w:szCs w:val="19"/>
              </w:rPr>
              <w:t xml:space="preserve">P1</w:t>
            </w:r>
          </w:p>
        </w:tc>
      </w:tr>
      <w:tr>
        <w:tc>
          <w:tcPr>
            <w:tcW w:type="dxa" w:w="900"/>
            <w:tcMar>
              <w:top w:type="dxa" w:w="60"/>
              <w:left w:type="dxa" w:w="90"/>
              <w:bottom w:type="dxa" w:w="60"/>
              <w:right w:type="dxa" w:w="90"/>
            </w:tcMar>
          </w:tcPr>
          <w:p>
            <w:pPr>
              <w:spacing w:after="20"/>
            </w:pPr>
            <w:r>
              <w:rPr>
                <w:b w:val="false"/>
                <w:bCs w:val="false"/>
                <w:sz w:val="19"/>
                <w:szCs w:val="19"/>
              </w:rPr>
              <w:t xml:space="preserve">K-03</w:t>
            </w:r>
          </w:p>
        </w:tc>
        <w:tc>
          <w:tcPr>
            <w:tcW w:type="dxa" w:w="3900"/>
            <w:tcMar>
              <w:top w:type="dxa" w:w="60"/>
              <w:left w:type="dxa" w:w="90"/>
              <w:bottom w:type="dxa" w:w="60"/>
              <w:right w:type="dxa" w:w="90"/>
            </w:tcMar>
          </w:tcPr>
          <w:p>
            <w:pPr>
              <w:spacing w:after="20"/>
            </w:pPr>
            <w:r>
              <w:rPr>
                <w:b w:val="false"/>
                <w:bCs w:val="false"/>
                <w:sz w:val="19"/>
                <w:szCs w:val="19"/>
              </w:rPr>
              <w:t xml:space="preserve">Vitoria i Graviola p. Uxi</w:t>
            </w:r>
          </w:p>
        </w:tc>
        <w:tc>
          <w:tcPr>
            <w:tcW w:type="dxa" w:w="2900"/>
            <w:tcMar>
              <w:top w:type="dxa" w:w="60"/>
              <w:left w:type="dxa" w:w="90"/>
              <w:bottom w:type="dxa" w:w="60"/>
              <w:right w:type="dxa" w:w="90"/>
            </w:tcMar>
          </w:tcPr>
          <w:p>
            <w:pPr>
              <w:spacing w:after="20"/>
            </w:pPr>
            <w:r>
              <w:rPr>
                <w:b w:val="false"/>
                <w:bCs w:val="false"/>
                <w:sz w:val="19"/>
                <w:szCs w:val="19"/>
              </w:rPr>
              <w:t xml:space="preserve">ZWERYFIKOWANE</w:t>
            </w:r>
          </w:p>
        </w:tc>
        <w:tc>
          <w:tcPr>
            <w:tcW w:type="dxa" w:w="1300"/>
            <w:tcMar>
              <w:top w:type="dxa" w:w="60"/>
              <w:left w:type="dxa" w:w="90"/>
              <w:bottom w:type="dxa" w:w="60"/>
              <w:right w:type="dxa" w:w="90"/>
            </w:tcMar>
          </w:tcPr>
          <w:p>
            <w:pPr>
              <w:spacing w:after="20"/>
            </w:pPr>
            <w:r>
              <w:rPr>
                <w:b w:val="false"/>
                <w:bCs w:val="false"/>
                <w:sz w:val="19"/>
                <w:szCs w:val="19"/>
              </w:rPr>
              <w:t xml:space="preserve">P1</w:t>
            </w:r>
          </w:p>
        </w:tc>
      </w:tr>
      <w:tr>
        <w:tc>
          <w:tcPr>
            <w:tcW w:type="dxa" w:w="900"/>
            <w:tcMar>
              <w:top w:type="dxa" w:w="60"/>
              <w:left w:type="dxa" w:w="90"/>
              <w:bottom w:type="dxa" w:w="60"/>
              <w:right w:type="dxa" w:w="90"/>
            </w:tcMar>
          </w:tcPr>
          <w:p>
            <w:pPr>
              <w:spacing w:after="20"/>
            </w:pPr>
            <w:r>
              <w:rPr>
                <w:b w:val="false"/>
                <w:bCs w:val="false"/>
                <w:sz w:val="19"/>
                <w:szCs w:val="19"/>
              </w:rPr>
              <w:t xml:space="preserve">K-04</w:t>
            </w:r>
          </w:p>
        </w:tc>
        <w:tc>
          <w:tcPr>
            <w:tcW w:type="dxa" w:w="3900"/>
            <w:tcMar>
              <w:top w:type="dxa" w:w="60"/>
              <w:left w:type="dxa" w:w="90"/>
              <w:bottom w:type="dxa" w:w="60"/>
              <w:right w:type="dxa" w:w="90"/>
            </w:tcMar>
          </w:tcPr>
          <w:p>
            <w:pPr>
              <w:spacing w:after="20"/>
            </w:pPr>
            <w:r>
              <w:rPr>
                <w:b w:val="false"/>
                <w:bCs w:val="false"/>
                <w:sz w:val="19"/>
                <w:szCs w:val="19"/>
              </w:rPr>
              <w:t xml:space="preserve">Prokurator p. Drogannie Syrax</w:t>
            </w:r>
          </w:p>
        </w:tc>
        <w:tc>
          <w:tcPr>
            <w:tcW w:type="dxa" w:w="2900"/>
            <w:tcMar>
              <w:top w:type="dxa" w:w="60"/>
              <w:left w:type="dxa" w:w="90"/>
              <w:bottom w:type="dxa" w:w="60"/>
              <w:right w:type="dxa" w:w="90"/>
            </w:tcMar>
          </w:tcPr>
          <w:p>
            <w:pPr>
              <w:spacing w:after="20"/>
            </w:pPr>
            <w:r>
              <w:rPr>
                <w:b w:val="false"/>
                <w:bCs w:val="false"/>
                <w:sz w:val="19"/>
                <w:szCs w:val="19"/>
              </w:rPr>
              <w:t xml:space="preserve">ZWERYFIKOWANE</w:t>
            </w:r>
          </w:p>
        </w:tc>
        <w:tc>
          <w:tcPr>
            <w:tcW w:type="dxa" w:w="1300"/>
            <w:tcMar>
              <w:top w:type="dxa" w:w="60"/>
              <w:left w:type="dxa" w:w="90"/>
              <w:bottom w:type="dxa" w:w="60"/>
              <w:right w:type="dxa" w:w="90"/>
            </w:tcMar>
          </w:tcPr>
          <w:p>
            <w:pPr>
              <w:spacing w:after="20"/>
            </w:pPr>
            <w:r>
              <w:rPr>
                <w:b w:val="false"/>
                <w:bCs w:val="false"/>
                <w:sz w:val="19"/>
                <w:szCs w:val="19"/>
              </w:rPr>
              <w:t xml:space="preserve">P2</w:t>
            </w:r>
          </w:p>
        </w:tc>
      </w:tr>
      <w:tr>
        <w:tc>
          <w:tcPr>
            <w:tcW w:type="dxa" w:w="900"/>
            <w:tcMar>
              <w:top w:type="dxa" w:w="60"/>
              <w:left w:type="dxa" w:w="90"/>
              <w:bottom w:type="dxa" w:w="60"/>
              <w:right w:type="dxa" w:w="90"/>
            </w:tcMar>
          </w:tcPr>
          <w:p>
            <w:pPr>
              <w:spacing w:after="20"/>
            </w:pPr>
            <w:r>
              <w:rPr>
                <w:b w:val="false"/>
                <w:bCs w:val="false"/>
                <w:sz w:val="19"/>
                <w:szCs w:val="19"/>
              </w:rPr>
              <w:t xml:space="preserve">K-05</w:t>
            </w:r>
          </w:p>
        </w:tc>
        <w:tc>
          <w:tcPr>
            <w:tcW w:type="dxa" w:w="3900"/>
            <w:tcMar>
              <w:top w:type="dxa" w:w="60"/>
              <w:left w:type="dxa" w:w="90"/>
              <w:bottom w:type="dxa" w:w="60"/>
              <w:right w:type="dxa" w:w="90"/>
            </w:tcMar>
          </w:tcPr>
          <w:p>
            <w:pPr>
              <w:spacing w:after="20"/>
            </w:pPr>
            <w:r>
              <w:rPr>
                <w:b w:val="false"/>
                <w:bCs w:val="false"/>
                <w:sz w:val="19"/>
                <w:szCs w:val="19"/>
              </w:rPr>
              <w:t xml:space="preserve">Orchis Worldwide p. Darwin Natural Food</w:t>
            </w:r>
          </w:p>
        </w:tc>
        <w:tc>
          <w:tcPr>
            <w:tcW w:type="dxa" w:w="2900"/>
            <w:tcMar>
              <w:top w:type="dxa" w:w="60"/>
              <w:left w:type="dxa" w:w="90"/>
              <w:bottom w:type="dxa" w:w="60"/>
              <w:right w:type="dxa" w:w="90"/>
            </w:tcMar>
          </w:tcPr>
          <w:p>
            <w:pPr>
              <w:spacing w:after="20"/>
            </w:pPr>
            <w:r>
              <w:rPr>
                <w:b w:val="false"/>
                <w:bCs w:val="false"/>
                <w:sz w:val="19"/>
                <w:szCs w:val="19"/>
              </w:rPr>
              <w:t xml:space="preserve">ZWERYFIKOWANE</w:t>
            </w:r>
          </w:p>
        </w:tc>
        <w:tc>
          <w:tcPr>
            <w:tcW w:type="dxa" w:w="1300"/>
            <w:tcMar>
              <w:top w:type="dxa" w:w="60"/>
              <w:left w:type="dxa" w:w="90"/>
              <w:bottom w:type="dxa" w:w="60"/>
              <w:right w:type="dxa" w:w="90"/>
            </w:tcMar>
          </w:tcPr>
          <w:p>
            <w:pPr>
              <w:spacing w:after="20"/>
            </w:pPr>
            <w:r>
              <w:rPr>
                <w:b w:val="false"/>
                <w:bCs w:val="false"/>
                <w:sz w:val="19"/>
                <w:szCs w:val="19"/>
              </w:rPr>
              <w:t xml:space="preserve">P2</w:t>
            </w:r>
          </w:p>
        </w:tc>
      </w:tr>
      <w:tr>
        <w:tc>
          <w:tcPr>
            <w:tcW w:type="dxa" w:w="900"/>
            <w:tcMar>
              <w:top w:type="dxa" w:w="60"/>
              <w:left w:type="dxa" w:w="90"/>
              <w:bottom w:type="dxa" w:w="60"/>
              <w:right w:type="dxa" w:w="90"/>
            </w:tcMar>
          </w:tcPr>
          <w:p>
            <w:pPr>
              <w:spacing w:after="20"/>
            </w:pPr>
            <w:r>
              <w:rPr>
                <w:b w:val="false"/>
                <w:bCs w:val="false"/>
                <w:sz w:val="19"/>
                <w:szCs w:val="19"/>
              </w:rPr>
              <w:t xml:space="preserve">K-06</w:t>
            </w:r>
          </w:p>
        </w:tc>
        <w:tc>
          <w:tcPr>
            <w:tcW w:type="dxa" w:w="3900"/>
            <w:tcMar>
              <w:top w:type="dxa" w:w="60"/>
              <w:left w:type="dxa" w:w="90"/>
              <w:bottom w:type="dxa" w:w="60"/>
              <w:right w:type="dxa" w:w="90"/>
            </w:tcMar>
          </w:tcPr>
          <w:p>
            <w:pPr>
              <w:spacing w:after="20"/>
            </w:pPr>
            <w:r>
              <w:rPr>
                <w:b w:val="false"/>
                <w:bCs w:val="false"/>
                <w:sz w:val="19"/>
                <w:szCs w:val="19"/>
              </w:rPr>
              <w:t xml:space="preserve">Inkaton p. Accadii</w:t>
            </w:r>
          </w:p>
        </w:tc>
        <w:tc>
          <w:tcPr>
            <w:tcW w:type="dxa" w:w="2900"/>
            <w:tcMar>
              <w:top w:type="dxa" w:w="60"/>
              <w:left w:type="dxa" w:w="90"/>
              <w:bottom w:type="dxa" w:w="60"/>
              <w:right w:type="dxa" w:w="90"/>
            </w:tcMar>
          </w:tcPr>
          <w:p>
            <w:pPr>
              <w:spacing w:after="20"/>
            </w:pPr>
            <w:r>
              <w:rPr>
                <w:b w:val="false"/>
                <w:bCs w:val="false"/>
                <w:sz w:val="19"/>
                <w:szCs w:val="19"/>
              </w:rPr>
              <w:t xml:space="preserve">ZWERYFIKOWANE</w:t>
            </w:r>
          </w:p>
        </w:tc>
        <w:tc>
          <w:tcPr>
            <w:tcW w:type="dxa" w:w="1300"/>
            <w:tcMar>
              <w:top w:type="dxa" w:w="60"/>
              <w:left w:type="dxa" w:w="90"/>
              <w:bottom w:type="dxa" w:w="60"/>
              <w:right w:type="dxa" w:w="90"/>
            </w:tcMar>
          </w:tcPr>
          <w:p>
            <w:pPr>
              <w:spacing w:after="20"/>
            </w:pPr>
            <w:r>
              <w:rPr>
                <w:b w:val="false"/>
                <w:bCs w:val="false"/>
                <w:sz w:val="19"/>
                <w:szCs w:val="19"/>
              </w:rPr>
              <w:t xml:space="preserve">P2</w:t>
            </w:r>
          </w:p>
        </w:tc>
      </w:tr>
      <w:tr>
        <w:tc>
          <w:tcPr>
            <w:tcW w:type="dxa" w:w="900"/>
            <w:tcMar>
              <w:top w:type="dxa" w:w="60"/>
              <w:left w:type="dxa" w:w="90"/>
              <w:bottom w:type="dxa" w:w="60"/>
              <w:right w:type="dxa" w:w="90"/>
            </w:tcMar>
          </w:tcPr>
          <w:p>
            <w:pPr>
              <w:spacing w:after="20"/>
            </w:pPr>
            <w:r>
              <w:rPr>
                <w:b w:val="false"/>
                <w:bCs w:val="false"/>
                <w:sz w:val="19"/>
                <w:szCs w:val="19"/>
              </w:rPr>
              <w:t xml:space="preserve">K-07</w:t>
            </w:r>
          </w:p>
        </w:tc>
        <w:tc>
          <w:tcPr>
            <w:tcW w:type="dxa" w:w="3900"/>
            <w:tcMar>
              <w:top w:type="dxa" w:w="60"/>
              <w:left w:type="dxa" w:w="90"/>
              <w:bottom w:type="dxa" w:w="60"/>
              <w:right w:type="dxa" w:w="90"/>
            </w:tcMar>
          </w:tcPr>
          <w:p>
            <w:pPr>
              <w:spacing w:after="20"/>
            </w:pPr>
            <w:r>
              <w:rPr>
                <w:b w:val="false"/>
                <w:bCs w:val="false"/>
                <w:sz w:val="19"/>
                <w:szCs w:val="19"/>
              </w:rPr>
              <w:t xml:space="preserve">Anecoyon p. Ridusowi</w:t>
            </w:r>
          </w:p>
        </w:tc>
        <w:tc>
          <w:tcPr>
            <w:tcW w:type="dxa" w:w="2900"/>
            <w:tcMar>
              <w:top w:type="dxa" w:w="60"/>
              <w:left w:type="dxa" w:w="90"/>
              <w:bottom w:type="dxa" w:w="60"/>
              <w:right w:type="dxa" w:w="90"/>
            </w:tcMar>
          </w:tcPr>
          <w:p>
            <w:pPr>
              <w:spacing w:after="20"/>
            </w:pPr>
            <w:r>
              <w:rPr>
                <w:b w:val="false"/>
                <w:bCs w:val="false"/>
                <w:sz w:val="19"/>
                <w:szCs w:val="19"/>
              </w:rPr>
              <w:t xml:space="preserve">ZWERYFIKOWANE</w:t>
            </w:r>
          </w:p>
        </w:tc>
        <w:tc>
          <w:tcPr>
            <w:tcW w:type="dxa" w:w="1300"/>
            <w:tcMar>
              <w:top w:type="dxa" w:w="60"/>
              <w:left w:type="dxa" w:w="90"/>
              <w:bottom w:type="dxa" w:w="60"/>
              <w:right w:type="dxa" w:w="90"/>
            </w:tcMar>
          </w:tcPr>
          <w:p>
            <w:pPr>
              <w:spacing w:after="20"/>
            </w:pPr>
            <w:r>
              <w:rPr>
                <w:b w:val="false"/>
                <w:bCs w:val="false"/>
                <w:sz w:val="19"/>
                <w:szCs w:val="19"/>
              </w:rPr>
              <w:t xml:space="preserve">P2</w:t>
            </w:r>
          </w:p>
        </w:tc>
      </w:tr>
      <w:tr>
        <w:tc>
          <w:tcPr>
            <w:tcW w:type="dxa" w:w="900"/>
            <w:tcMar>
              <w:top w:type="dxa" w:w="60"/>
              <w:left w:type="dxa" w:w="90"/>
              <w:bottom w:type="dxa" w:w="60"/>
              <w:right w:type="dxa" w:w="90"/>
            </w:tcMar>
          </w:tcPr>
          <w:p>
            <w:pPr>
              <w:spacing w:after="20"/>
            </w:pPr>
            <w:r>
              <w:rPr>
                <w:b w:val="false"/>
                <w:bCs w:val="false"/>
                <w:sz w:val="19"/>
                <w:szCs w:val="19"/>
              </w:rPr>
              <w:t xml:space="preserve">PL-01</w:t>
            </w:r>
          </w:p>
        </w:tc>
        <w:tc>
          <w:tcPr>
            <w:tcW w:type="dxa" w:w="3900"/>
            <w:tcMar>
              <w:top w:type="dxa" w:w="60"/>
              <w:left w:type="dxa" w:w="90"/>
              <w:bottom w:type="dxa" w:w="60"/>
              <w:right w:type="dxa" w:w="90"/>
            </w:tcMar>
          </w:tcPr>
          <w:p>
            <w:pPr>
              <w:spacing w:after="20"/>
            </w:pPr>
            <w:r>
              <w:rPr>
                <w:b w:val="false"/>
                <w:bCs w:val="false"/>
                <w:sz w:val="19"/>
                <w:szCs w:val="19"/>
              </w:rPr>
              <w:t xml:space="preserve">Algorytm zwalnia sygnalistkę</w:t>
            </w:r>
          </w:p>
        </w:tc>
        <w:tc>
          <w:tcPr>
            <w:tcW w:type="dxa" w:w="2900"/>
            <w:tcMar>
              <w:top w:type="dxa" w:w="60"/>
              <w:left w:type="dxa" w:w="90"/>
              <w:bottom w:type="dxa" w:w="60"/>
              <w:right w:type="dxa" w:w="90"/>
            </w:tcMar>
          </w:tcPr>
          <w:p>
            <w:pPr>
              <w:spacing w:after="20"/>
            </w:pPr>
            <w:r>
              <w:rPr>
                <w:b w:val="false"/>
                <w:bCs w:val="false"/>
                <w:sz w:val="19"/>
                <w:szCs w:val="19"/>
              </w:rPr>
              <w:t xml:space="preserve">ZWERYFIKOWANE</w:t>
            </w:r>
          </w:p>
        </w:tc>
        <w:tc>
          <w:tcPr>
            <w:tcW w:type="dxa" w:w="1300"/>
            <w:tcMar>
              <w:top w:type="dxa" w:w="60"/>
              <w:left w:type="dxa" w:w="90"/>
              <w:bottom w:type="dxa" w:w="60"/>
              <w:right w:type="dxa" w:w="90"/>
            </w:tcMar>
          </w:tcPr>
          <w:p>
            <w:pPr>
              <w:spacing w:after="20"/>
            </w:pPr>
            <w:r>
              <w:rPr>
                <w:b w:val="false"/>
                <w:bCs w:val="false"/>
                <w:sz w:val="19"/>
                <w:szCs w:val="19"/>
              </w:rPr>
              <w:t xml:space="preserve">P3</w:t>
            </w:r>
          </w:p>
        </w:tc>
      </w:tr>
      <w:tr>
        <w:tc>
          <w:tcPr>
            <w:tcW w:type="dxa" w:w="900"/>
            <w:tcMar>
              <w:top w:type="dxa" w:w="60"/>
              <w:left w:type="dxa" w:w="90"/>
              <w:bottom w:type="dxa" w:w="60"/>
              <w:right w:type="dxa" w:w="90"/>
            </w:tcMar>
          </w:tcPr>
          <w:p>
            <w:pPr>
              <w:spacing w:after="20"/>
            </w:pPr>
            <w:r>
              <w:rPr>
                <w:b w:val="false"/>
                <w:bCs w:val="false"/>
                <w:sz w:val="19"/>
                <w:szCs w:val="19"/>
              </w:rPr>
              <w:t xml:space="preserve">PL-02</w:t>
            </w:r>
          </w:p>
        </w:tc>
        <w:tc>
          <w:tcPr>
            <w:tcW w:type="dxa" w:w="3900"/>
            <w:tcMar>
              <w:top w:type="dxa" w:w="60"/>
              <w:left w:type="dxa" w:w="90"/>
              <w:bottom w:type="dxa" w:w="60"/>
              <w:right w:type="dxa" w:w="90"/>
            </w:tcMar>
          </w:tcPr>
          <w:p>
            <w:pPr>
              <w:spacing w:after="20"/>
            </w:pPr>
            <w:r>
              <w:rPr>
                <w:b w:val="false"/>
                <w:bCs w:val="false"/>
                <w:sz w:val="19"/>
                <w:szCs w:val="19"/>
              </w:rPr>
              <w:t xml:space="preserve">Osiedle na zalewowej łące</w:t>
            </w:r>
          </w:p>
        </w:tc>
        <w:tc>
          <w:tcPr>
            <w:tcW w:type="dxa" w:w="2900"/>
            <w:tcMar>
              <w:top w:type="dxa" w:w="60"/>
              <w:left w:type="dxa" w:w="90"/>
              <w:bottom w:type="dxa" w:w="60"/>
              <w:right w:type="dxa" w:w="90"/>
            </w:tcMar>
          </w:tcPr>
          <w:p>
            <w:pPr>
              <w:spacing w:after="20"/>
            </w:pPr>
            <w:r>
              <w:rPr>
                <w:b w:val="false"/>
                <w:bCs w:val="false"/>
                <w:sz w:val="19"/>
                <w:szCs w:val="19"/>
              </w:rPr>
              <w:t xml:space="preserve">ZWERYFIKOWANE</w:t>
            </w:r>
          </w:p>
        </w:tc>
        <w:tc>
          <w:tcPr>
            <w:tcW w:type="dxa" w:w="1300"/>
            <w:tcMar>
              <w:top w:type="dxa" w:w="60"/>
              <w:left w:type="dxa" w:w="90"/>
              <w:bottom w:type="dxa" w:w="60"/>
              <w:right w:type="dxa" w:w="90"/>
            </w:tcMar>
          </w:tcPr>
          <w:p>
            <w:pPr>
              <w:spacing w:after="20"/>
            </w:pPr>
            <w:r>
              <w:rPr>
                <w:b w:val="false"/>
                <w:bCs w:val="false"/>
                <w:sz w:val="19"/>
                <w:szCs w:val="19"/>
              </w:rPr>
              <w:t xml:space="preserve">P3</w:t>
            </w:r>
          </w:p>
        </w:tc>
      </w:tr>
      <w:tr>
        <w:tc>
          <w:tcPr>
            <w:tcW w:type="dxa" w:w="900"/>
            <w:tcMar>
              <w:top w:type="dxa" w:w="60"/>
              <w:left w:type="dxa" w:w="90"/>
              <w:bottom w:type="dxa" w:w="60"/>
              <w:right w:type="dxa" w:w="90"/>
            </w:tcMar>
          </w:tcPr>
          <w:p>
            <w:pPr>
              <w:spacing w:after="20"/>
            </w:pPr>
            <w:r>
              <w:rPr>
                <w:b w:val="false"/>
                <w:bCs w:val="false"/>
                <w:sz w:val="19"/>
                <w:szCs w:val="19"/>
              </w:rPr>
              <w:t xml:space="preserve">PL-03</w:t>
            </w:r>
          </w:p>
        </w:tc>
        <w:tc>
          <w:tcPr>
            <w:tcW w:type="dxa" w:w="3900"/>
            <w:tcMar>
              <w:top w:type="dxa" w:w="60"/>
              <w:left w:type="dxa" w:w="90"/>
              <w:bottom w:type="dxa" w:w="60"/>
              <w:right w:type="dxa" w:w="90"/>
            </w:tcMar>
          </w:tcPr>
          <w:p>
            <w:pPr>
              <w:spacing w:after="20"/>
            </w:pPr>
            <w:r>
              <w:rPr>
                <w:b w:val="false"/>
                <w:bCs w:val="false"/>
                <w:sz w:val="19"/>
                <w:szCs w:val="19"/>
              </w:rPr>
              <w:t xml:space="preserve">Fundacja po śmierci fundatora</w:t>
            </w:r>
          </w:p>
        </w:tc>
        <w:tc>
          <w:tcPr>
            <w:tcW w:type="dxa" w:w="2900"/>
            <w:tcMar>
              <w:top w:type="dxa" w:w="60"/>
              <w:left w:type="dxa" w:w="90"/>
              <w:bottom w:type="dxa" w:w="60"/>
              <w:right w:type="dxa" w:w="90"/>
            </w:tcMar>
          </w:tcPr>
          <w:p>
            <w:pPr>
              <w:spacing w:after="20"/>
            </w:pPr>
            <w:r>
              <w:rPr>
                <w:b w:val="false"/>
                <w:bCs w:val="false"/>
                <w:sz w:val="19"/>
                <w:szCs w:val="19"/>
              </w:rPr>
              <w:t xml:space="preserve">ZWERYFIKOWANE</w:t>
            </w:r>
          </w:p>
        </w:tc>
        <w:tc>
          <w:tcPr>
            <w:tcW w:type="dxa" w:w="1300"/>
            <w:tcMar>
              <w:top w:type="dxa" w:w="60"/>
              <w:left w:type="dxa" w:w="90"/>
              <w:bottom w:type="dxa" w:w="60"/>
              <w:right w:type="dxa" w:w="90"/>
            </w:tcMar>
          </w:tcPr>
          <w:p>
            <w:pPr>
              <w:spacing w:after="20"/>
            </w:pPr>
            <w:r>
              <w:rPr>
                <w:b w:val="false"/>
                <w:bCs w:val="false"/>
                <w:sz w:val="19"/>
                <w:szCs w:val="19"/>
              </w:rPr>
              <w:t xml:space="preserve">P3</w:t>
            </w:r>
          </w:p>
        </w:tc>
      </w:tr>
      <w:tr>
        <w:tc>
          <w:tcPr>
            <w:tcW w:type="dxa" w:w="900"/>
            <w:tcMar>
              <w:top w:type="dxa" w:w="60"/>
              <w:left w:type="dxa" w:w="90"/>
              <w:bottom w:type="dxa" w:w="60"/>
              <w:right w:type="dxa" w:w="90"/>
            </w:tcMar>
          </w:tcPr>
          <w:p>
            <w:pPr>
              <w:spacing w:after="20"/>
            </w:pPr>
            <w:r>
              <w:rPr>
                <w:b w:val="false"/>
                <w:bCs w:val="false"/>
                <w:sz w:val="19"/>
                <w:szCs w:val="19"/>
              </w:rPr>
              <w:t xml:space="preserve">PL-04</w:t>
            </w:r>
          </w:p>
        </w:tc>
        <w:tc>
          <w:tcPr>
            <w:tcW w:type="dxa" w:w="3900"/>
            <w:tcMar>
              <w:top w:type="dxa" w:w="60"/>
              <w:left w:type="dxa" w:w="90"/>
              <w:bottom w:type="dxa" w:w="60"/>
              <w:right w:type="dxa" w:w="90"/>
            </w:tcMar>
          </w:tcPr>
          <w:p>
            <w:pPr>
              <w:spacing w:after="20"/>
            </w:pPr>
            <w:r>
              <w:rPr>
                <w:b w:val="false"/>
                <w:bCs w:val="false"/>
                <w:sz w:val="19"/>
                <w:szCs w:val="19"/>
              </w:rPr>
              <w:t xml:space="preserve">Szpital podpowiada diagnozę</w:t>
            </w:r>
          </w:p>
        </w:tc>
        <w:tc>
          <w:tcPr>
            <w:tcW w:type="dxa" w:w="2900"/>
            <w:tcMar>
              <w:top w:type="dxa" w:w="60"/>
              <w:left w:type="dxa" w:w="90"/>
              <w:bottom w:type="dxa" w:w="60"/>
              <w:right w:type="dxa" w:w="90"/>
            </w:tcMar>
          </w:tcPr>
          <w:p>
            <w:pPr>
              <w:spacing w:after="20"/>
            </w:pPr>
            <w:r>
              <w:rPr>
                <w:b w:val="false"/>
                <w:bCs w:val="false"/>
                <w:sz w:val="19"/>
                <w:szCs w:val="19"/>
              </w:rPr>
              <w:t xml:space="preserve">ZWERYFIKOWANE</w:t>
            </w:r>
          </w:p>
        </w:tc>
        <w:tc>
          <w:tcPr>
            <w:tcW w:type="dxa" w:w="1300"/>
            <w:tcMar>
              <w:top w:type="dxa" w:w="60"/>
              <w:left w:type="dxa" w:w="90"/>
              <w:bottom w:type="dxa" w:w="60"/>
              <w:right w:type="dxa" w:w="90"/>
            </w:tcMar>
          </w:tcPr>
          <w:p>
            <w:pPr>
              <w:spacing w:after="20"/>
            </w:pPr>
            <w:r>
              <w:rPr>
                <w:b w:val="false"/>
                <w:bCs w:val="false"/>
                <w:sz w:val="19"/>
                <w:szCs w:val="19"/>
              </w:rPr>
              <w:t xml:space="preserve">P4</w:t>
            </w:r>
          </w:p>
        </w:tc>
      </w:tr>
      <w:tr>
        <w:tc>
          <w:tcPr>
            <w:tcW w:type="dxa" w:w="900"/>
            <w:tcMar>
              <w:top w:type="dxa" w:w="60"/>
              <w:left w:type="dxa" w:w="90"/>
              <w:bottom w:type="dxa" w:w="60"/>
              <w:right w:type="dxa" w:w="90"/>
            </w:tcMar>
          </w:tcPr>
          <w:p>
            <w:pPr>
              <w:spacing w:after="20"/>
            </w:pPr>
            <w:r>
              <w:rPr>
                <w:b w:val="false"/>
                <w:bCs w:val="false"/>
                <w:sz w:val="19"/>
                <w:szCs w:val="19"/>
              </w:rPr>
              <w:t xml:space="preserve">PL-05</w:t>
            </w:r>
          </w:p>
        </w:tc>
        <w:tc>
          <w:tcPr>
            <w:tcW w:type="dxa" w:w="3900"/>
            <w:tcMar>
              <w:top w:type="dxa" w:w="60"/>
              <w:left w:type="dxa" w:w="90"/>
              <w:bottom w:type="dxa" w:w="60"/>
              <w:right w:type="dxa" w:w="90"/>
            </w:tcMar>
          </w:tcPr>
          <w:p>
            <w:pPr>
              <w:spacing w:after="20"/>
            </w:pPr>
            <w:r>
              <w:rPr>
                <w:b w:val="false"/>
                <w:bCs w:val="false"/>
                <w:sz w:val="19"/>
                <w:szCs w:val="19"/>
              </w:rPr>
              <w:t xml:space="preserve">Chmura dla metropolii</w:t>
            </w:r>
          </w:p>
        </w:tc>
        <w:tc>
          <w:tcPr>
            <w:tcW w:type="dxa" w:w="2900"/>
            <w:tcMar>
              <w:top w:type="dxa" w:w="60"/>
              <w:left w:type="dxa" w:w="90"/>
              <w:bottom w:type="dxa" w:w="60"/>
              <w:right w:type="dxa" w:w="90"/>
            </w:tcMar>
          </w:tcPr>
          <w:p>
            <w:pPr>
              <w:spacing w:after="20"/>
            </w:pPr>
            <w:r>
              <w:rPr>
                <w:b w:val="false"/>
                <w:bCs w:val="false"/>
                <w:sz w:val="19"/>
                <w:szCs w:val="19"/>
              </w:rPr>
              <w:t xml:space="preserve">ZWERYFIKOWANE</w:t>
            </w:r>
          </w:p>
        </w:tc>
        <w:tc>
          <w:tcPr>
            <w:tcW w:type="dxa" w:w="1300"/>
            <w:tcMar>
              <w:top w:type="dxa" w:w="60"/>
              <w:left w:type="dxa" w:w="90"/>
              <w:bottom w:type="dxa" w:w="60"/>
              <w:right w:type="dxa" w:w="90"/>
            </w:tcMar>
          </w:tcPr>
          <w:p>
            <w:pPr>
              <w:spacing w:after="20"/>
            </w:pPr>
            <w:r>
              <w:rPr>
                <w:b w:val="false"/>
                <w:bCs w:val="false"/>
                <w:sz w:val="19"/>
                <w:szCs w:val="19"/>
              </w:rPr>
              <w:t xml:space="preserve">P4</w:t>
            </w:r>
          </w:p>
        </w:tc>
      </w:tr>
      <w:tr>
        <w:tc>
          <w:tcPr>
            <w:tcW w:type="dxa" w:w="900"/>
            <w:tcMar>
              <w:top w:type="dxa" w:w="60"/>
              <w:left w:type="dxa" w:w="90"/>
              <w:bottom w:type="dxa" w:w="60"/>
              <w:right w:type="dxa" w:w="90"/>
            </w:tcMar>
          </w:tcPr>
          <w:p>
            <w:pPr>
              <w:spacing w:after="20"/>
            </w:pPr>
            <w:r>
              <w:rPr>
                <w:b w:val="false"/>
                <w:bCs w:val="false"/>
                <w:sz w:val="19"/>
                <w:szCs w:val="19"/>
              </w:rPr>
              <w:t xml:space="preserve">PL-06</w:t>
            </w:r>
          </w:p>
        </w:tc>
        <w:tc>
          <w:tcPr>
            <w:tcW w:type="dxa" w:w="3900"/>
            <w:tcMar>
              <w:top w:type="dxa" w:w="60"/>
              <w:left w:type="dxa" w:w="90"/>
              <w:bottom w:type="dxa" w:w="60"/>
              <w:right w:type="dxa" w:w="90"/>
            </w:tcMar>
          </w:tcPr>
          <w:p>
            <w:pPr>
              <w:spacing w:after="20"/>
            </w:pPr>
            <w:r>
              <w:rPr>
                <w:b w:val="false"/>
                <w:bCs w:val="false"/>
                <w:sz w:val="19"/>
                <w:szCs w:val="19"/>
              </w:rPr>
              <w:t xml:space="preserve">Karuzela, faktoring i milczący zarząd</w:t>
            </w:r>
          </w:p>
        </w:tc>
        <w:tc>
          <w:tcPr>
            <w:tcW w:type="dxa" w:w="2900"/>
            <w:tcMar>
              <w:top w:type="dxa" w:w="60"/>
              <w:left w:type="dxa" w:w="90"/>
              <w:bottom w:type="dxa" w:w="60"/>
              <w:right w:type="dxa" w:w="90"/>
            </w:tcMar>
          </w:tcPr>
          <w:p>
            <w:pPr>
              <w:spacing w:after="20"/>
            </w:pPr>
            <w:r>
              <w:rPr>
                <w:b w:val="false"/>
                <w:bCs w:val="false"/>
                <w:sz w:val="19"/>
                <w:szCs w:val="19"/>
              </w:rPr>
              <w:t xml:space="preserve">ZWERYFIKOWANE — w tym pliku</w:t>
            </w:r>
          </w:p>
        </w:tc>
        <w:tc>
          <w:tcPr>
            <w:tcW w:type="dxa" w:w="1300"/>
            <w:tcMar>
              <w:top w:type="dxa" w:w="60"/>
              <w:left w:type="dxa" w:w="90"/>
              <w:bottom w:type="dxa" w:w="60"/>
              <w:right w:type="dxa" w:w="90"/>
            </w:tcMar>
          </w:tcPr>
          <w:p>
            <w:pPr>
              <w:spacing w:after="20"/>
            </w:pPr>
            <w:r>
              <w:rPr>
                <w:b w:val="false"/>
                <w:bCs w:val="false"/>
                <w:sz w:val="19"/>
                <w:szCs w:val="19"/>
              </w:rPr>
              <w:t xml:space="preserve">P5</w:t>
            </w:r>
          </w:p>
        </w:tc>
      </w:tr>
      <w:tr>
        <w:tc>
          <w:tcPr>
            <w:tcW w:type="dxa" w:w="900"/>
            <w:tcMar>
              <w:top w:type="dxa" w:w="60"/>
              <w:left w:type="dxa" w:w="90"/>
              <w:bottom w:type="dxa" w:w="60"/>
              <w:right w:type="dxa" w:w="90"/>
            </w:tcMar>
          </w:tcPr>
          <w:p>
            <w:pPr>
              <w:spacing w:after="20"/>
            </w:pPr>
            <w:r>
              <w:rPr>
                <w:b w:val="false"/>
                <w:bCs w:val="false"/>
                <w:sz w:val="19"/>
                <w:szCs w:val="19"/>
              </w:rPr>
              <w:t xml:space="preserve">PL-07</w:t>
            </w:r>
          </w:p>
        </w:tc>
        <w:tc>
          <w:tcPr>
            <w:tcW w:type="dxa" w:w="3900"/>
            <w:tcMar>
              <w:top w:type="dxa" w:w="60"/>
              <w:left w:type="dxa" w:w="90"/>
              <w:bottom w:type="dxa" w:w="60"/>
              <w:right w:type="dxa" w:w="90"/>
            </w:tcMar>
          </w:tcPr>
          <w:p>
            <w:pPr>
              <w:spacing w:after="20"/>
            </w:pPr>
            <w:r>
              <w:rPr>
                <w:b w:val="false"/>
                <w:bCs w:val="false"/>
                <w:sz w:val="19"/>
                <w:szCs w:val="19"/>
              </w:rPr>
              <w:t xml:space="preserve">Deepfake w wyborach samorządowych</w:t>
            </w:r>
          </w:p>
        </w:tc>
        <w:tc>
          <w:tcPr>
            <w:tcW w:type="dxa" w:w="2900"/>
            <w:tcMar>
              <w:top w:type="dxa" w:w="60"/>
              <w:left w:type="dxa" w:w="90"/>
              <w:bottom w:type="dxa" w:w="60"/>
              <w:right w:type="dxa" w:w="90"/>
            </w:tcMar>
          </w:tcPr>
          <w:p>
            <w:pPr>
              <w:spacing w:after="20"/>
            </w:pPr>
            <w:r>
              <w:rPr>
                <w:b w:val="false"/>
                <w:bCs w:val="false"/>
                <w:sz w:val="19"/>
                <w:szCs w:val="19"/>
              </w:rPr>
              <w:t xml:space="preserve">ZWERYFIKOWANE — w tym pliku</w:t>
            </w:r>
          </w:p>
        </w:tc>
        <w:tc>
          <w:tcPr>
            <w:tcW w:type="dxa" w:w="1300"/>
            <w:tcMar>
              <w:top w:type="dxa" w:w="60"/>
              <w:left w:type="dxa" w:w="90"/>
              <w:bottom w:type="dxa" w:w="60"/>
              <w:right w:type="dxa" w:w="90"/>
            </w:tcMar>
          </w:tcPr>
          <w:p>
            <w:pPr>
              <w:spacing w:after="20"/>
            </w:pPr>
            <w:r>
              <w:rPr>
                <w:b w:val="false"/>
                <w:bCs w:val="false"/>
                <w:sz w:val="19"/>
                <w:szCs w:val="19"/>
              </w:rPr>
              <w:t xml:space="preserve">P5</w:t>
            </w:r>
          </w:p>
        </w:tc>
      </w:tr>
    </w:tbl>
    <w:p>
      <w:pPr>
        <w:spacing w:after="140"/>
      </w:pPr>
      <w:r>
        <w:rPr>
          <w:b w:val="false"/>
          <w:bCs w:val="false"/>
          <w:i w:val="false"/>
          <w:iCs w:val="false"/>
        </w:rPr>
        <w:t xml:space="preserve">RPK-COMMIT: pokrycie 14/14. Status POKRYTE pozostaje nieosiągalny dla całego banku: wymaga porównania ze wzorcem, a klucz odpowiedzi nie został dostarczony. Rejestr zamknięty w zakresie ZWERYFIKOWANE.</w:t>
      </w:r>
    </w:p>
    <w:p>
      <w:pPr>
        <w:pStyle w:val="Heading2"/>
        <w:spacing w:after="140" w:before="300"/>
      </w:pPr>
      <w:r>
        <w:t xml:space="preserve">Teksty jednolite odczytane na potrzeby tej partii</w:t>
      </w:r>
    </w:p>
    <w:p>
      <w:pPr>
        <w:spacing w:after="140"/>
      </w:pPr>
      <w:r>
        <w:rPr>
          <w:b w:val="false"/>
          <w:bCs w:val="false"/>
          <w:i w:val="false"/>
          <w:iCs w:val="false"/>
        </w:rPr>
        <w:t xml:space="preserve">Kanał: curl → api.sejm.gov.pl/eli/acts/… → /references (wybór pozycji „Inf. o tekście jednolitym” o statusie „obowiązujący”) → /text.pdf → pdftotext -layout. Wszystkie brzmienia poniżej pochodzą z urzędowych PDF-ów tekstów jednolitych, nie ze snippetów wyszukiwarki. Kolumna ostatnia to kontrola temporalna: liczba aktów zmieniających ogłoszonych PO tekście jednolitym, z których każdy może zmieniać brzmienie odczytanej jednostki.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2300"/>
        <w:gridCol w:w="1800"/>
      </w:tblGrid>
      <w:tr>
        <w:trPr>
          <w:tblHeader/>
        </w:trPr>
        <w:tc>
          <w:tcPr>
            <w:tcW w:type="dxa" w:w="3000"/>
            <w:shd w:fill="1F3864" w:color="auto" w:val="clear"/>
            <w:tcMar>
              <w:top w:type="dxa" w:w="60"/>
              <w:left w:type="dxa" w:w="90"/>
              <w:bottom w:type="dxa" w:w="60"/>
              <w:right w:type="dxa" w:w="90"/>
            </w:tcMar>
          </w:tcPr>
          <w:p>
            <w:pPr>
              <w:spacing w:after="20"/>
            </w:pPr>
            <w:r>
              <w:rPr>
                <w:b/>
                <w:bCs/>
                <w:color w:val="FFFFFF"/>
                <w:sz w:val="19"/>
                <w:szCs w:val="19"/>
              </w:rPr>
              <w:t xml:space="preserve">Akt</w:t>
            </w:r>
          </w:p>
        </w:tc>
        <w:tc>
          <w:tcPr>
            <w:tcW w:type="dxa" w:w="1900"/>
            <w:shd w:fill="1F3864" w:color="auto" w:val="clear"/>
            <w:tcMar>
              <w:top w:type="dxa" w:w="60"/>
              <w:left w:type="dxa" w:w="90"/>
              <w:bottom w:type="dxa" w:w="60"/>
              <w:right w:type="dxa" w:w="90"/>
            </w:tcMar>
          </w:tcPr>
          <w:p>
            <w:pPr>
              <w:spacing w:after="20"/>
            </w:pPr>
            <w:r>
              <w:rPr>
                <w:b/>
                <w:bCs/>
                <w:color w:val="FFFFFF"/>
                <w:sz w:val="19"/>
                <w:szCs w:val="19"/>
              </w:rPr>
              <w:t xml:space="preserve">Akt bazowy</w:t>
            </w:r>
          </w:p>
        </w:tc>
        <w:tc>
          <w:tcPr>
            <w:tcW w:type="dxa" w:w="2300"/>
            <w:shd w:fill="1F3864" w:color="auto" w:val="clear"/>
            <w:tcMar>
              <w:top w:type="dxa" w:w="60"/>
              <w:left w:type="dxa" w:w="90"/>
              <w:bottom w:type="dxa" w:w="60"/>
              <w:right w:type="dxa" w:w="90"/>
            </w:tcMar>
          </w:tcPr>
          <w:p>
            <w:pPr>
              <w:spacing w:after="20"/>
            </w:pPr>
            <w:r>
              <w:rPr>
                <w:b/>
                <w:bCs/>
                <w:color w:val="FFFFFF"/>
                <w:sz w:val="19"/>
                <w:szCs w:val="19"/>
              </w:rPr>
              <w:t xml:space="preserve">Obowiązujący tekst jednolity</w:t>
            </w:r>
          </w:p>
        </w:tc>
        <w:tc>
          <w:tcPr>
            <w:tcW w:type="dxa" w:w="1800"/>
            <w:shd w:fill="1F3864" w:color="auto" w:val="clear"/>
            <w:tcMar>
              <w:top w:type="dxa" w:w="60"/>
              <w:left w:type="dxa" w:w="90"/>
              <w:bottom w:type="dxa" w:w="60"/>
              <w:right w:type="dxa" w:w="90"/>
            </w:tcMar>
          </w:tcPr>
          <w:p>
            <w:pPr>
              <w:spacing w:after="20"/>
            </w:pPr>
            <w:r>
              <w:rPr>
                <w:b/>
                <w:bCs/>
                <w:color w:val="FFFFFF"/>
                <w:sz w:val="19"/>
                <w:szCs w:val="19"/>
              </w:rPr>
              <w:t xml:space="preserve">Zmian po tj</w:t>
            </w:r>
          </w:p>
        </w:tc>
      </w:tr>
      <w:tr>
        <w:tc>
          <w:tcPr>
            <w:tcW w:type="dxa" w:w="3000"/>
            <w:tcMar>
              <w:top w:type="dxa" w:w="60"/>
              <w:left w:type="dxa" w:w="90"/>
              <w:bottom w:type="dxa" w:w="60"/>
              <w:right w:type="dxa" w:w="90"/>
            </w:tcMar>
          </w:tcPr>
          <w:p>
            <w:pPr>
              <w:spacing w:after="20"/>
            </w:pPr>
            <w:r>
              <w:rPr>
                <w:b w:val="false"/>
                <w:bCs w:val="false"/>
                <w:sz w:val="19"/>
                <w:szCs w:val="19"/>
              </w:rPr>
              <w:t xml:space="preserve">Ustawa o podatku od towarów i usług</w:t>
            </w:r>
          </w:p>
        </w:tc>
        <w:tc>
          <w:tcPr>
            <w:tcW w:type="dxa" w:w="1900"/>
            <w:tcMar>
              <w:top w:type="dxa" w:w="60"/>
              <w:left w:type="dxa" w:w="90"/>
              <w:bottom w:type="dxa" w:w="60"/>
              <w:right w:type="dxa" w:w="90"/>
            </w:tcMar>
          </w:tcPr>
          <w:p>
            <w:pPr>
              <w:spacing w:after="20"/>
            </w:pPr>
            <w:r>
              <w:rPr>
                <w:b w:val="false"/>
                <w:bCs w:val="false"/>
                <w:sz w:val="19"/>
                <w:szCs w:val="19"/>
              </w:rPr>
              <w:t xml:space="preserve">Dz.U. 2004 nr 54 poz. 535</w:t>
            </w:r>
          </w:p>
        </w:tc>
        <w:tc>
          <w:tcPr>
            <w:tcW w:type="dxa" w:w="2300"/>
            <w:tcMar>
              <w:top w:type="dxa" w:w="60"/>
              <w:left w:type="dxa" w:w="90"/>
              <w:bottom w:type="dxa" w:w="60"/>
              <w:right w:type="dxa" w:w="90"/>
            </w:tcMar>
          </w:tcPr>
          <w:p>
            <w:pPr>
              <w:spacing w:after="20"/>
            </w:pPr>
            <w:r>
              <w:rPr>
                <w:b w:val="false"/>
                <w:bCs w:val="false"/>
                <w:sz w:val="19"/>
                <w:szCs w:val="19"/>
              </w:rPr>
              <w:t xml:space="preserve">Dz.U. 2025 poz. 775</w:t>
            </w:r>
          </w:p>
        </w:tc>
        <w:tc>
          <w:tcPr>
            <w:tcW w:type="dxa" w:w="1800"/>
            <w:tcMar>
              <w:top w:type="dxa" w:w="60"/>
              <w:left w:type="dxa" w:w="90"/>
              <w:bottom w:type="dxa" w:w="60"/>
              <w:right w:type="dxa" w:w="90"/>
            </w:tcMar>
          </w:tcPr>
          <w:p>
            <w:pPr>
              <w:spacing w:after="20"/>
            </w:pPr>
            <w:r>
              <w:rPr>
                <w:b w:val="false"/>
                <w:bCs w:val="false"/>
                <w:sz w:val="19"/>
                <w:szCs w:val="19"/>
              </w:rPr>
              <w:t xml:space="preserve">7 (ostatnia: Dz.U. 2026 poz. 846)</w:t>
            </w:r>
          </w:p>
        </w:tc>
      </w:tr>
      <w:tr>
        <w:tc>
          <w:tcPr>
            <w:tcW w:type="dxa" w:w="3000"/>
            <w:tcMar>
              <w:top w:type="dxa" w:w="60"/>
              <w:left w:type="dxa" w:w="90"/>
              <w:bottom w:type="dxa" w:w="60"/>
              <w:right w:type="dxa" w:w="90"/>
            </w:tcMar>
          </w:tcPr>
          <w:p>
            <w:pPr>
              <w:spacing w:after="20"/>
            </w:pPr>
            <w:r>
              <w:rPr>
                <w:b w:val="false"/>
                <w:bCs w:val="false"/>
                <w:sz w:val="19"/>
                <w:szCs w:val="19"/>
              </w:rPr>
              <w:t xml:space="preserve">Kodeks karny skarbowy</w:t>
            </w:r>
          </w:p>
        </w:tc>
        <w:tc>
          <w:tcPr>
            <w:tcW w:type="dxa" w:w="1900"/>
            <w:tcMar>
              <w:top w:type="dxa" w:w="60"/>
              <w:left w:type="dxa" w:w="90"/>
              <w:bottom w:type="dxa" w:w="60"/>
              <w:right w:type="dxa" w:w="90"/>
            </w:tcMar>
          </w:tcPr>
          <w:p>
            <w:pPr>
              <w:spacing w:after="20"/>
            </w:pPr>
            <w:r>
              <w:rPr>
                <w:b w:val="false"/>
                <w:bCs w:val="false"/>
                <w:sz w:val="19"/>
                <w:szCs w:val="19"/>
              </w:rPr>
              <w:t xml:space="preserve">Dz.U. 1999 nr 83 poz. 930</w:t>
            </w:r>
          </w:p>
        </w:tc>
        <w:tc>
          <w:tcPr>
            <w:tcW w:type="dxa" w:w="2300"/>
            <w:tcMar>
              <w:top w:type="dxa" w:w="60"/>
              <w:left w:type="dxa" w:w="90"/>
              <w:bottom w:type="dxa" w:w="60"/>
              <w:right w:type="dxa" w:w="90"/>
            </w:tcMar>
          </w:tcPr>
          <w:p>
            <w:pPr>
              <w:spacing w:after="20"/>
            </w:pPr>
            <w:r>
              <w:rPr>
                <w:b w:val="false"/>
                <w:bCs w:val="false"/>
                <w:sz w:val="19"/>
                <w:szCs w:val="19"/>
              </w:rPr>
              <w:t xml:space="preserve">Dz.U. 2025 poz. 633</w:t>
            </w:r>
          </w:p>
        </w:tc>
        <w:tc>
          <w:tcPr>
            <w:tcW w:type="dxa" w:w="1800"/>
            <w:tcMar>
              <w:top w:type="dxa" w:w="60"/>
              <w:left w:type="dxa" w:w="90"/>
              <w:bottom w:type="dxa" w:w="60"/>
              <w:right w:type="dxa" w:w="90"/>
            </w:tcMar>
          </w:tcPr>
          <w:p>
            <w:pPr>
              <w:spacing w:after="20"/>
            </w:pPr>
            <w:r>
              <w:rPr>
                <w:b w:val="false"/>
                <w:bCs w:val="false"/>
                <w:sz w:val="19"/>
                <w:szCs w:val="19"/>
              </w:rPr>
              <w:t xml:space="preserve">4 (347, 421, 846, 901)</w:t>
            </w:r>
          </w:p>
        </w:tc>
      </w:tr>
      <w:tr>
        <w:tc>
          <w:tcPr>
            <w:tcW w:type="dxa" w:w="3000"/>
            <w:tcMar>
              <w:top w:type="dxa" w:w="60"/>
              <w:left w:type="dxa" w:w="90"/>
              <w:bottom w:type="dxa" w:w="60"/>
              <w:right w:type="dxa" w:w="90"/>
            </w:tcMar>
          </w:tcPr>
          <w:p>
            <w:pPr>
              <w:spacing w:after="20"/>
            </w:pPr>
            <w:r>
              <w:rPr>
                <w:b w:val="false"/>
                <w:bCs w:val="false"/>
                <w:sz w:val="19"/>
                <w:szCs w:val="19"/>
              </w:rPr>
              <w:t xml:space="preserve">Ustawa o przeciwdziałaniu praniu pieniędzy oraz finansowaniu terroryzmu</w:t>
            </w:r>
          </w:p>
        </w:tc>
        <w:tc>
          <w:tcPr>
            <w:tcW w:type="dxa" w:w="1900"/>
            <w:tcMar>
              <w:top w:type="dxa" w:w="60"/>
              <w:left w:type="dxa" w:w="90"/>
              <w:bottom w:type="dxa" w:w="60"/>
              <w:right w:type="dxa" w:w="90"/>
            </w:tcMar>
          </w:tcPr>
          <w:p>
            <w:pPr>
              <w:spacing w:after="20"/>
            </w:pPr>
            <w:r>
              <w:rPr>
                <w:b w:val="false"/>
                <w:bCs w:val="false"/>
                <w:sz w:val="19"/>
                <w:szCs w:val="19"/>
              </w:rPr>
              <w:t xml:space="preserve">Dz.U. 2018 poz. 723</w:t>
            </w:r>
          </w:p>
        </w:tc>
        <w:tc>
          <w:tcPr>
            <w:tcW w:type="dxa" w:w="2300"/>
            <w:tcMar>
              <w:top w:type="dxa" w:w="60"/>
              <w:left w:type="dxa" w:w="90"/>
              <w:bottom w:type="dxa" w:w="60"/>
              <w:right w:type="dxa" w:w="90"/>
            </w:tcMar>
          </w:tcPr>
          <w:p>
            <w:pPr>
              <w:spacing w:after="20"/>
            </w:pPr>
            <w:r>
              <w:rPr>
                <w:b w:val="false"/>
                <w:bCs w:val="false"/>
                <w:sz w:val="19"/>
                <w:szCs w:val="19"/>
              </w:rPr>
              <w:t xml:space="preserve">Dz.U. 2025 poz. 644</w:t>
            </w:r>
          </w:p>
        </w:tc>
        <w:tc>
          <w:tcPr>
            <w:tcW w:type="dxa" w:w="1800"/>
            <w:tcMar>
              <w:top w:type="dxa" w:w="60"/>
              <w:left w:type="dxa" w:w="90"/>
              <w:bottom w:type="dxa" w:w="60"/>
              <w:right w:type="dxa" w:w="90"/>
            </w:tcMar>
          </w:tcPr>
          <w:p>
            <w:pPr>
              <w:spacing w:after="20"/>
            </w:pPr>
            <w:r>
              <w:rPr>
                <w:b w:val="false"/>
                <w:bCs w:val="false"/>
                <w:sz w:val="19"/>
                <w:szCs w:val="19"/>
              </w:rPr>
              <w:t xml:space="preserve">2 (1669, 875)</w:t>
            </w:r>
          </w:p>
        </w:tc>
      </w:tr>
      <w:tr>
        <w:tc>
          <w:tcPr>
            <w:tcW w:type="dxa" w:w="3000"/>
            <w:tcMar>
              <w:top w:type="dxa" w:w="60"/>
              <w:left w:type="dxa" w:w="90"/>
              <w:bottom w:type="dxa" w:w="60"/>
              <w:right w:type="dxa" w:w="90"/>
            </w:tcMar>
          </w:tcPr>
          <w:p>
            <w:pPr>
              <w:spacing w:after="20"/>
            </w:pPr>
            <w:r>
              <w:rPr>
                <w:b w:val="false"/>
                <w:bCs w:val="false"/>
                <w:sz w:val="19"/>
                <w:szCs w:val="19"/>
              </w:rPr>
              <w:t xml:space="preserve">Kodeks spółek handlowych</w:t>
            </w:r>
          </w:p>
        </w:tc>
        <w:tc>
          <w:tcPr>
            <w:tcW w:type="dxa" w:w="1900"/>
            <w:tcMar>
              <w:top w:type="dxa" w:w="60"/>
              <w:left w:type="dxa" w:w="90"/>
              <w:bottom w:type="dxa" w:w="60"/>
              <w:right w:type="dxa" w:w="90"/>
            </w:tcMar>
          </w:tcPr>
          <w:p>
            <w:pPr>
              <w:spacing w:after="20"/>
            </w:pPr>
            <w:r>
              <w:rPr>
                <w:b w:val="false"/>
                <w:bCs w:val="false"/>
                <w:sz w:val="19"/>
                <w:szCs w:val="19"/>
              </w:rPr>
              <w:t xml:space="preserve">Dz.U. 2000 nr 94 poz. 1037</w:t>
            </w:r>
          </w:p>
        </w:tc>
        <w:tc>
          <w:tcPr>
            <w:tcW w:type="dxa" w:w="2300"/>
            <w:tcMar>
              <w:top w:type="dxa" w:w="60"/>
              <w:left w:type="dxa" w:w="90"/>
              <w:bottom w:type="dxa" w:w="60"/>
              <w:right w:type="dxa" w:w="90"/>
            </w:tcMar>
          </w:tcPr>
          <w:p>
            <w:pPr>
              <w:spacing w:after="20"/>
            </w:pPr>
            <w:r>
              <w:rPr>
                <w:b w:val="false"/>
                <w:bCs w:val="false"/>
                <w:sz w:val="19"/>
                <w:szCs w:val="19"/>
              </w:rPr>
              <w:t xml:space="preserve">Dz.U. 2024 poz. 18</w:t>
            </w:r>
          </w:p>
        </w:tc>
        <w:tc>
          <w:tcPr>
            <w:tcW w:type="dxa" w:w="1800"/>
            <w:tcMar>
              <w:top w:type="dxa" w:w="60"/>
              <w:left w:type="dxa" w:w="90"/>
              <w:bottom w:type="dxa" w:w="60"/>
              <w:right w:type="dxa" w:w="90"/>
            </w:tcMar>
          </w:tcPr>
          <w:p>
            <w:pPr>
              <w:spacing w:after="20"/>
            </w:pPr>
            <w:r>
              <w:rPr>
                <w:b w:val="false"/>
                <w:bCs w:val="false"/>
                <w:sz w:val="19"/>
                <w:szCs w:val="19"/>
              </w:rPr>
              <w:t xml:space="preserve">4</w:t>
            </w:r>
          </w:p>
        </w:tc>
      </w:tr>
      <w:tr>
        <w:tc>
          <w:tcPr>
            <w:tcW w:type="dxa" w:w="3000"/>
            <w:tcMar>
              <w:top w:type="dxa" w:w="60"/>
              <w:left w:type="dxa" w:w="90"/>
              <w:bottom w:type="dxa" w:w="60"/>
              <w:right w:type="dxa" w:w="90"/>
            </w:tcMar>
          </w:tcPr>
          <w:p>
            <w:pPr>
              <w:spacing w:after="20"/>
            </w:pPr>
            <w:r>
              <w:rPr>
                <w:b w:val="false"/>
                <w:bCs w:val="false"/>
                <w:sz w:val="19"/>
                <w:szCs w:val="19"/>
              </w:rPr>
              <w:t xml:space="preserve">Ordynacja podatkowa</w:t>
            </w:r>
          </w:p>
        </w:tc>
        <w:tc>
          <w:tcPr>
            <w:tcW w:type="dxa" w:w="1900"/>
            <w:tcMar>
              <w:top w:type="dxa" w:w="60"/>
              <w:left w:type="dxa" w:w="90"/>
              <w:bottom w:type="dxa" w:w="60"/>
              <w:right w:type="dxa" w:w="90"/>
            </w:tcMar>
          </w:tcPr>
          <w:p>
            <w:pPr>
              <w:spacing w:after="20"/>
            </w:pPr>
            <w:r>
              <w:rPr>
                <w:b w:val="false"/>
                <w:bCs w:val="false"/>
                <w:sz w:val="19"/>
                <w:szCs w:val="19"/>
              </w:rPr>
              <w:t xml:space="preserve">Dz.U. 1997 nr 137 poz. 926</w:t>
            </w:r>
          </w:p>
        </w:tc>
        <w:tc>
          <w:tcPr>
            <w:tcW w:type="dxa" w:w="2300"/>
            <w:tcMar>
              <w:top w:type="dxa" w:w="60"/>
              <w:left w:type="dxa" w:w="90"/>
              <w:bottom w:type="dxa" w:w="60"/>
              <w:right w:type="dxa" w:w="90"/>
            </w:tcMar>
          </w:tcPr>
          <w:p>
            <w:pPr>
              <w:spacing w:after="20"/>
            </w:pPr>
            <w:r>
              <w:rPr>
                <w:b w:val="false"/>
                <w:bCs w:val="false"/>
                <w:sz w:val="19"/>
                <w:szCs w:val="19"/>
              </w:rPr>
              <w:t xml:space="preserve">Dz.U. 2026 poz. 622</w:t>
            </w:r>
          </w:p>
        </w:tc>
        <w:tc>
          <w:tcPr>
            <w:tcW w:type="dxa" w:w="1800"/>
            <w:tcMar>
              <w:top w:type="dxa" w:w="60"/>
              <w:left w:type="dxa" w:w="90"/>
              <w:bottom w:type="dxa" w:w="60"/>
              <w:right w:type="dxa" w:w="90"/>
            </w:tcMar>
          </w:tcPr>
          <w:p>
            <w:pPr>
              <w:spacing w:after="20"/>
            </w:pPr>
            <w:r>
              <w:rPr>
                <w:b w:val="false"/>
                <w:bCs w:val="false"/>
                <w:sz w:val="19"/>
                <w:szCs w:val="19"/>
              </w:rPr>
              <w:t xml:space="preserve">5</w:t>
            </w:r>
          </w:p>
        </w:tc>
      </w:tr>
      <w:tr>
        <w:tc>
          <w:tcPr>
            <w:tcW w:type="dxa" w:w="3000"/>
            <w:tcMar>
              <w:top w:type="dxa" w:w="60"/>
              <w:left w:type="dxa" w:w="90"/>
              <w:bottom w:type="dxa" w:w="60"/>
              <w:right w:type="dxa" w:w="90"/>
            </w:tcMar>
          </w:tcPr>
          <w:p>
            <w:pPr>
              <w:spacing w:after="20"/>
            </w:pPr>
            <w:r>
              <w:rPr>
                <w:b w:val="false"/>
                <w:bCs w:val="false"/>
                <w:sz w:val="19"/>
                <w:szCs w:val="19"/>
              </w:rPr>
              <w:t xml:space="preserve">Kodeks postępowania karnego</w:t>
            </w:r>
          </w:p>
        </w:tc>
        <w:tc>
          <w:tcPr>
            <w:tcW w:type="dxa" w:w="1900"/>
            <w:tcMar>
              <w:top w:type="dxa" w:w="60"/>
              <w:left w:type="dxa" w:w="90"/>
              <w:bottom w:type="dxa" w:w="60"/>
              <w:right w:type="dxa" w:w="90"/>
            </w:tcMar>
          </w:tcPr>
          <w:p>
            <w:pPr>
              <w:spacing w:after="20"/>
            </w:pPr>
            <w:r>
              <w:rPr>
                <w:b w:val="false"/>
                <w:bCs w:val="false"/>
                <w:sz w:val="19"/>
                <w:szCs w:val="19"/>
              </w:rPr>
              <w:t xml:space="preserve">Dz.U. 1997 nr 89 poz. 555</w:t>
            </w:r>
          </w:p>
        </w:tc>
        <w:tc>
          <w:tcPr>
            <w:tcW w:type="dxa" w:w="2300"/>
            <w:tcMar>
              <w:top w:type="dxa" w:w="60"/>
              <w:left w:type="dxa" w:w="90"/>
              <w:bottom w:type="dxa" w:w="60"/>
              <w:right w:type="dxa" w:w="90"/>
            </w:tcMar>
          </w:tcPr>
          <w:p>
            <w:pPr>
              <w:spacing w:after="20"/>
            </w:pPr>
            <w:r>
              <w:rPr>
                <w:b w:val="false"/>
                <w:bCs w:val="false"/>
                <w:sz w:val="19"/>
                <w:szCs w:val="19"/>
              </w:rPr>
              <w:t xml:space="preserve">Dz.U. 2026 poz. 490</w:t>
            </w:r>
          </w:p>
        </w:tc>
        <w:tc>
          <w:tcPr>
            <w:tcW w:type="dxa" w:w="1800"/>
            <w:tcMar>
              <w:top w:type="dxa" w:w="60"/>
              <w:left w:type="dxa" w:w="90"/>
              <w:bottom w:type="dxa" w:w="60"/>
              <w:right w:type="dxa" w:w="90"/>
            </w:tcMar>
          </w:tcPr>
          <w:p>
            <w:pPr>
              <w:spacing w:after="20"/>
            </w:pPr>
            <w:r>
              <w:rPr>
                <w:b w:val="false"/>
                <w:bCs w:val="false"/>
                <w:sz w:val="19"/>
                <w:szCs w:val="19"/>
              </w:rPr>
              <w:t xml:space="preserve">4 (638, 760, 882, 901)</w:t>
            </w:r>
          </w:p>
        </w:tc>
      </w:tr>
      <w:tr>
        <w:tc>
          <w:tcPr>
            <w:tcW w:type="dxa" w:w="3000"/>
            <w:tcMar>
              <w:top w:type="dxa" w:w="60"/>
              <w:left w:type="dxa" w:w="90"/>
              <w:bottom w:type="dxa" w:w="60"/>
              <w:right w:type="dxa" w:w="90"/>
            </w:tcMar>
          </w:tcPr>
          <w:p>
            <w:pPr>
              <w:spacing w:after="20"/>
            </w:pPr>
            <w:r>
              <w:rPr>
                <w:b w:val="false"/>
                <w:bCs w:val="false"/>
                <w:sz w:val="19"/>
                <w:szCs w:val="19"/>
              </w:rPr>
              <w:t xml:space="preserve">Kodeks karny</w:t>
            </w:r>
          </w:p>
        </w:tc>
        <w:tc>
          <w:tcPr>
            <w:tcW w:type="dxa" w:w="1900"/>
            <w:tcMar>
              <w:top w:type="dxa" w:w="60"/>
              <w:left w:type="dxa" w:w="90"/>
              <w:bottom w:type="dxa" w:w="60"/>
              <w:right w:type="dxa" w:w="90"/>
            </w:tcMar>
          </w:tcPr>
          <w:p>
            <w:pPr>
              <w:spacing w:after="20"/>
            </w:pPr>
            <w:r>
              <w:rPr>
                <w:b w:val="false"/>
                <w:bCs w:val="false"/>
                <w:sz w:val="19"/>
                <w:szCs w:val="19"/>
              </w:rPr>
              <w:t xml:space="preserve">Dz.U. 1997 nr 88 poz. 553</w:t>
            </w:r>
          </w:p>
        </w:tc>
        <w:tc>
          <w:tcPr>
            <w:tcW w:type="dxa" w:w="2300"/>
            <w:tcMar>
              <w:top w:type="dxa" w:w="60"/>
              <w:left w:type="dxa" w:w="90"/>
              <w:bottom w:type="dxa" w:w="60"/>
              <w:right w:type="dxa" w:w="90"/>
            </w:tcMar>
          </w:tcPr>
          <w:p>
            <w:pPr>
              <w:spacing w:after="20"/>
            </w:pPr>
            <w:r>
              <w:rPr>
                <w:b w:val="false"/>
                <w:bCs w:val="false"/>
                <w:sz w:val="19"/>
                <w:szCs w:val="19"/>
              </w:rPr>
              <w:t xml:space="preserve">Dz.U. 2025 poz. 383</w:t>
            </w:r>
          </w:p>
        </w:tc>
        <w:tc>
          <w:tcPr>
            <w:tcW w:type="dxa" w:w="1800"/>
            <w:tcMar>
              <w:top w:type="dxa" w:w="60"/>
              <w:left w:type="dxa" w:w="90"/>
              <w:bottom w:type="dxa" w:w="60"/>
              <w:right w:type="dxa" w:w="90"/>
            </w:tcMar>
          </w:tcPr>
          <w:p>
            <w:pPr>
              <w:spacing w:after="20"/>
            </w:pPr>
            <w:r>
              <w:rPr>
                <w:b w:val="false"/>
                <w:bCs w:val="false"/>
                <w:sz w:val="19"/>
                <w:szCs w:val="19"/>
              </w:rPr>
              <w:t xml:space="preserve">4 (1818, 1872, 902, 988)</w:t>
            </w:r>
          </w:p>
        </w:tc>
      </w:tr>
      <w:tr>
        <w:tc>
          <w:tcPr>
            <w:tcW w:type="dxa" w:w="3000"/>
            <w:tcMar>
              <w:top w:type="dxa" w:w="60"/>
              <w:left w:type="dxa" w:w="90"/>
              <w:bottom w:type="dxa" w:w="60"/>
              <w:right w:type="dxa" w:w="90"/>
            </w:tcMar>
          </w:tcPr>
          <w:p>
            <w:pPr>
              <w:spacing w:after="20"/>
            </w:pPr>
            <w:r>
              <w:rPr>
                <w:b w:val="false"/>
                <w:bCs w:val="false"/>
                <w:sz w:val="19"/>
                <w:szCs w:val="19"/>
              </w:rPr>
              <w:t xml:space="preserve">Kodeks wyborczy</w:t>
            </w:r>
          </w:p>
        </w:tc>
        <w:tc>
          <w:tcPr>
            <w:tcW w:type="dxa" w:w="1900"/>
            <w:tcMar>
              <w:top w:type="dxa" w:w="60"/>
              <w:left w:type="dxa" w:w="90"/>
              <w:bottom w:type="dxa" w:w="60"/>
              <w:right w:type="dxa" w:w="90"/>
            </w:tcMar>
          </w:tcPr>
          <w:p>
            <w:pPr>
              <w:spacing w:after="20"/>
            </w:pPr>
            <w:r>
              <w:rPr>
                <w:b w:val="false"/>
                <w:bCs w:val="false"/>
                <w:sz w:val="19"/>
                <w:szCs w:val="19"/>
              </w:rPr>
              <w:t xml:space="preserve">Dz.U. 2011 nr 21 poz. 112</w:t>
            </w:r>
          </w:p>
        </w:tc>
        <w:tc>
          <w:tcPr>
            <w:tcW w:type="dxa" w:w="2300"/>
            <w:tcMar>
              <w:top w:type="dxa" w:w="60"/>
              <w:left w:type="dxa" w:w="90"/>
              <w:bottom w:type="dxa" w:w="60"/>
              <w:right w:type="dxa" w:w="90"/>
            </w:tcMar>
          </w:tcPr>
          <w:p>
            <w:pPr>
              <w:spacing w:after="20"/>
            </w:pPr>
            <w:r>
              <w:rPr>
                <w:b w:val="false"/>
                <w:bCs w:val="false"/>
                <w:sz w:val="19"/>
                <w:szCs w:val="19"/>
              </w:rPr>
              <w:t xml:space="preserve">Dz.U. 2025 poz. 365</w:t>
            </w:r>
          </w:p>
        </w:tc>
        <w:tc>
          <w:tcPr>
            <w:tcW w:type="dxa" w:w="1800"/>
            <w:tcMar>
              <w:top w:type="dxa" w:w="60"/>
              <w:left w:type="dxa" w:w="90"/>
              <w:bottom w:type="dxa" w:w="60"/>
              <w:right w:type="dxa" w:w="90"/>
            </w:tcMar>
          </w:tcPr>
          <w:p>
            <w:pPr>
              <w:spacing w:after="20"/>
            </w:pPr>
            <w:r>
              <w:rPr>
                <w:b w:val="false"/>
                <w:bCs w:val="false"/>
                <w:sz w:val="19"/>
                <w:szCs w:val="19"/>
              </w:rPr>
              <w:t xml:space="preserve">2 (1792, 178)</w:t>
            </w:r>
          </w:p>
        </w:tc>
      </w:tr>
      <w:tr>
        <w:tc>
          <w:tcPr>
            <w:tcW w:type="dxa" w:w="3000"/>
            <w:tcMar>
              <w:top w:type="dxa" w:w="60"/>
              <w:left w:type="dxa" w:w="90"/>
              <w:bottom w:type="dxa" w:w="60"/>
              <w:right w:type="dxa" w:w="90"/>
            </w:tcMar>
          </w:tcPr>
          <w:p>
            <w:pPr>
              <w:spacing w:after="20"/>
            </w:pPr>
            <w:r>
              <w:rPr>
                <w:b w:val="false"/>
                <w:bCs w:val="false"/>
                <w:sz w:val="19"/>
                <w:szCs w:val="19"/>
              </w:rPr>
              <w:t xml:space="preserve">Kodeks cywilny</w:t>
            </w:r>
          </w:p>
        </w:tc>
        <w:tc>
          <w:tcPr>
            <w:tcW w:type="dxa" w:w="1900"/>
            <w:tcMar>
              <w:top w:type="dxa" w:w="60"/>
              <w:left w:type="dxa" w:w="90"/>
              <w:bottom w:type="dxa" w:w="60"/>
              <w:right w:type="dxa" w:w="90"/>
            </w:tcMar>
          </w:tcPr>
          <w:p>
            <w:pPr>
              <w:spacing w:after="20"/>
            </w:pPr>
            <w:r>
              <w:rPr>
                <w:b w:val="false"/>
                <w:bCs w:val="false"/>
                <w:sz w:val="19"/>
                <w:szCs w:val="19"/>
              </w:rPr>
              <w:t xml:space="preserve">Dz.U. 1964 nr 16 poz. 93</w:t>
            </w:r>
          </w:p>
        </w:tc>
        <w:tc>
          <w:tcPr>
            <w:tcW w:type="dxa" w:w="2300"/>
            <w:tcMar>
              <w:top w:type="dxa" w:w="60"/>
              <w:left w:type="dxa" w:w="90"/>
              <w:bottom w:type="dxa" w:w="60"/>
              <w:right w:type="dxa" w:w="90"/>
            </w:tcMar>
          </w:tcPr>
          <w:p>
            <w:pPr>
              <w:spacing w:after="20"/>
            </w:pPr>
            <w:r>
              <w:rPr>
                <w:b w:val="false"/>
                <w:bCs w:val="false"/>
                <w:sz w:val="19"/>
                <w:szCs w:val="19"/>
              </w:rPr>
              <w:t xml:space="preserve">Dz.U. 2026 poz. 795</w:t>
            </w:r>
          </w:p>
        </w:tc>
        <w:tc>
          <w:tcPr>
            <w:tcW w:type="dxa" w:w="1800"/>
            <w:tcMar>
              <w:top w:type="dxa" w:w="60"/>
              <w:left w:type="dxa" w:w="90"/>
              <w:bottom w:type="dxa" w:w="60"/>
              <w:right w:type="dxa" w:w="90"/>
            </w:tcMar>
          </w:tcPr>
          <w:p>
            <w:pPr>
              <w:spacing w:after="20"/>
            </w:pPr>
            <w:r>
              <w:rPr>
                <w:b w:val="false"/>
                <w:bCs w:val="false"/>
                <w:sz w:val="19"/>
                <w:szCs w:val="19"/>
              </w:rPr>
              <w:t xml:space="preserve">0</w:t>
            </w:r>
          </w:p>
        </w:tc>
      </w:tr>
      <w:tr>
        <w:tc>
          <w:tcPr>
            <w:tcW w:type="dxa" w:w="3000"/>
            <w:tcMar>
              <w:top w:type="dxa" w:w="60"/>
              <w:left w:type="dxa" w:w="90"/>
              <w:bottom w:type="dxa" w:w="60"/>
              <w:right w:type="dxa" w:w="90"/>
            </w:tcMar>
          </w:tcPr>
          <w:p>
            <w:pPr>
              <w:spacing w:after="20"/>
            </w:pPr>
            <w:r>
              <w:rPr>
                <w:b w:val="false"/>
                <w:bCs w:val="false"/>
                <w:sz w:val="19"/>
                <w:szCs w:val="19"/>
              </w:rPr>
              <w:t xml:space="preserve">Prawo autorskie i prawa pokrewne</w:t>
            </w:r>
          </w:p>
        </w:tc>
        <w:tc>
          <w:tcPr>
            <w:tcW w:type="dxa" w:w="1900"/>
            <w:tcMar>
              <w:top w:type="dxa" w:w="60"/>
              <w:left w:type="dxa" w:w="90"/>
              <w:bottom w:type="dxa" w:w="60"/>
              <w:right w:type="dxa" w:w="90"/>
            </w:tcMar>
          </w:tcPr>
          <w:p>
            <w:pPr>
              <w:spacing w:after="20"/>
            </w:pPr>
            <w:r>
              <w:rPr>
                <w:b w:val="false"/>
                <w:bCs w:val="false"/>
                <w:sz w:val="19"/>
                <w:szCs w:val="19"/>
              </w:rPr>
              <w:t xml:space="preserve">Dz.U. 1994 nr 24 poz. 83</w:t>
            </w:r>
          </w:p>
        </w:tc>
        <w:tc>
          <w:tcPr>
            <w:tcW w:type="dxa" w:w="2300"/>
            <w:tcMar>
              <w:top w:type="dxa" w:w="60"/>
              <w:left w:type="dxa" w:w="90"/>
              <w:bottom w:type="dxa" w:w="60"/>
              <w:right w:type="dxa" w:w="90"/>
            </w:tcMar>
          </w:tcPr>
          <w:p>
            <w:pPr>
              <w:spacing w:after="20"/>
            </w:pPr>
            <w:r>
              <w:rPr>
                <w:b w:val="false"/>
                <w:bCs w:val="false"/>
                <w:sz w:val="19"/>
                <w:szCs w:val="19"/>
              </w:rPr>
              <w:t xml:space="preserve">Dz.U. 2025 poz. 24</w:t>
            </w:r>
          </w:p>
        </w:tc>
        <w:tc>
          <w:tcPr>
            <w:tcW w:type="dxa" w:w="1800"/>
            <w:tcMar>
              <w:top w:type="dxa" w:w="60"/>
              <w:left w:type="dxa" w:w="90"/>
              <w:bottom w:type="dxa" w:w="60"/>
              <w:right w:type="dxa" w:w="90"/>
            </w:tcMar>
          </w:tcPr>
          <w:p>
            <w:pPr>
              <w:spacing w:after="20"/>
            </w:pPr>
            <w:r>
              <w:rPr>
                <w:b w:val="false"/>
                <w:bCs w:val="false"/>
                <w:sz w:val="19"/>
                <w:szCs w:val="19"/>
              </w:rPr>
              <w:t xml:space="preserve">0</w:t>
            </w:r>
          </w:p>
        </w:tc>
      </w:tr>
    </w:tbl>
    <w:p>
      <w:pPr>
        <w:spacing w:after="140"/>
      </w:pPr>
      <w:r>
        <w:rPr>
          <w:b w:val="false"/>
          <w:bCs w:val="false"/>
          <w:i w:val="false"/>
          <w:iCs w:val="false"/>
        </w:rPr>
        <w:t xml:space="preserve">Kontrola temporalna wykonana punktowo dla jednostek powołanych w tym arkuszu: odczytałem teksty nowelizacji Dz.U. 2026 poz. 178 (Kodeks wyborczy — dodaje rozdział 11b „Portal poparcia”, nie dotyka art. 105–115), Dz.U. 2026 poz. 902 i 988 (Kodeks karny — art. 269b i przepis dodany po art. 255a; nie dotykają art. 190a, 212, 271a, 277a, 299), Dz.U. 2026 poz. 882 i 901 (KPK — art. 607k oraz art. 87; nie dotykają art. 178, 225, 226). Nowelizacja KKS z Dz.U. 2026 poz. 901 zmienia wyłącznie art. 122 § 1 pkt 1. ⚠️ Pozostałych nowelizacji nie otwierałem jednostka po jednostce — przed użyciem zawodowym każdą powołaną jednostkę należy sprawdzić w tekście ujednoliconym na datę czynu i datę orzekania.</w:t>
      </w:r>
    </w:p>
    <w:p>
      <w:pPr>
        <w:spacing w:after="140"/>
      </w:pPr>
      <w:r>
        <w:rPr>
          <w:b w:val="false"/>
          <w:bCs w:val="false"/>
          <w:i w:val="false"/>
          <w:iCs w:val="false"/>
        </w:rPr>
        <w:t xml:space="preserve">Akty UE: rozporządzenie (UE) 2022/2065 (DSA) — tekst skonsolidowany EUR-Lex 02022R2065 z 27.10.2022, sprostowanie Dz.U. L 163 z 29.6.2023 [VER: eur-lex.europa.eu — RZĄD 1, 2026-09-02]. Rozporządzenie (UE) 2024/1689 (AI Act) — art. 50 odczytany z AI Act Service Desk Komisji Europejskiej (wersja urzędowa z 13.06.2024) [VER: ai-act-service-desk.ec.europa.eu — RZĄD 1, 2026-09-02]. Rozporządzenie (UE) 2026/1744 (Digital Omnibus on AI) — tekst odczytany z Dziennika Urzędowego UE, Dz.U. L z 24.7.2026 [VER: eur-lex.europa.eu OJ L_202601744 — RZĄD 1, 2026-09-02]. Wyrok TSUE z 11.11.2021 r., C-281/20 (Ferimet), ECLI:EU:C:2021:910 — pełny tekst polski odczytany z EUR-Lex [VER: eur-lex.europa.eu CELEX 62020CJ0281 — RZĄD 1, 2026-09-02].</w:t>
      </w:r>
    </w:p>
    <w:p>
      <w:pPr>
        <w:pStyle w:val="Heading2"/>
        <w:spacing w:after="140" w:before="300"/>
      </w:pPr>
      <w:r>
        <w:t xml:space="preserve">Bramki wykonane przed analizą</w:t>
      </w:r>
    </w:p>
    <w:p>
      <w:pPr>
        <w:pStyle w:val="Heading3"/>
        <w:spacing w:after="100" w:before="220"/>
      </w:pPr>
      <w:r>
        <w:t xml:space="preserve">OŚ-GATE (bramka chronologiczna, TOR 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4200"/>
      </w:tblGrid>
      <w:tr>
        <w:trPr>
          <w:tblHeader/>
        </w:trPr>
        <w:tc>
          <w:tcPr>
            <w:tcW w:type="dxa" w:w="900"/>
            <w:shd w:fill="1F3864" w:color="auto" w:val="clear"/>
            <w:tcMar>
              <w:top w:type="dxa" w:w="60"/>
              <w:left w:type="dxa" w:w="90"/>
              <w:bottom w:type="dxa" w:w="60"/>
              <w:right w:type="dxa" w:w="90"/>
            </w:tcMar>
          </w:tcPr>
          <w:p>
            <w:pPr>
              <w:spacing w:after="20"/>
            </w:pPr>
            <w:r>
              <w:rPr>
                <w:b/>
                <w:bCs/>
                <w:color w:val="FFFFFF"/>
                <w:sz w:val="19"/>
                <w:szCs w:val="19"/>
              </w:rPr>
              <w:t xml:space="preserve">Kazus</w:t>
            </w:r>
          </w:p>
        </w:tc>
        <w:tc>
          <w:tcPr>
            <w:tcW w:type="dxa" w:w="3900"/>
            <w:shd w:fill="1F3864" w:color="auto" w:val="clear"/>
            <w:tcMar>
              <w:top w:type="dxa" w:w="60"/>
              <w:left w:type="dxa" w:w="90"/>
              <w:bottom w:type="dxa" w:w="60"/>
              <w:right w:type="dxa" w:w="90"/>
            </w:tcMar>
          </w:tcPr>
          <w:p>
            <w:pPr>
              <w:spacing w:after="20"/>
            </w:pPr>
            <w:r>
              <w:rPr>
                <w:b/>
                <w:bCs/>
                <w:color w:val="FFFFFF"/>
                <w:sz w:val="19"/>
                <w:szCs w:val="19"/>
              </w:rPr>
              <w:t xml:space="preserve">Sekwencja czasowa</w:t>
            </w:r>
          </w:p>
        </w:tc>
        <w:tc>
          <w:tcPr>
            <w:tcW w:type="dxa" w:w="4200"/>
            <w:shd w:fill="1F3864" w:color="auto" w:val="clear"/>
            <w:tcMar>
              <w:top w:type="dxa" w:w="60"/>
              <w:left w:type="dxa" w:w="90"/>
              <w:bottom w:type="dxa" w:w="60"/>
              <w:right w:type="dxa" w:w="90"/>
            </w:tcMar>
          </w:tcPr>
          <w:p>
            <w:pPr>
              <w:spacing w:after="20"/>
            </w:pPr>
            <w:r>
              <w:rPr>
                <w:b/>
                <w:bCs/>
                <w:color w:val="FFFFFF"/>
                <w:sz w:val="19"/>
                <w:szCs w:val="19"/>
              </w:rPr>
              <w:t xml:space="preserve">Interwał rozstrzygający</w:t>
            </w:r>
          </w:p>
        </w:tc>
      </w:tr>
      <w:tr>
        <w:tc>
          <w:tcPr>
            <w:tcW w:type="dxa" w:w="900"/>
            <w:tcMar>
              <w:top w:type="dxa" w:w="60"/>
              <w:left w:type="dxa" w:w="90"/>
              <w:bottom w:type="dxa" w:w="60"/>
              <w:right w:type="dxa" w:w="90"/>
            </w:tcMar>
          </w:tcPr>
          <w:p>
            <w:pPr>
              <w:spacing w:after="20"/>
            </w:pPr>
            <w:r>
              <w:rPr>
                <w:b w:val="false"/>
                <w:bCs w:val="false"/>
                <w:sz w:val="19"/>
                <w:szCs w:val="19"/>
              </w:rPr>
              <w:t xml:space="preserve">PL-06</w:t>
            </w:r>
          </w:p>
        </w:tc>
        <w:tc>
          <w:tcPr>
            <w:tcW w:type="dxa" w:w="3900"/>
            <w:tcMar>
              <w:top w:type="dxa" w:w="60"/>
              <w:left w:type="dxa" w:w="90"/>
              <w:bottom w:type="dxa" w:w="60"/>
              <w:right w:type="dxa" w:w="90"/>
            </w:tcMar>
          </w:tcPr>
          <w:p>
            <w:pPr>
              <w:spacing w:after="20"/>
            </w:pPr>
            <w:r>
              <w:rPr>
                <w:b w:val="false"/>
                <w:bCs w:val="false"/>
                <w:sz w:val="19"/>
                <w:szCs w:val="19"/>
              </w:rPr>
              <w:t xml:space="preserve">wzrost obrotu → zgłoszenie flag przez dyrektora finansowego → krótki przegląd zlecony przez prezesa → kontynuacja handlu → alerty AML w banku → wyjaśnienie faktora i zamknięcie alertów → kontrola KAS → zabezpieczenie rachunków → zawiadomienie banku → wypowiedzenie faktoringu → zabezpieczenie poczty</w:t>
            </w:r>
          </w:p>
        </w:tc>
        <w:tc>
          <w:tcPr>
            <w:tcW w:type="dxa" w:w="4200"/>
            <w:tcMar>
              <w:top w:type="dxa" w:w="60"/>
              <w:left w:type="dxa" w:w="90"/>
              <w:bottom w:type="dxa" w:w="60"/>
              <w:right w:type="dxa" w:w="90"/>
            </w:tcMar>
          </w:tcPr>
          <w:p>
            <w:pPr>
              <w:spacing w:after="20"/>
            </w:pPr>
            <w:r>
              <w:rPr>
                <w:b w:val="false"/>
                <w:bCs w:val="false"/>
                <w:sz w:val="19"/>
                <w:szCs w:val="19"/>
              </w:rPr>
              <w:t xml:space="preserve">Trafienie realne, mimo zera dat kalendarzowych: kontrola KAS poprzedza rozważaną współpracę dyrektora finansowego. To przesądza o bezskuteczności czynnego żalu (art. 16 § 5 pkt 2 KKS). Drugi interwał: moment „potwierdzenia podejrzenia” przez bank wobec daty zawiadomienia — od niego biegnie termin 2 dni roboczych z art. 74 ust. 2 ustawy AML. ⬛ Dat kazus nie podaje.</w:t>
            </w:r>
          </w:p>
        </w:tc>
      </w:tr>
      <w:tr>
        <w:tc>
          <w:tcPr>
            <w:tcW w:type="dxa" w:w="900"/>
            <w:tcMar>
              <w:top w:type="dxa" w:w="60"/>
              <w:left w:type="dxa" w:w="90"/>
              <w:bottom w:type="dxa" w:w="60"/>
              <w:right w:type="dxa" w:w="90"/>
            </w:tcMar>
          </w:tcPr>
          <w:p>
            <w:pPr>
              <w:spacing w:after="20"/>
            </w:pPr>
            <w:r>
              <w:rPr>
                <w:b w:val="false"/>
                <w:bCs w:val="false"/>
                <w:sz w:val="19"/>
                <w:szCs w:val="19"/>
              </w:rPr>
              <w:t xml:space="preserve">PL-07</w:t>
            </w:r>
          </w:p>
        </w:tc>
        <w:tc>
          <w:tcPr>
            <w:tcW w:type="dxa" w:w="3900"/>
            <w:tcMar>
              <w:top w:type="dxa" w:w="60"/>
              <w:left w:type="dxa" w:w="90"/>
              <w:bottom w:type="dxa" w:w="60"/>
              <w:right w:type="dxa" w:w="90"/>
            </w:tcMar>
          </w:tcPr>
          <w:p>
            <w:pPr>
              <w:spacing w:after="20"/>
            </w:pPr>
            <w:r>
              <w:rPr>
                <w:b w:val="false"/>
                <w:bCs w:val="false"/>
                <w:sz w:val="19"/>
                <w:szCs w:val="19"/>
              </w:rPr>
              <w:t xml:space="preserve">publikacja filmu (T-3 dni do głosowania) → udostępnienie przez kontrkandydata → oznaczenie przez platformę → zgłoszenie komitetu → opinie prywatnych ekspertów → wniosek w trybie wyborczym → cisza (T-1 dzień) → głosowanie</w:t>
            </w:r>
          </w:p>
        </w:tc>
        <w:tc>
          <w:tcPr>
            <w:tcW w:type="dxa" w:w="4200"/>
            <w:tcMar>
              <w:top w:type="dxa" w:w="60"/>
              <w:left w:type="dxa" w:w="90"/>
              <w:bottom w:type="dxa" w:w="60"/>
              <w:right w:type="dxa" w:w="90"/>
            </w:tcMar>
          </w:tcPr>
          <w:p>
            <w:pPr>
              <w:spacing w:after="20"/>
            </w:pPr>
            <w:r>
              <w:rPr>
                <w:b w:val="false"/>
                <w:bCs w:val="false"/>
                <w:sz w:val="19"/>
                <w:szCs w:val="19"/>
              </w:rPr>
              <w:t xml:space="preserve">Interwał policzalny mimo braku dat: od publikacji do ciszy pozostają najwyżej dwa dni, a ścieżka z art. 111 KWyb to 24 h w sądzie okręgowym (§ 2) plus 24 h na zażalenie i 24 h na jego rozpoznanie (§ 3). Sekwencja mieści się w oknie tylko przy natychmiastowym złożeniu wniosku i bez zapasu; publikacja sprostowania w 48 h (§ 4) już z niego wypada.</w:t>
            </w:r>
          </w:p>
        </w:tc>
      </w:tr>
    </w:tbl>
    <w:p>
      <w:pPr>
        <w:spacing w:after="140"/>
      </w:pPr>
      <w:r>
        <w:rPr>
          <w:b w:val="false"/>
          <w:bCs w:val="false"/>
          <w:i w:val="false"/>
          <w:iCs w:val="false"/>
        </w:rPr>
        <w:t xml:space="preserve">Wniosek wspólny: żaden interwał nie jest policzalny w dniach kalendarzowych — kazusy operują odniesieniami względnymi. Konkluzje temporalne są warunkowe, ale w PL-07 relacja „trzy dni” do dwóch instancji po 24 godziny jest sama w sobie rozstrzygająca dla wyboru środka.</w:t>
      </w:r>
    </w:p>
    <w:p>
      <w:pPr>
        <w:pStyle w:val="Heading3"/>
        <w:spacing w:after="100" w:before="220"/>
      </w:pPr>
      <w:r>
        <w:t xml:space="preserve">WYJ-GATE (bramka wyjątków, S1–S4)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3864" w:color="auto" w:val="clear"/>
            <w:tcMar>
              <w:top w:type="dxa" w:w="60"/>
              <w:left w:type="dxa" w:w="90"/>
              <w:bottom w:type="dxa" w:w="60"/>
              <w:right w:type="dxa" w:w="90"/>
            </w:tcMar>
          </w:tcPr>
          <w:p>
            <w:pPr>
              <w:spacing w:after="20"/>
            </w:pPr>
            <w:r>
              <w:rPr>
                <w:b/>
                <w:bCs/>
                <w:color w:val="FFFFFF"/>
                <w:sz w:val="19"/>
                <w:szCs w:val="19"/>
              </w:rPr>
              <w:t xml:space="preserve">Zamiatanie</w:t>
            </w:r>
          </w:p>
        </w:tc>
        <w:tc>
          <w:tcPr>
            <w:tcW w:type="dxa" w:w="6800"/>
            <w:shd w:fill="1F3864" w:color="auto" w:val="clear"/>
            <w:tcMar>
              <w:top w:type="dxa" w:w="60"/>
              <w:left w:type="dxa" w:w="90"/>
              <w:bottom w:type="dxa" w:w="60"/>
              <w:right w:type="dxa" w:w="90"/>
            </w:tcMar>
          </w:tcPr>
          <w:p>
            <w:pPr>
              <w:spacing w:after="20"/>
            </w:pPr>
            <w:r>
              <w:rPr>
                <w:b/>
                <w:bCs/>
                <w:color w:val="FFFFFF"/>
                <w:sz w:val="19"/>
                <w:szCs w:val="19"/>
              </w:rPr>
              <w:t xml:space="preserve">Wynik</w:t>
            </w:r>
          </w:p>
        </w:tc>
      </w:tr>
      <w:tr>
        <w:tc>
          <w:tcPr>
            <w:tcW w:type="dxa" w:w="2200"/>
            <w:tcMar>
              <w:top w:type="dxa" w:w="60"/>
              <w:left w:type="dxa" w:w="90"/>
              <w:bottom w:type="dxa" w:w="60"/>
              <w:right w:type="dxa" w:w="90"/>
            </w:tcMar>
          </w:tcPr>
          <w:p>
            <w:pPr>
              <w:spacing w:after="20"/>
            </w:pPr>
            <w:r>
              <w:rPr>
                <w:b w:val="false"/>
                <w:bCs w:val="false"/>
                <w:sz w:val="19"/>
                <w:szCs w:val="19"/>
              </w:rPr>
              <w:t xml:space="preserve">S1 — sąsiedztwo redakcyjne</w:t>
            </w:r>
          </w:p>
        </w:tc>
        <w:tc>
          <w:tcPr>
            <w:tcW w:type="dxa" w:w="6800"/>
            <w:tcMar>
              <w:top w:type="dxa" w:w="60"/>
              <w:left w:type="dxa" w:w="90"/>
              <w:bottom w:type="dxa" w:w="60"/>
              <w:right w:type="dxa" w:w="90"/>
            </w:tcMar>
          </w:tcPr>
          <w:p>
            <w:pPr>
              <w:spacing w:after="20"/>
            </w:pPr>
            <w:r>
              <w:rPr>
                <w:b w:val="false"/>
                <w:bCs w:val="false"/>
                <w:sz w:val="19"/>
                <w:szCs w:val="19"/>
              </w:rPr>
              <w:t xml:space="preserve">KKS: art. 56 ma sąsiadów indeksowanych 56a–56f (56a dotyczy informacji z art. 86a ust. 12 ustawy o VAT — poza zakresem kazusu); art. 62 nie ma jednostek indeksowanych; art. 9 § 3 czytać razem z art. 9 § 2 (granice własnej umyślności) i art. 10 (błąd). VAT: art. 88a — uchylony; art. 86 → 88 tworzą jeden blok odliczeniowy, art. 108 stoi poza nim (obowiązek zapłaty wystawcy). OP: art. 116 sąsiaduje z art. 116a (inne osoby prawne) i art. 116b (likwidatorzy) — dla spółki akcyjnej właściwy jest art. 116, nie 116a. KPK: art. 225 → art. 226 (odesłanie do zakazów z art. 178–181) — pominięcie art. 226 daje odpowiedź niepełną. KK: art. 271a → 277a → 277b (grzywna do 3000 stawek). KWyb: art. 105 → 111 → 113; art. 111 nie ma jednostek indeksowanych; nowelizacja Dz.U. 2026 poz. 178 dodaje art. 103d–103e w innym rozdziale.</w:t>
            </w:r>
          </w:p>
        </w:tc>
      </w:tr>
      <w:tr>
        <w:tc>
          <w:tcPr>
            <w:tcW w:type="dxa" w:w="2200"/>
            <w:tcMar>
              <w:top w:type="dxa" w:w="60"/>
              <w:left w:type="dxa" w:w="90"/>
              <w:bottom w:type="dxa" w:w="60"/>
              <w:right w:type="dxa" w:w="90"/>
            </w:tcMar>
          </w:tcPr>
          <w:p>
            <w:pPr>
              <w:spacing w:after="20"/>
            </w:pPr>
            <w:r>
              <w:rPr>
                <w:b w:val="false"/>
                <w:bCs w:val="false"/>
                <w:sz w:val="19"/>
                <w:szCs w:val="19"/>
              </w:rPr>
              <w:t xml:space="preserve">S2 — krawędzie jednostki</w:t>
            </w:r>
          </w:p>
        </w:tc>
        <w:tc>
          <w:tcPr>
            <w:tcW w:type="dxa" w:w="6800"/>
            <w:tcMar>
              <w:top w:type="dxa" w:w="60"/>
              <w:left w:type="dxa" w:w="90"/>
              <w:bottom w:type="dxa" w:w="60"/>
              <w:right w:type="dxa" w:w="90"/>
            </w:tcMar>
          </w:tcPr>
          <w:p>
            <w:pPr>
              <w:spacing w:after="20"/>
            </w:pPr>
            <w:r>
              <w:rPr>
                <w:b w:val="false"/>
                <w:bCs w:val="false"/>
                <w:sz w:val="19"/>
                <w:szCs w:val="19"/>
              </w:rPr>
              <w:t xml:space="preserve">⛔ Trafienie rozstrzygające: art. 225 § 2 KPK wyłącza tryb ochronny z § 1 wobec dokumentów objętych tajemnicą zawodową, jeżeli ich posiadaczem jest osoba podejrzana — poczta spółki, której zarząd jest podejrzany, wpada w to wyłączenie; chroni dopiero § 3 (funkcja obrońcy). Art. 54 ust. 2 ustawy AML zawiera zamknięty katalog wyłączeń tajemnicy analizy — ujawnienie klientowi nie jest w nim regułą. Art. 111 § 6 KWyb wyłącza stosowanie art. 104. Art. 113 KWyb zamyka rozdział klauzulą kumulacji z innymi ustawami. Art. 81 ust. 2 pkt 1 pr. aut. to wyjątek od wymogu zezwolenia, ograniczony do wizerunku wykonanego w związku z pełnieniem funkcji publicznych. Art. 6 ust. 1 lit. a) i b) DSA to warunki wyłączenia odpowiedzialności hostingu, a art. 8 DSA zakazuje nakładania ogólnego obowiązku monitorowania.</w:t>
            </w:r>
          </w:p>
        </w:tc>
      </w:tr>
      <w:tr>
        <w:tc>
          <w:tcPr>
            <w:tcW w:type="dxa" w:w="2200"/>
            <w:tcMar>
              <w:top w:type="dxa" w:w="60"/>
              <w:left w:type="dxa" w:w="90"/>
              <w:bottom w:type="dxa" w:w="60"/>
              <w:right w:type="dxa" w:w="90"/>
            </w:tcMar>
          </w:tcPr>
          <w:p>
            <w:pPr>
              <w:spacing w:after="20"/>
            </w:pPr>
            <w:r>
              <w:rPr>
                <w:b w:val="false"/>
                <w:bCs w:val="false"/>
                <w:sz w:val="19"/>
                <w:szCs w:val="19"/>
              </w:rPr>
              <w:t xml:space="preserve">S3 — akty powiązane</w:t>
            </w:r>
          </w:p>
        </w:tc>
        <w:tc>
          <w:tcPr>
            <w:tcW w:type="dxa" w:w="6800"/>
            <w:tcMar>
              <w:top w:type="dxa" w:w="60"/>
              <w:left w:type="dxa" w:w="90"/>
              <w:bottom w:type="dxa" w:w="60"/>
              <w:right w:type="dxa" w:w="90"/>
            </w:tcMar>
          </w:tcPr>
          <w:p>
            <w:pPr>
              <w:spacing w:after="20"/>
            </w:pPr>
            <w:r>
              <w:rPr>
                <w:b w:val="false"/>
                <w:bCs w:val="false"/>
                <w:sz w:val="19"/>
                <w:szCs w:val="19"/>
              </w:rPr>
              <w:t xml:space="preserve">PL-06: ustawa o VAT ↔ Ordynacja podatkowa ↔ KKS ↔ KK (art. 271a, 277a, 299) ↔ ustawa AML ↔ KSH ↔ KPK, przy czym pomostem między KKS a KK jest art. 8 § 1 KKS (zbieg idealny), a między KKS a KPK — art. 113 § 1 KKS. Warstwa unijna: dyrektywa 2006/112/WE (art. 168) i orzecznictwo TSUE o odmowie prawa do odliczenia — odczytane, patrz Aneks weryfikacyjny. PL-07: Kodeks wyborczy ↔ KC ↔ prawo autorskie ↔ KK ↔ DSA ↔ AI Act ↔ RODO; art. 132 KWyb odsyła do ustawy o partiach politycznych, art. 111 § 1 i art. 112 — do Prawa prasowego.</w:t>
            </w:r>
          </w:p>
        </w:tc>
      </w:tr>
      <w:tr>
        <w:tc>
          <w:tcPr>
            <w:tcW w:type="dxa" w:w="2200"/>
            <w:tcMar>
              <w:top w:type="dxa" w:w="60"/>
              <w:left w:type="dxa" w:w="90"/>
              <w:bottom w:type="dxa" w:w="60"/>
              <w:right w:type="dxa" w:w="90"/>
            </w:tcMar>
          </w:tcPr>
          <w:p>
            <w:pPr>
              <w:spacing w:after="20"/>
            </w:pPr>
            <w:r>
              <w:rPr>
                <w:b w:val="false"/>
                <w:bCs w:val="false"/>
                <w:sz w:val="19"/>
                <w:szCs w:val="19"/>
              </w:rPr>
              <w:t xml:space="preserve">S4 — przepisy przejściowe</w:t>
            </w:r>
          </w:p>
        </w:tc>
        <w:tc>
          <w:tcPr>
            <w:tcW w:type="dxa" w:w="6800"/>
            <w:tcMar>
              <w:top w:type="dxa" w:w="60"/>
              <w:left w:type="dxa" w:w="90"/>
              <w:bottom w:type="dxa" w:w="60"/>
              <w:right w:type="dxa" w:w="90"/>
            </w:tcMar>
          </w:tcPr>
          <w:p>
            <w:pPr>
              <w:spacing w:after="20"/>
            </w:pPr>
            <w:r>
              <w:rPr>
                <w:b w:val="false"/>
                <w:bCs w:val="false"/>
                <w:sz w:val="19"/>
                <w:szCs w:val="19"/>
              </w:rPr>
              <w:t xml:space="preserve">KKS: nowelizacja Dz.U. 2026 poz. 846 (ustawa z 29.05.2026) wchodzi zasadniczo 1.10.2026 — data przyszła wobec dnia opracowania; nie stosuję jej. Nowelizacje KPK i KKS z Dz.U. 2026 poz. 901 zawierają własne przepisy przejściowe (art. 3 i art. 4 — skuteczność czynności dokonanych według przepisów dotychczasowych). Reguła intertemporalna dla całej warstwy karnoskarbowej: art. 2 § 2 KKS — ustawa nowa, chyba że poprzednia względniejsza; § 3 zakazuje stosowania w części ustawy nowej i w części dawnej. AI Act: rozporządzenie (UE) 2026/1744 (Digital Omnibus on AI) weszło w życie 27.07.2026; okres przejściowy czterech miesięcy dotyczy WYŁĄCZNIE art. 50 ust. 2 i wyłącznie dostawców, którzy wprowadzili systemy do obrotu przed 2.08.2026 — obowiązek podmiotu stosującego z art. 50 ust. 4 nie został odroczony. Ten sam akt rozszerzył art. 5 AI Act o dwa nowe zakazy, ale oba są zawężone do materiału intymnego bez zgody i materiału przedstawiającego seksualne wykorzystywanie dzieci — deepfake polityczny pozostaje poza art. 5. Szczegóły w Aneksie weryfikacyjnym.</w:t>
            </w:r>
          </w:p>
        </w:tc>
      </w:tr>
    </w:tbl>
    <w:p>
      <w:r>
        <w:br w:type="page"/>
      </w:r>
    </w:p>
    <w:p>
      <w:pPr>
        <w:pStyle w:val="Heading1"/>
        <w:spacing w:after="160" w:before="360"/>
      </w:pPr>
      <w:r>
        <w:t xml:space="preserve">KAZUS PL-06 — „Karuzela, faktoring i milczący zarząd”</w:t>
      </w:r>
    </w:p>
    <w:p>
      <w:pPr>
        <w:spacing w:after="140"/>
      </w:pPr>
      <w:r>
        <w:rPr>
          <w:b w:val="false"/>
          <w:bCs w:val="false"/>
          <w:i/>
          <w:iCs/>
        </w:rPr>
        <w:t xml:space="preserve">VAT · KKS · AML · odpowiedzialność organów spółki · dowody cyfrowe</w:t>
      </w:r>
    </w:p>
    <w:p>
      <w:pPr>
        <w:pStyle w:val="Heading2"/>
        <w:spacing w:after="140" w:before="300"/>
      </w:pPr>
      <w:r>
        <w:t xml:space="preserve">Teza wstępna</w:t>
      </w:r>
    </w:p>
    <w:p>
      <w:pPr>
        <w:spacing w:after="140"/>
      </w:pPr>
      <w:r>
        <w:rPr>
          <w:b w:val="false"/>
          <w:bCs w:val="false"/>
          <w:i w:val="false"/>
          <w:iCs w:val="false"/>
        </w:rPr>
        <w:t xml:space="preserve">Pięć reżimów biegnie równolegle i żaden nie rozstrzyga pozostałych — decyzja podatkowa nie jest prejudykatem winy karnoskarbowej, a umorzenie karnoskarbowe nie przywraca prawa do odliczenia. Najostrzejsza linia nie przebiega jednak tam, gdzie kazus ją sugeruje. Nie chodzi o to, czy spółka „miała dobrą wiarę”, tylko o dwa przepisy, które rozjeżdżają odpowiedzialność spółki i osób: art. 9 § 3 KKS przenosi ją na tego, kto faktycznie zajmuje się sprawami gospodarczymi, a art. 24 § 1 KKS wciąga spółkę z powrotem jako odpowiedzialną posiłkowo za cudzą grzywnę. Drugie sedno jest procesowe: zabezpieczona korespondencja z prawnikami nie jest chroniona automatycznie — art. 225 § 2 KPK wyłącza tryb ochronny wobec posiadacza podejrzanego.</w:t>
      </w:r>
    </w:p>
    <w:p>
      <w:pPr>
        <w:pStyle w:val="Heading2"/>
        <w:spacing w:after="140" w:before="300"/>
      </w:pPr>
      <w:r>
        <w:t xml:space="preserve">Pytanie 1 — rozdział wymiaru podatkowego, KKS, AML, korporacyjnego i kontraktowego</w:t>
      </w:r>
    </w:p>
    <w:p>
      <w:pPr>
        <w:spacing w:after="140"/>
      </w:pPr>
      <w:r>
        <w:rPr>
          <w:b w:val="false"/>
          <w:bCs w:val="false"/>
          <w:i w:val="false"/>
          <w:iCs w:val="false"/>
        </w:rPr>
        <w:t xml:space="preserve">Pięć osi, pięć organów, pięć standardów dowodu. Rozdzielenie nie jest porządkowaniem wykładu — od niego zależy, czego wolno używać w którym postępowaniu.</w:t>
      </w:r>
    </w:p>
    <w:p>
      <w:pPr>
        <w:pStyle w:val="ListParagraph"/>
        <w:numPr>
          <w:ilvl w:val="0"/>
          <w:numId w:val="1"/>
        </w:numPr>
        <w:spacing w:after="90"/>
      </w:pPr>
      <w:r>
        <w:t xml:space="preserve">Podatkowa. Prawo do obniżenia podatku należnego o naliczony przysługuje w zakresie, w jakim towary i usługi są wykorzystywane do czynności opodatkowanych (art. 86 ust. 1 ustawy o VAT). Wyłączenie działa obiektywnie: nie stanowią podstawy obniżenia faktury, które stwierdzają czynności, które nie zostały dokonane — w części dotyczącej tych czynności (art. 88 ust. 3a pkt 4 lit. a). [VER: api.sejm.gov.pl ELI DU/2025/775 text.pdf — RZĄD 1, 2026-09-02]</w:t>
      </w:r>
    </w:p>
    <w:p>
      <w:pPr>
        <w:pStyle w:val="ListParagraph"/>
        <w:numPr>
          <w:ilvl w:val="0"/>
          <w:numId w:val="1"/>
        </w:numPr>
        <w:spacing w:after="90"/>
      </w:pPr>
      <w:r>
        <w:t xml:space="preserve">Osobno, po stronie wystawcy: kto wystawi fakturę, w której wykaże kwotę podatku, jest obowiązany do jego zapłaty (art. 108 ust. 1 ustawy o VAT). To nie jest oś odliczeniowa i nie miesza się z poprzednią. [VER: jw. — RZĄD 1, 2026-09-02]</w:t>
      </w:r>
    </w:p>
    <w:p>
      <w:pPr>
        <w:pStyle w:val="ListParagraph"/>
        <w:numPr>
          <w:ilvl w:val="0"/>
          <w:numId w:val="1"/>
        </w:numPr>
        <w:spacing w:after="90"/>
      </w:pPr>
      <w:r>
        <w:t xml:space="preserve">Karnoskarbowa. Trzy typy wchodzą w grę: art. 56 § 1 KKS (podanie nieprawdy w deklaracji, przez co naraża się podatek na uszczuplenie), art. 76 § 1 KKS (wprowadzenie organu w błąd narażające na nienależny zwrot podatku naliczonego) i art. 62 § 2 KKS (nierzetelna faktura albo posługiwanie się takim dokumentem — kara grzywny do 720 stawek dziennych albo pozbawienia wolności na czas nie krótszy od roku, albo obie łącznie). [VER: api.sejm.gov.pl ELI DU/2025/633 text.pdf — RZĄD 1, 2026-09-02]</w:t>
      </w:r>
    </w:p>
    <w:p>
      <w:pPr>
        <w:pStyle w:val="ListParagraph"/>
        <w:numPr>
          <w:ilvl w:val="0"/>
          <w:numId w:val="1"/>
        </w:numPr>
        <w:spacing w:after="90"/>
      </w:pPr>
      <w:r>
        <w:t xml:space="preserve">Zbieg z prawem karnym powszechnym nie jest opcją interpretacyjną, tylko nakazem: jeżeli ten sam czyn wyczerpuje zarazem znamiona przestępstwa z innej ustawy, stosuje się każdy z tych przepisów, a wykonaniu podlega tylko najsurowsza kara (art. 8 § 1 i § 2 KKS). [VER: jw. — RZĄD 1, 2026-09-02]</w:t>
      </w:r>
    </w:p>
    <w:p>
      <w:pPr>
        <w:pStyle w:val="ListParagraph"/>
        <w:numPr>
          <w:ilvl w:val="0"/>
          <w:numId w:val="1"/>
        </w:numPr>
        <w:spacing w:after="90"/>
      </w:pPr>
      <w:r>
        <w:t xml:space="preserve">AML. Reżim banku, nie spółki. Obowiązki instytucji obowiązanej z art. 34, 43 i 74 ustawy AML oceniane są niezależnie od tego, jak zakończy się sprawa podatkowa Electry.</w:t>
      </w:r>
    </w:p>
    <w:p>
      <w:pPr>
        <w:pStyle w:val="ListParagraph"/>
        <w:numPr>
          <w:ilvl w:val="0"/>
          <w:numId w:val="1"/>
        </w:numPr>
        <w:spacing w:after="90"/>
      </w:pPr>
      <w:r>
        <w:t xml:space="preserve">Korporacyjna. Członek zarządu odpowiada wobec spółki za szkodę wyrządzoną działaniem lub zaniechaniem sprzecznym z prawem lub statutem, chyba że nie ponosi winy (art. 483 § 1 KSH); nie narusza obowiązku staranności zawodowej ten, kto działając lojalnie, mieści się w granicach uzasadnionego ryzyka gospodarczego, w tym na podstawie informacji, analiz i opinii, które powinny być uwzględnione przy starannej ocenie (art. 483 § 3). [VER: api.sejm.gov.pl ELI DU/2024/18 text.pdf — RZĄD 1, 2026-09-02]</w:t>
      </w:r>
    </w:p>
    <w:p>
      <w:pPr>
        <w:pStyle w:val="ListParagraph"/>
        <w:numPr>
          <w:ilvl w:val="0"/>
          <w:numId w:val="1"/>
        </w:numPr>
        <w:spacing w:after="90"/>
      </w:pPr>
      <w:r>
        <w:t xml:space="preserve">Podatkowa osób trzecich. Za zaległości spółki akcyjnej odpowiadają solidarnie członkowie zarządu, jeżeli egzekucja z majątku spółki okazała się bezskuteczna, a członek zarządu nie wykazał przesłanek egzoneracyjnych (art. 116 § 1 Ordynacji podatkowej). [VER: api.sejm.gov.pl ELI DU/2026/622 text.pdf — RZĄD 1, 2026-09-02]</w:t>
      </w:r>
    </w:p>
    <w:p>
      <w:pPr>
        <w:pStyle w:val="ListParagraph"/>
        <w:numPr>
          <w:ilvl w:val="0"/>
          <w:numId w:val="1"/>
        </w:numPr>
        <w:spacing w:after="90"/>
      </w:pPr>
      <w:r>
        <w:t xml:space="preserve">Kontraktowa. Wypowiedzenie faktoringu i żądanie wykupu wierzytelności to wyłącznie reżim umowny. ⬛ Treści umowy kazus nie podaje, więc ocena jest niemożliwa.</w:t>
      </w:r>
    </w:p>
    <w:p>
      <w:pPr>
        <w:spacing w:after="140"/>
      </w:pPr>
      <w:r>
        <w:rPr>
          <w:b w:val="false"/>
          <w:bCs w:val="false"/>
          <w:i w:val="false"/>
          <w:iCs w:val="false"/>
        </w:rPr>
        <w:t xml:space="preserve">Uwaga metodologiczna: przepływ informacji między osiami jest asymetryczny. Ustalenia kontroli celno-skarbowej trafią do postępowania karnoskarbowego bez przeszkód; analiza AML banku — nie, bo blokuje ją art. 54 ust. 1 ustawy AML.</w:t>
      </w:r>
    </w:p>
    <w:p>
      <w:pPr>
        <w:pStyle w:val="Heading2"/>
        <w:spacing w:after="140" w:before="300"/>
      </w:pPr>
      <w:r>
        <w:t xml:space="preserve">Pytanie 2 — czy spółka dochowała należytej staranności wobec czerwonych flag</w:t>
      </w:r>
    </w:p>
    <w:p>
      <w:pPr>
        <w:spacing w:after="140"/>
      </w:pPr>
      <w:r>
        <w:rPr>
          <w:b w:val="false"/>
          <w:bCs w:val="false"/>
          <w:i w:val="false"/>
          <w:iCs w:val="false"/>
        </w:rPr>
        <w:t xml:space="preserve">Pytanie jest źle postawione i to trzeba powiedzieć wprost. Należyta staranność nie jest przesłanką ustawową odliczenia. Art. 88 ust. 3a pkt 4 lit. a ustawy o VAT działa obiektywnie: jeżeli czynności nie dokonano, faktura nie daje prawa do odliczenia niezależnie od stanu wiedzy nabywcy. Dobra wiara jest korektą orzeczniczą, wypracowaną dla podatnika uwikłanego w cudze oszustwo w łańcuchu, a nie samodzielną podstawą z ustawy. Standard i jego granice — z odczytanym orzecznictwem — opisuje Aneks weryfikacyjny na końcu arkusza.</w:t>
      </w:r>
    </w:p>
    <w:p>
      <w:pPr>
        <w:spacing w:after="140"/>
      </w:pPr>
      <w:r>
        <w:rPr>
          <w:b w:val="false"/>
          <w:bCs w:val="false"/>
          <w:i w:val="false"/>
          <w:iCs w:val="false"/>
        </w:rPr>
        <w:t xml:space="preserve">Rozstrzygające pytanie wstępne brzmi więc inaczej: czy Electra była nabywcą fikcyjnej faktury, czy realnym nabywcą towaru w łańcuchu, w którym oszustwa dopuścił się kto inny. ⬛ Kazus tego nie przesądza — a od tego zależy zarówno warstwa podatkowa, jak i wybór typu czynu.</w:t>
      </w:r>
    </w:p>
    <w:p>
      <w:pPr>
        <w:spacing w:after="140"/>
      </w:pPr>
      <w:r>
        <w:rPr>
          <w:b w:val="false"/>
          <w:bCs w:val="false"/>
          <w:i w:val="false"/>
          <w:iCs w:val="false"/>
        </w:rPr>
        <w:t xml:space="preserve">Przy założeniu drugiego wariantu ocena staranności wygląda tak:</w:t>
      </w:r>
    </w:p>
    <w:p>
      <w:pPr>
        <w:pStyle w:val="ListParagraph"/>
        <w:numPr>
          <w:ilvl w:val="0"/>
          <w:numId w:val="1"/>
        </w:numPr>
        <w:spacing w:after="90"/>
      </w:pPr>
      <w:r>
        <w:t xml:space="preserve">Zgłoszone sygnały nie są miękkie. Brak magazynu dostawcy to wątpliwość co do realności dostaw jako takich. Powtarzające się numery dokumentów transportowych to wskazanie, że ten sam transport dokumentuje wiele obrotów. Częste zmiany rachunków i gwałtowny wzrost obrotu dopełniają obrazu.</w:t>
      </w:r>
    </w:p>
    <w:p>
      <w:pPr>
        <w:pStyle w:val="ListParagraph"/>
        <w:numPr>
          <w:ilvl w:val="0"/>
          <w:numId w:val="1"/>
        </w:numPr>
        <w:spacing w:after="90"/>
      </w:pPr>
      <w:r>
        <w:t xml:space="preserve">Miarą nie jest to, czy spółka zrobiła cokolwiek, lecz czy to, co zrobiła, mogło rozwiać konkretną wątpliwość. Przegląd, który nie ustala, gdzie fizycznie znajduje się towar, nie odpowiada na pytanie o brak magazynu — jest czynnością pozorowaną wobec zgłoszonego sygnału.</w:t>
      </w:r>
    </w:p>
    <w:p>
      <w:pPr>
        <w:pStyle w:val="ListParagraph"/>
        <w:numPr>
          <w:ilvl w:val="0"/>
          <w:numId w:val="1"/>
        </w:numPr>
        <w:spacing w:after="90"/>
      </w:pPr>
      <w:r>
        <w:t xml:space="preserve">Kontynuacja handlu na dotychczasową skalę po takim przeglądzie jest samodzielnym elementem stanu faktycznego. Wstrzymanie transakcji do wyjaśnienia było dostępne i nie wymagało wiedzy specjalistycznej.</w:t>
      </w:r>
    </w:p>
    <w:p>
      <w:pPr>
        <w:pStyle w:val="ListParagraph"/>
        <w:numPr>
          <w:ilvl w:val="0"/>
          <w:numId w:val="1"/>
        </w:numPr>
        <w:spacing w:after="90"/>
      </w:pPr>
      <w:r>
        <w:t xml:space="preserve">Odwrotny kierunek jest jednak realny: art. 483 § 3 KSH chroni decyzję opartą na „informacjach, analiz i opinii, które powinny być uwzględnione”. Jeżeli przegląd miał formę udokumentowanej opinii zewnętrznej z konkluzją uspokajającą, obrona prezesa w warstwie korporacyjnej staje się poważna. ⬛ Treści i autora przeglądu nie znamy — to jest pojedynczy fakt, który przeważa całą tę oś.</w:t>
      </w:r>
    </w:p>
    <w:p>
      <w:pPr>
        <w:pStyle w:val="Heading2"/>
        <w:spacing w:after="140" w:before="300"/>
      </w:pPr>
      <w:r>
        <w:t xml:space="preserve">Pytanie 3 — przypisanie wiedzy, decyzji i strony podmiotowej</w:t>
      </w:r>
    </w:p>
    <w:p>
      <w:pPr>
        <w:spacing w:after="140"/>
      </w:pPr>
      <w:r>
        <w:rPr>
          <w:b w:val="false"/>
          <w:bCs w:val="false"/>
          <w:i w:val="false"/>
          <w:iCs w:val="false"/>
        </w:rPr>
        <w:t xml:space="preserve">Tu kazus zastawia pułapkę i większość odpowiedzi w nią wpada. Intuicja podpowiada, że dyrektor finansowy, który zgłosił zastrzeżenia, jest poza zakresem odpowiedzialności. Ustawa mówi coś innego.</w:t>
      </w:r>
    </w:p>
    <w:p>
      <w:pPr>
        <w:pStyle w:val="ListParagraph"/>
        <w:numPr>
          <w:ilvl w:val="0"/>
          <w:numId w:val="1"/>
        </w:numPr>
        <w:spacing w:after="90"/>
      </w:pPr>
      <w:r>
        <w:t xml:space="preserve">Za przestępstwa skarbowe odpowiada jak sprawca także ten, kto na podstawie przepisu prawa, decyzji właściwego organu, umowy lub faktycznego wykonywania zajmuje się sprawami gospodarczymi, w szczególności finansowymi, osoby prawnej (art. 9 § 3 KKS). Dyrektor finansowy mieści się w tej hipotezie z samego opisu funkcji. Zgłoszenie zastrzeżeń nie wyprowadza go z zakresu podmiotowego — działa dopiero na poziomie strony podmiotowej. [VER: api.sejm.gov.pl ELI DU/2025/633 text.pdf — RZĄD 1, 2026-09-02]</w:t>
      </w:r>
    </w:p>
    <w:p>
      <w:pPr>
        <w:pStyle w:val="ListParagraph"/>
        <w:numPr>
          <w:ilvl w:val="0"/>
          <w:numId w:val="1"/>
        </w:numPr>
        <w:spacing w:after="90"/>
      </w:pPr>
      <w:r>
        <w:t xml:space="preserve">Indywidualizacja ma podstawę ustawową, nie doktrynalną: każdy ze współsprawców odpowiada w granicach swej umyślności lub nieumyślności, niezależnie od odpowiedzialności pozostałych sprawców (art. 9 § 2 KKS). To zdanie samo w sobie rozbija tezę o odpowiedzialności zarządu jako organu.</w:t>
      </w:r>
    </w:p>
    <w:p>
      <w:pPr>
        <w:pStyle w:val="ListParagraph"/>
        <w:numPr>
          <w:ilvl w:val="0"/>
          <w:numId w:val="1"/>
        </w:numPr>
        <w:spacing w:after="90"/>
      </w:pPr>
      <w:r>
        <w:t xml:space="preserve">Prezes. Zgłoszenie flag przez dyrektora finansowego tworzy udokumentowany stan świadomości. Decyzja o kontynuacji po przeglądzie nieadekwatnym do sygnału jest klasyczną konstrukcją zamiaru ewentualnego — przewidywania możliwości i godzenia się. To jest najmocniejsza pozycja oskarżenia w całym kazusie.</w:t>
      </w:r>
    </w:p>
    <w:p>
      <w:pPr>
        <w:pStyle w:val="ListParagraph"/>
        <w:numPr>
          <w:ilvl w:val="0"/>
          <w:numId w:val="1"/>
        </w:numPr>
        <w:spacing w:after="90"/>
      </w:pPr>
      <w:r>
        <w:t xml:space="preserve">Dyrektor finansowy. Zgłoszenie obniża stronę podmiotową, ale nie wyłącza jej automatycznie. Jeżeli po zgłoszeniu nadal podpisywał deklaracje, wraca art. 9 § 3, a zgłoszenie staje się dowodem jego wiedzy, nie jego niewinności. To jest odwrotność potocznej intuicji. ⬛ Kazus nie mówi, kto podpisywał deklaracje.</w:t>
      </w:r>
    </w:p>
    <w:p>
      <w:pPr>
        <w:pStyle w:val="ListParagraph"/>
        <w:numPr>
          <w:ilvl w:val="0"/>
          <w:numId w:val="1"/>
        </w:numPr>
        <w:spacing w:after="90"/>
      </w:pPr>
      <w:r>
        <w:t xml:space="preserve">Pozostali członkowie zarządu. ⬛ Brak jakichkolwiek danych o składzie i podziale kompetencji — przypisanie niemożliwe, a domniemywanie zakazane.</w:t>
      </w:r>
    </w:p>
    <w:p>
      <w:pPr>
        <w:pStyle w:val="ListParagraph"/>
        <w:numPr>
          <w:ilvl w:val="0"/>
          <w:numId w:val="1"/>
        </w:numPr>
        <w:spacing w:after="90"/>
      </w:pPr>
      <w:r>
        <w:t xml:space="preserve">Spółka. Za grzywnę wymierzoną sprawcy przestępstwa skarbowego czyni się odpowiedzialną posiłkowo osobę prawną, jeżeli sprawcą jest jej zastępca prowadzący jej sprawy, a zastępowany podmiot odniósł albo mógł odnieść z przestępstwa jakąkolwiek korzyść majątkową (art. 24 § 1 KKS). To nie jest odpowiedzialność karna spółki, tylko instytucja majątkowa — ale przy utracie płynności uderza dokładnie tam, gdzie boli. [VER: jw. — RZĄD 1, 2026-09-02]</w:t>
      </w:r>
    </w:p>
    <w:p>
      <w:pPr>
        <w:spacing w:after="140"/>
      </w:pPr>
      <w:r>
        <w:rPr>
          <w:b w:val="false"/>
          <w:bCs w:val="false"/>
          <w:i w:val="false"/>
          <w:iCs w:val="false"/>
        </w:rPr>
        <w:t xml:space="preserve">Czynny żal dyrektora finansowego — wniosek rozstrzygający. Zawiadomienie jest bezskuteczne, jeżeli zostało złożone po rozpoczęciu przez organ ścigania czynności służbowej, w szczególności przeszukania, czynności sprawdzającej lub kontroli zmierzającej do ujawnienia czynu, chyba że czynność ta nie dostarczyła podstaw do wszczęcia postępowania (art. 16 § 5 pkt 2 KKS); niezależnie od tego wymagane jest uiszczenie w całości wymagalnej należności publicznoprawnej (art. 16 § 2). [VER: jw. — RZĄD 1, 2026-09-02] Kontrola KAS już się odbyła i dostarczyła podstaw. W tym stanie faktycznym czynny żal jest najprawdopodobniej spóźniony, a rozważana „współpraca z organami” musi iść inną drogą niż art. 16 KKS — przez wyjaśnienia i ewentualne instytucje konsensualne, nie przez niekaralność.</w:t>
      </w:r>
    </w:p>
    <w:p>
      <w:pPr>
        <w:pStyle w:val="Heading2"/>
        <w:spacing w:after="140" w:before="300"/>
      </w:pPr>
      <w:r>
        <w:t xml:space="preserve">Kwalifikator karnomaterialny (UP-3)</w:t>
      </w:r>
    </w:p>
    <w:p>
      <w:pPr>
        <w:spacing w:after="140"/>
      </w:pPr>
      <w:r>
        <w:rPr>
          <w:b w:val="false"/>
          <w:bCs w:val="false"/>
          <w:i w:val="false"/>
          <w:iCs w:val="false"/>
        </w:rPr>
        <w:t xml:space="preserve">Wejście: dr-03 → mod-KKS-karny-skarbowy-i-AML.md; drzewo prowadzone od faktu, nie od pierwszego pasującego przepisu.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4500"/>
      </w:tblGrid>
      <w:tr>
        <w:trPr>
          <w:tblHeader/>
        </w:trPr>
        <w:tc>
          <w:tcPr>
            <w:tcW w:type="dxa" w:w="1900"/>
            <w:shd w:fill="1F3864" w:color="auto" w:val="clear"/>
            <w:tcMar>
              <w:top w:type="dxa" w:w="60"/>
              <w:left w:type="dxa" w:w="90"/>
              <w:bottom w:type="dxa" w:w="60"/>
              <w:right w:type="dxa" w:w="90"/>
            </w:tcMar>
          </w:tcPr>
          <w:p>
            <w:pPr>
              <w:spacing w:after="20"/>
            </w:pPr>
            <w:r>
              <w:rPr>
                <w:b/>
                <w:bCs/>
                <w:color w:val="FFFFFF"/>
                <w:sz w:val="19"/>
                <w:szCs w:val="19"/>
              </w:rPr>
              <w:t xml:space="preserve">Krok drzewa</w:t>
            </w:r>
          </w:p>
        </w:tc>
        <w:tc>
          <w:tcPr>
            <w:tcW w:type="dxa" w:w="2600"/>
            <w:shd w:fill="1F3864" w:color="auto" w:val="clear"/>
            <w:tcMar>
              <w:top w:type="dxa" w:w="60"/>
              <w:left w:type="dxa" w:w="90"/>
              <w:bottom w:type="dxa" w:w="60"/>
              <w:right w:type="dxa" w:w="90"/>
            </w:tcMar>
          </w:tcPr>
          <w:p>
            <w:pPr>
              <w:spacing w:after="20"/>
            </w:pPr>
            <w:r>
              <w:rPr>
                <w:b/>
                <w:bCs/>
                <w:color w:val="FFFFFF"/>
                <w:sz w:val="19"/>
                <w:szCs w:val="19"/>
              </w:rPr>
              <w:t xml:space="preserve">Ustalenie</w:t>
            </w:r>
          </w:p>
        </w:tc>
        <w:tc>
          <w:tcPr>
            <w:tcW w:type="dxa" w:w="4500"/>
            <w:shd w:fill="1F3864" w:color="auto" w:val="clear"/>
            <w:tcMar>
              <w:top w:type="dxa" w:w="60"/>
              <w:left w:type="dxa" w:w="90"/>
              <w:bottom w:type="dxa" w:w="60"/>
              <w:right w:type="dxa" w:w="90"/>
            </w:tcMar>
          </w:tcPr>
          <w:p>
            <w:pPr>
              <w:spacing w:after="20"/>
            </w:pPr>
            <w:r>
              <w:rPr>
                <w:b/>
                <w:bCs/>
                <w:color w:val="FFFFFF"/>
                <w:sz w:val="19"/>
                <w:szCs w:val="19"/>
              </w:rPr>
              <w:t xml:space="preserve">Wynik kwalifikacyjny</w:t>
            </w:r>
          </w:p>
        </w:tc>
      </w:tr>
      <w:tr>
        <w:tc>
          <w:tcPr>
            <w:tcW w:type="dxa" w:w="1900"/>
            <w:tcMar>
              <w:top w:type="dxa" w:w="60"/>
              <w:left w:type="dxa" w:w="90"/>
              <w:bottom w:type="dxa" w:w="60"/>
              <w:right w:type="dxa" w:w="90"/>
            </w:tcMar>
          </w:tcPr>
          <w:p>
            <w:pPr>
              <w:spacing w:after="20"/>
            </w:pPr>
            <w:r>
              <w:rPr>
                <w:b w:val="false"/>
                <w:bCs w:val="false"/>
                <w:sz w:val="19"/>
                <w:szCs w:val="19"/>
              </w:rPr>
              <w:t xml:space="preserve">1. Czy dostawy były realne?</w:t>
            </w:r>
          </w:p>
        </w:tc>
        <w:tc>
          <w:tcPr>
            <w:tcW w:type="dxa" w:w="2600"/>
            <w:tcMar>
              <w:top w:type="dxa" w:w="60"/>
              <w:left w:type="dxa" w:w="90"/>
              <w:bottom w:type="dxa" w:w="60"/>
              <w:right w:type="dxa" w:w="90"/>
            </w:tcMar>
          </w:tcPr>
          <w:p>
            <w:pPr>
              <w:spacing w:after="20"/>
            </w:pPr>
            <w:r>
              <w:rPr>
                <w:b w:val="false"/>
                <w:bCs w:val="false"/>
                <w:sz w:val="19"/>
                <w:szCs w:val="19"/>
              </w:rPr>
              <w:t xml:space="preserve">⬛ nieustalone — brak danych o towarze, magazynie odbiorcy, ruchu fizycznym</w:t>
            </w:r>
          </w:p>
        </w:tc>
        <w:tc>
          <w:tcPr>
            <w:tcW w:type="dxa" w:w="4500"/>
            <w:tcMar>
              <w:top w:type="dxa" w:w="60"/>
              <w:left w:type="dxa" w:w="90"/>
              <w:bottom w:type="dxa" w:w="60"/>
              <w:right w:type="dxa" w:w="90"/>
            </w:tcMar>
          </w:tcPr>
          <w:p>
            <w:pPr>
              <w:spacing w:after="20"/>
            </w:pPr>
            <w:r>
              <w:rPr>
                <w:b w:val="false"/>
                <w:bCs w:val="false"/>
                <w:sz w:val="19"/>
                <w:szCs w:val="19"/>
              </w:rPr>
              <w:t xml:space="preserve">Rozgałęzienie nieusuwalne. Wariant A (dostawy fikcyjne): art. 62 § 2 KKS w zbiegu idealnym (art. 8 § 1 KKS) z art. 271a § 1 KK. Wariant B (dostawy realne, rozliczenie nierzetelne): art. 56 § 1 KKS, ewentualnie art. 76 § 1 KKS przy zwrocie.</w:t>
            </w:r>
          </w:p>
        </w:tc>
      </w:tr>
      <w:tr>
        <w:tc>
          <w:tcPr>
            <w:tcW w:type="dxa" w:w="1900"/>
            <w:tcMar>
              <w:top w:type="dxa" w:w="60"/>
              <w:left w:type="dxa" w:w="90"/>
              <w:bottom w:type="dxa" w:w="60"/>
              <w:right w:type="dxa" w:w="90"/>
            </w:tcMar>
          </w:tcPr>
          <w:p>
            <w:pPr>
              <w:spacing w:after="20"/>
            </w:pPr>
            <w:r>
              <w:rPr>
                <w:b w:val="false"/>
                <w:bCs w:val="false"/>
                <w:sz w:val="19"/>
                <w:szCs w:val="19"/>
              </w:rPr>
              <w:t xml:space="preserve">2. Wartość i próg</w:t>
            </w:r>
          </w:p>
        </w:tc>
        <w:tc>
          <w:tcPr>
            <w:tcW w:type="dxa" w:w="2600"/>
            <w:tcMar>
              <w:top w:type="dxa" w:w="60"/>
              <w:left w:type="dxa" w:w="90"/>
              <w:bottom w:type="dxa" w:w="60"/>
              <w:right w:type="dxa" w:w="90"/>
            </w:tcMar>
          </w:tcPr>
          <w:p>
            <w:pPr>
              <w:spacing w:after="20"/>
            </w:pPr>
            <w:r>
              <w:rPr>
                <w:b w:val="false"/>
                <w:bCs w:val="false"/>
                <w:sz w:val="19"/>
                <w:szCs w:val="19"/>
              </w:rPr>
              <w:t xml:space="preserve">⬛ brak kwot i dat czynu</w:t>
            </w:r>
          </w:p>
        </w:tc>
        <w:tc>
          <w:tcPr>
            <w:tcW w:type="dxa" w:w="4500"/>
            <w:tcMar>
              <w:top w:type="dxa" w:w="60"/>
              <w:left w:type="dxa" w:w="90"/>
              <w:bottom w:type="dxa" w:w="60"/>
              <w:right w:type="dxa" w:w="90"/>
            </w:tcMar>
          </w:tcPr>
          <w:p>
            <w:pPr>
              <w:spacing w:after="20"/>
            </w:pPr>
            <w:r>
              <w:rPr>
                <w:b w:val="false"/>
                <w:bCs w:val="false"/>
                <w:sz w:val="19"/>
                <w:szCs w:val="19"/>
              </w:rPr>
              <w:t xml:space="preserve">Wykroczenie skarbowe: kwota uszczuplenia albo wartość przedmiotu czynu nieprzekraczająca pięciokrotnej wysokości minimalnego wynagrodzenia w czasie popełnienia czynu (art. 53 § 3), i to jest zarazem „ustawowy próg” części szczególnej (art. 53 § 6). Mała wartość — do dwustukrotności, duża — powyżej pięćsetkrotności, wielka — powyżej tysiąckrotności minimalnego wynagrodzenia (art. 53 § 14–16). Bez kwot i dat typ czynu jest nieprzypisywalny.</w:t>
            </w:r>
          </w:p>
        </w:tc>
      </w:tr>
      <w:tr>
        <w:tc>
          <w:tcPr>
            <w:tcW w:type="dxa" w:w="1900"/>
            <w:tcMar>
              <w:top w:type="dxa" w:w="60"/>
              <w:left w:type="dxa" w:w="90"/>
              <w:bottom w:type="dxa" w:w="60"/>
              <w:right w:type="dxa" w:w="90"/>
            </w:tcMar>
          </w:tcPr>
          <w:p>
            <w:pPr>
              <w:spacing w:after="20"/>
            </w:pPr>
            <w:r>
              <w:rPr>
                <w:b w:val="false"/>
                <w:bCs w:val="false"/>
                <w:sz w:val="19"/>
                <w:szCs w:val="19"/>
              </w:rPr>
              <w:t xml:space="preserve">3. Typ kwalifikowany KK</w:t>
            </w:r>
          </w:p>
        </w:tc>
        <w:tc>
          <w:tcPr>
            <w:tcW w:type="dxa" w:w="2600"/>
            <w:tcMar>
              <w:top w:type="dxa" w:w="60"/>
              <w:left w:type="dxa" w:w="90"/>
              <w:bottom w:type="dxa" w:w="60"/>
              <w:right w:type="dxa" w:w="90"/>
            </w:tcMar>
          </w:tcPr>
          <w:p>
            <w:pPr>
              <w:spacing w:after="20"/>
            </w:pPr>
            <w:r>
              <w:rPr>
                <w:b w:val="false"/>
                <w:bCs w:val="false"/>
                <w:sz w:val="19"/>
                <w:szCs w:val="19"/>
              </w:rPr>
              <w:t xml:space="preserve">⬛ brak łącznej wartości faktur</w:t>
            </w:r>
          </w:p>
        </w:tc>
        <w:tc>
          <w:tcPr>
            <w:tcW w:type="dxa" w:w="4500"/>
            <w:tcMar>
              <w:top w:type="dxa" w:w="60"/>
              <w:left w:type="dxa" w:w="90"/>
              <w:bottom w:type="dxa" w:w="60"/>
              <w:right w:type="dxa" w:w="90"/>
            </w:tcMar>
          </w:tcPr>
          <w:p>
            <w:pPr>
              <w:spacing w:after="20"/>
            </w:pPr>
            <w:r>
              <w:rPr>
                <w:b w:val="false"/>
                <w:bCs w:val="false"/>
                <w:sz w:val="19"/>
                <w:szCs w:val="19"/>
              </w:rPr>
              <w:t xml:space="preserve">art. 271a § 1 KK (wartość znaczna) — kara pozbawienia wolności od 6 miesięcy do lat 8; § 2 przy wartości większej niż pięciokrotność mienia wielkiej wartości albo stałym źródle dochodu — od lat 3 do 20; art. 277a § 1 KK przy wartości większej niż dziesięciokrotność mienia wielkiej wartości — od lat 5 do 25.</w:t>
            </w:r>
          </w:p>
        </w:tc>
      </w:tr>
      <w:tr>
        <w:tc>
          <w:tcPr>
            <w:tcW w:type="dxa" w:w="1900"/>
            <w:tcMar>
              <w:top w:type="dxa" w:w="60"/>
              <w:left w:type="dxa" w:w="90"/>
              <w:bottom w:type="dxa" w:w="60"/>
              <w:right w:type="dxa" w:w="90"/>
            </w:tcMar>
          </w:tcPr>
          <w:p>
            <w:pPr>
              <w:spacing w:after="20"/>
            </w:pPr>
            <w:r>
              <w:rPr>
                <w:b w:val="false"/>
                <w:bCs w:val="false"/>
                <w:sz w:val="19"/>
                <w:szCs w:val="19"/>
              </w:rPr>
              <w:t xml:space="preserve">4. Pranie pieniędzy</w:t>
            </w:r>
          </w:p>
        </w:tc>
        <w:tc>
          <w:tcPr>
            <w:tcW w:type="dxa" w:w="2600"/>
            <w:tcMar>
              <w:top w:type="dxa" w:w="60"/>
              <w:left w:type="dxa" w:w="90"/>
              <w:bottom w:type="dxa" w:w="60"/>
              <w:right w:type="dxa" w:w="90"/>
            </w:tcMar>
          </w:tcPr>
          <w:p>
            <w:pPr>
              <w:spacing w:after="20"/>
            </w:pPr>
            <w:r>
              <w:rPr>
                <w:b w:val="false"/>
                <w:bCs w:val="false"/>
                <w:sz w:val="19"/>
                <w:szCs w:val="19"/>
              </w:rPr>
              <w:t xml:space="preserve">⬛ brak ustaleń o pochodzeniu środków</w:t>
            </w:r>
          </w:p>
        </w:tc>
        <w:tc>
          <w:tcPr>
            <w:tcW w:type="dxa" w:w="4500"/>
            <w:tcMar>
              <w:top w:type="dxa" w:w="60"/>
              <w:left w:type="dxa" w:w="90"/>
              <w:bottom w:type="dxa" w:w="60"/>
              <w:right w:type="dxa" w:w="90"/>
            </w:tcMar>
          </w:tcPr>
          <w:p>
            <w:pPr>
              <w:spacing w:after="20"/>
            </w:pPr>
            <w:r>
              <w:rPr>
                <w:b w:val="false"/>
                <w:bCs w:val="false"/>
                <w:sz w:val="19"/>
                <w:szCs w:val="19"/>
              </w:rPr>
              <w:t xml:space="preserve">art. 299 § 1 KK wymaga mienia pochodzącego z korzyści związanych z popełnieniem czynu zabronionego. Osobno art. 299 § 2 KK adresuje pracownika banku przyjmującego wbrew przepisom środki w okolicznościach wzbudzających podejrzenie — to jedyna oś, na której bank może wyjść poza odpowiedzialność administracyjną.</w:t>
            </w:r>
          </w:p>
        </w:tc>
      </w:tr>
      <w:tr>
        <w:tc>
          <w:tcPr>
            <w:tcW w:type="dxa" w:w="1900"/>
            <w:tcMar>
              <w:top w:type="dxa" w:w="60"/>
              <w:left w:type="dxa" w:w="90"/>
              <w:bottom w:type="dxa" w:w="60"/>
              <w:right w:type="dxa" w:w="90"/>
            </w:tcMar>
          </w:tcPr>
          <w:p>
            <w:pPr>
              <w:spacing w:after="20"/>
            </w:pPr>
            <w:r>
              <w:rPr>
                <w:b w:val="false"/>
                <w:bCs w:val="false"/>
                <w:sz w:val="19"/>
                <w:szCs w:val="19"/>
              </w:rPr>
              <w:t xml:space="preserve">5. Test końcowy P1–P5</w:t>
            </w:r>
          </w:p>
        </w:tc>
        <w:tc>
          <w:tcPr>
            <w:tcW w:type="dxa" w:w="2600"/>
            <w:tcMar>
              <w:top w:type="dxa" w:w="60"/>
              <w:left w:type="dxa" w:w="90"/>
              <w:bottom w:type="dxa" w:w="60"/>
              <w:right w:type="dxa" w:w="90"/>
            </w:tcMar>
          </w:tcPr>
          <w:p>
            <w:pPr>
              <w:spacing w:after="20"/>
            </w:pPr>
            <w:r>
              <w:rPr>
                <w:b w:val="false"/>
                <w:bCs w:val="false"/>
                <w:sz w:val="19"/>
                <w:szCs w:val="19"/>
              </w:rPr>
              <w:t xml:space="preserve">niezamknięty</w:t>
            </w:r>
          </w:p>
        </w:tc>
        <w:tc>
          <w:tcPr>
            <w:tcW w:type="dxa" w:w="4500"/>
            <w:tcMar>
              <w:top w:type="dxa" w:w="60"/>
              <w:left w:type="dxa" w:w="90"/>
              <w:bottom w:type="dxa" w:w="60"/>
              <w:right w:type="dxa" w:w="90"/>
            </w:tcMar>
          </w:tcPr>
          <w:p>
            <w:pPr>
              <w:spacing w:after="20"/>
            </w:pPr>
            <w:r>
              <w:rPr>
                <w:b w:val="false"/>
                <w:bCs w:val="false"/>
                <w:sz w:val="19"/>
                <w:szCs w:val="19"/>
              </w:rPr>
              <w:t xml:space="preserve">Brak daty czynu, kwoty i ustalenia realności dostaw uniemożliwia zamknięcie testu. Kwalifikacja pozostaje warunkowa — zakaz formułowania zarzutu na tym materiale.</w:t>
            </w:r>
          </w:p>
        </w:tc>
      </w:tr>
    </w:tbl>
    <w:p>
      <w:pPr>
        <w:spacing w:after="140"/>
      </w:pPr>
      <w:r>
        <w:rPr>
          <w:b w:val="false"/>
          <w:bCs w:val="false"/>
          <w:i w:val="false"/>
          <w:iCs w:val="false"/>
        </w:rPr>
        <w:t xml:space="preserve">DOMAIN-LOCK — uzasadnienie powołania przepisów KK w torze karnoskarbowym: podstawą nie jest skojarzenie, lecz art. 8 § 1 KKS (nakaz stosowania każdego ze zbiegających się przepisów) oraz konkretny fakt ze stanu faktycznego — powtarzające się numery dokumentów transportowych przy braku magazynu dostawcy, czyli okoliczność wypełniająca znamię poświadczenia nieprawdy co do okoliczności mających znaczenie dla wysokości należności publicznoprawnej. Wszystkie powołane jednostki KK i KKS przeszły weryfikację w tej turze.</w:t>
      </w:r>
    </w:p>
    <w:p>
      <w:pPr>
        <w:spacing w:after="140"/>
      </w:pPr>
      <w:r>
        <w:rPr>
          <w:b w:val="false"/>
          <w:bCs w:val="false"/>
          <w:i w:val="false"/>
          <w:iCs w:val="false"/>
        </w:rPr>
        <w:t xml:space="preserve">Reguła intertemporalna: jeżeli w czasie orzekania obowiązuje ustawa inna niż w czasie popełnienia czynu, stosuje się ustawę nową, chyba że poprzednia jest względniejsza dla sprawcy; niedopuszczalne jest stosowanie w części ustawy nowej i w części dawnej (art. 2 § 2 i § 3 KKS). Przy ciągnącym się procederze karuzelowym to reguła operacyjna, nie formalność. [VER: jw. — RZĄD 1, 2026-09-02]</w:t>
      </w:r>
    </w:p>
    <w:p>
      <w:pPr>
        <w:pStyle w:val="Heading2"/>
        <w:spacing w:after="140" w:before="300"/>
      </w:pPr>
      <w:r>
        <w:t xml:space="preserve">Pytanie 4 — bank, faktor i tajemnica analizy AML</w:t>
      </w:r>
    </w:p>
    <w:p>
      <w:pPr>
        <w:spacing w:after="140"/>
      </w:pPr>
      <w:r>
        <w:rPr>
          <w:b w:val="false"/>
          <w:bCs w:val="false"/>
          <w:i w:val="false"/>
          <w:iCs w:val="false"/>
        </w:rPr>
        <w:t xml:space="preserve">Ocena banku ma jeden punkt mierzalny i kilka ocennych. Zacząć trzeba od mierzalnego.</w:t>
      </w:r>
    </w:p>
    <w:p>
      <w:pPr>
        <w:pStyle w:val="ListParagraph"/>
        <w:numPr>
          <w:ilvl w:val="0"/>
          <w:numId w:val="1"/>
        </w:numPr>
        <w:spacing w:after="90"/>
      </w:pPr>
      <w:r>
        <w:t xml:space="preserve">Termin. Instytucja obowiązana zawiadamia Generalnego Inspektora o okolicznościach mogących wskazywać na podejrzenie prania pieniędzy; zawiadomienie przekazuje się niezwłocznie, nie później niż w terminie 2 dni roboczych od dnia potwierdzenia przez instytucję obowiązaną tego podejrzenia (art. 74 ust. 1 i 2 ustawy AML). [VER: api.sejm.gov.pl ELI DU/2025/644 text.pdf — RZĄD 1, 2026-09-02] Termin biegnie od potwierdzenia podejrzenia, a nie od kontroli organu. Jeżeli podejrzenie zostało potwierdzone na etapie alertów, zawiadomienie złożone dopiero po kontroli KAS jest spóźnione — i to jest najmocniejszy zarzut wobec banku, bo nie wymaga ocen.</w:t>
      </w:r>
    </w:p>
    <w:p>
      <w:pPr>
        <w:pStyle w:val="ListParagraph"/>
        <w:numPr>
          <w:ilvl w:val="0"/>
          <w:numId w:val="1"/>
        </w:numPr>
        <w:spacing w:after="90"/>
      </w:pPr>
      <w:r>
        <w:t xml:space="preserve">Ciężar wykazania. Instytucje obowiązane dokumentują zastosowane środki bezpieczeństwa finansowego oraz wyniki bieżącej analizy transakcji i na żądanie organów wykazują ich adekwatność (art. 34 ust. 3 ustawy AML). Środki obejmują bieżące monitorowanie stosunków gospodarczych, w tym analizę transakcji pod kątem zgodności z wiedzą instytucji o kliencie oraz badanie źródła pochodzenia wartości majątkowych w przypadkach uzasadnionych okolicznościami (art. 34 ust. 1 pkt 4). [VER: jw. — RZĄD 1, 2026-09-02] Wyjaśnienie faktora jest oświadczeniem podmiotu trzeciego, nie dokumentem źródłowym. Zamknięcie alertu wyłącznie na jego podstawie nie wykazuje adekwatności — chyba że bank udokumentował własną weryfikację treści tego wyjaśnienia. ⬛ Kazus nie podaje, co faktor wyjaśnił.</w:t>
      </w:r>
    </w:p>
    <w:p>
      <w:pPr>
        <w:pStyle w:val="ListParagraph"/>
        <w:numPr>
          <w:ilvl w:val="0"/>
          <w:numId w:val="1"/>
        </w:numPr>
        <w:spacing w:after="90"/>
      </w:pPr>
      <w:r>
        <w:t xml:space="preserve">Poziom środków. Instytucje stosują wzmożone środki bezpieczeństwa finansowego w przypadkach wyższego ryzyka; o wyższym ryzyku może świadczyć w szczególności nawiązywanie stosunków gospodarczych w nietypowych okolicznościach oraz przedmiot działalności obejmujący znaczną liczbę lub opiewających na wysokie kwoty transakcji (art. 43 ust. 1 i ust. 2 pkt 1 i 3 ustawy AML). [VER: jw. — RZĄD 1, 2026-09-02] Gwałtowny wzrost obrotu przy rozliczeniach przez faktora uruchamia wzmożone środki, a nie zamknięcie alertu.</w:t>
      </w:r>
    </w:p>
    <w:p>
      <w:pPr>
        <w:spacing w:after="140"/>
      </w:pPr>
      <w:r>
        <w:rPr>
          <w:b w:val="false"/>
          <w:bCs w:val="false"/>
          <w:i w:val="false"/>
          <w:iCs w:val="false"/>
        </w:rPr>
        <w:t xml:space="preserve">Tajemnica analizy AML — rozdzielenie, którego kazus nie robi. Instytucje obowiązane, ich pracownicy i osoby działające w ich imieniu zachowują w tajemnicy fakt przekazania informacji Generalnemu Inspektorowi oraz informacje o planowaniu wszczęcia i o prowadzeniu analizy dotyczącej prania pieniędzy (art. 54 ust. 1 pkt 1 i 2 ustawy AML), a katalog wyłączeń z art. 54 ust. 2 obejmuje wymianę wewnątrz grupy i między instytucjami, nie zaś swobodne informowanie klienta. [VER: jw. — RZĄD 1, 2026-09-02] Skutek jest dwustronny i to jest sedno: wobec Electry tajemnica działa jako bariera informacyjna — spółka nie uzyska analizy i nie dowie się o zawiadomieniu; wobec organu nadzoru nie działa wcale — bank i tak musi wykazać adekwatność środków na podstawie art. 34 ust. 3. „Tajemnica analizy” nie jest więc tarczą banku w sporze o staranność.</w:t>
      </w:r>
    </w:p>
    <w:p>
      <w:pPr>
        <w:spacing w:after="140"/>
      </w:pPr>
      <w:r>
        <w:rPr>
          <w:b w:val="false"/>
          <w:bCs w:val="false"/>
          <w:i w:val="false"/>
          <w:iCs w:val="false"/>
        </w:rPr>
        <w:t xml:space="preserve">Faktor. Wypowiedzenie umowy i żądanie wykupu wierzytelności to reżim czysto kontraktowy, oceniany na podstawie umowy. Jeżeli okaże się, że wierzytelności nie istniały, aktualizuje się odpowiedzialność zbywcy za istnienie wierzytelności — ⚠️ [NIEWERYFIKOWANE: nie odczytałem w tej turze właściwych przepisów KC o przelewie; wskazuję kierunek, nie podstawę]. ⬛ Kazus nie podaje treści umowy ani tego, czy faktoring był pełny, czy niepełny — a to rozstrzyga, kto ponosi ryzyko niewypłacalności dłużników.</w:t>
      </w:r>
    </w:p>
    <w:p>
      <w:pPr>
        <w:pStyle w:val="Heading2"/>
        <w:spacing w:after="140" w:before="300"/>
      </w:pPr>
      <w:r>
        <w:t xml:space="preserve">Pytanie 5 — tajemnica zawodowa, zabezpieczenie dowodów i płynność</w:t>
      </w:r>
    </w:p>
    <w:p>
      <w:pPr>
        <w:spacing w:after="140"/>
      </w:pPr>
      <w:r>
        <w:rPr>
          <w:b w:val="false"/>
          <w:bCs w:val="false"/>
          <w:i w:val="false"/>
          <w:iCs w:val="false"/>
        </w:rPr>
        <w:t xml:space="preserve">Trzy osobne problemy, z których pierwszy jest najczęściej rozwiązywany błędnie.</w:t>
      </w:r>
    </w:p>
    <w:p>
      <w:pPr>
        <w:pStyle w:val="Heading3"/>
        <w:spacing w:after="100" w:before="220"/>
      </w:pPr>
      <w:r>
        <w:t xml:space="preserve">Korespondencja z prawnikami</w:t>
      </w:r>
    </w:p>
    <w:p>
      <w:pPr>
        <w:spacing w:after="140"/>
      </w:pPr>
      <w:r>
        <w:rPr>
          <w:b w:val="false"/>
          <w:bCs w:val="false"/>
          <w:i w:val="false"/>
          <w:iCs w:val="false"/>
        </w:rPr>
        <w:t xml:space="preserve">Reguła podstawowa: jeżeli osoba, u której dokonuje się zatrzymania rzeczy lub przeszukania, oświadczy, że dokument zawiera wiadomości objęte tajemnicą zawodową, organ przekazuje go niezwłocznie prokuratorowi lub sądowi bez odczytania, w opieczętowanym opakowaniu (art. 225 § 1 KPK). Ale tryb ten nie obowiązuje wobec dokumentów dotyczących tajemnicy zawodowej, jeżeli ich posiadaczem jest osoba podejrzana o popełnienie przestępstwa (art. 225 § 2 KPK). [VER: api.sejm.gov.pl ELI DU/2026/490 text.pdf — RZĄD 1, 2026-09-02] Poczta firmowa spółki, której zarząd jest podejrzany, wpada w to wyłączenie. Twierdzenie „to korespondencja z prawnikami, więc jest chroniona” jest w tym stanie faktycznym nietrafne.</w:t>
      </w:r>
    </w:p>
    <w:p>
      <w:pPr>
        <w:spacing w:after="140"/>
      </w:pPr>
      <w:r>
        <w:rPr>
          <w:b w:val="false"/>
          <w:bCs w:val="false"/>
          <w:i w:val="false"/>
          <w:iCs w:val="false"/>
        </w:rPr>
        <w:t xml:space="preserve">Chroni natomiast oś obrończa. Jeżeli obrońca lub inna osoba oświadczy, że dokumenty obejmują okoliczności związane z wykonywaniem funkcji obrońcy, organ pozostawia je tej osobie bez zapoznawania się z treścią lub wyglądem; gdy oświadczenie osoby niebędącej obrońcą budzi wątpliwości, dokumenty przekazuje się sądowi w trybie § 1, a sąd zwraca je w całości lub w części albo wydaje postanowienie o ich zatrzymaniu (art. 225 § 3 KPK). Uzupełniająco: nie wolno przesłuchiwać jako świadka obrońcy ani adwokata lub radcy prawnego działającego na podstawie art. 245 § 1 co do faktów, o których dowiedział się udzielając porady prawnej lub prowadząc sprawę (art. 178 pkt 1 KPK), a do wykorzystania dokumentów zawierających tajemnicę zawodową jako dowodów stosuje się odpowiednio zakazy z art. 178–181 (art. 226 KPK). [VER: jw. — RZĄD 1, 2026-09-02]</w:t>
      </w:r>
    </w:p>
    <w:p>
      <w:pPr>
        <w:spacing w:after="140"/>
      </w:pPr>
      <w:r>
        <w:rPr>
          <w:b w:val="false"/>
          <w:bCs w:val="false"/>
          <w:i w:val="false"/>
          <w:iCs w:val="false"/>
        </w:rPr>
        <w:t xml:space="preserve">Wniosek operacyjny: rozdzielić korespondencję obrończą od zwykłego doradztwa prawnego i złożyć wniosek do sądu ze wskazaniem konkretnych wiadomości i nadawców, nie hasłowo. Cała mechanika działa również w wątku karnoskarbowym, bo w sprawach o przestępstwa skarbowe stosuje się odpowiednio przepisy KPK, jeżeli KKS nie stanowi inaczej (art. 113 § 1 KKS). [VER: api.sejm.gov.pl ELI DU/2025/633 text.pdf — RZĄD 1, 2026-09-02]</w:t>
      </w:r>
    </w:p>
    <w:p>
      <w:pPr>
        <w:pStyle w:val="Heading3"/>
        <w:spacing w:after="100" w:before="220"/>
      </w:pPr>
      <w:r>
        <w:t xml:space="preserve">Dowody usunięte automatycznie</w:t>
      </w:r>
    </w:p>
    <w:p>
      <w:pPr>
        <w:spacing w:after="140"/>
      </w:pPr>
      <w:r>
        <w:rPr>
          <w:b w:val="false"/>
          <w:bCs w:val="false"/>
          <w:i w:val="false"/>
          <w:iCs w:val="false"/>
        </w:rPr>
        <w:t xml:space="preserve">To ryzyko po stronie spółki, nie organu. Polityka retencji jest decyzją organizacyjną, a jej działanie po wszczęciu kontroli będzie odczytywane na niekorzyść — niezależnie od tego, że usunięcie było automatyczne. Natychmiast: zamrożenie retencji, zabezpieczenie kopii zapasowych i logów systemu pocztowego, sporządzenie inwentarza z metrykami czasowymi, udokumentowanie konfiguracji sprzed kontroli. ⬛ Kazus nie podaje ani zakresu usunięcia, ani daty ostatniej zmiany konfiguracji.</w:t>
      </w:r>
    </w:p>
    <w:p>
      <w:pPr>
        <w:pStyle w:val="Heading3"/>
        <w:spacing w:after="100" w:before="220"/>
      </w:pPr>
      <w:r>
        <w:t xml:space="preserve">Płynność</w:t>
      </w:r>
    </w:p>
    <w:p>
      <w:pPr>
        <w:spacing w:after="140"/>
      </w:pPr>
      <w:r>
        <w:rPr>
          <w:b w:val="false"/>
          <w:bCs w:val="false"/>
          <w:i w:val="false"/>
          <w:iCs w:val="false"/>
        </w:rPr>
        <w:t xml:space="preserve">Zabezpieczenie rachunków ma podstawę w art. 33 § 1 Ordynacji podatkowej — zobowiązanie może być zabezpieczone przed terminem płatności, jeżeli zachodzi uzasadniona obawa, że nie zostanie wykonane; zabezpieczenia można dokonać także w toku kontroli celno-skarbowej, przed wydaniem decyzji, a organ określa w decyzji przybliżoną kwotę zobowiązania (art. 33 § 2 i § 4). [VER: api.sejm.gov.pl ELI DU/2026/622 text.pdf — RZĄD 1, 2026-09-02] Pierwszym realnym ruchem obronnym jest więc spór o przesłankę „uzasadnionej obawy” i o sposób oszacowania kwoty, a nie polemika z meritum podatkowym — bo tylko ten spór toczy się teraz.</w:t>
      </w:r>
    </w:p>
    <w:p>
      <w:pPr>
        <w:spacing w:after="140"/>
      </w:pPr>
      <w:r>
        <w:rPr>
          <w:b w:val="false"/>
          <w:bCs w:val="false"/>
          <w:i w:val="false"/>
          <w:iCs w:val="false"/>
        </w:rPr>
        <w:t xml:space="preserve">Sprzężenie, którego kazus nie nazywa: utrata płynności uruchamia art. 116 § 1 Ordynacji podatkowej. Odpowiedzialność członków zarządu aktualizuje się przy bezskuteczności egzekucji, a przesłanką egzoneracyjną jest wykazanie, że we właściwym czasie zgłoszono wniosek o ogłoszenie upadłości albo otwarto postępowanie restrukturyzacyjne (art. 116 § 1 pkt 1 lit. a). Decyzja o wniosku przestaje być kwestią księgową w momencie zabezpieczenia rachunków — staje się decyzją o osobistym majątku członków zarządu, podejmowaną pod presją czasu.</w:t>
      </w:r>
    </w:p>
    <w:p>
      <w:pPr>
        <w:pStyle w:val="Heading2"/>
        <w:spacing w:after="140" w:before="300"/>
      </w:pPr>
      <w:r>
        <w:t xml:space="preserve">Rozdział odpowiedzialności — podmioty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600"/>
      </w:tblGrid>
      <w:tr>
        <w:trPr>
          <w:tblHeader/>
        </w:trPr>
        <w:tc>
          <w:tcPr>
            <w:tcW w:type="dxa" w:w="2100"/>
            <w:shd w:fill="1F3864" w:color="auto" w:val="clear"/>
            <w:tcMar>
              <w:top w:type="dxa" w:w="60"/>
              <w:left w:type="dxa" w:w="90"/>
              <w:bottom w:type="dxa" w:w="60"/>
              <w:right w:type="dxa" w:w="90"/>
            </w:tcMar>
          </w:tcPr>
          <w:p>
            <w:pPr>
              <w:spacing w:after="20"/>
            </w:pPr>
            <w:r>
              <w:rPr>
                <w:b/>
                <w:bCs/>
                <w:color w:val="FFFFFF"/>
                <w:sz w:val="19"/>
                <w:szCs w:val="19"/>
              </w:rPr>
              <w:t xml:space="preserve">Podmiot</w:t>
            </w:r>
          </w:p>
        </w:tc>
        <w:tc>
          <w:tcPr>
            <w:tcW w:type="dxa" w:w="3300"/>
            <w:shd w:fill="1F3864" w:color="auto" w:val="clear"/>
            <w:tcMar>
              <w:top w:type="dxa" w:w="60"/>
              <w:left w:type="dxa" w:w="90"/>
              <w:bottom w:type="dxa" w:w="60"/>
              <w:right w:type="dxa" w:w="90"/>
            </w:tcMar>
          </w:tcPr>
          <w:p>
            <w:pPr>
              <w:spacing w:after="20"/>
            </w:pPr>
            <w:r>
              <w:rPr>
                <w:b/>
                <w:bCs/>
                <w:color w:val="FFFFFF"/>
                <w:sz w:val="19"/>
                <w:szCs w:val="19"/>
              </w:rPr>
              <w:t xml:space="preserve">Podstawa i charakter</w:t>
            </w:r>
          </w:p>
        </w:tc>
        <w:tc>
          <w:tcPr>
            <w:tcW w:type="dxa" w:w="3600"/>
            <w:shd w:fill="1F3864" w:color="auto" w:val="clear"/>
            <w:tcMar>
              <w:top w:type="dxa" w:w="60"/>
              <w:left w:type="dxa" w:w="90"/>
              <w:bottom w:type="dxa" w:w="60"/>
              <w:right w:type="dxa" w:w="90"/>
            </w:tcMar>
          </w:tcPr>
          <w:p>
            <w:pPr>
              <w:spacing w:after="20"/>
            </w:pPr>
            <w:r>
              <w:rPr>
                <w:b/>
                <w:bCs/>
                <w:color w:val="FFFFFF"/>
                <w:sz w:val="19"/>
                <w:szCs w:val="19"/>
              </w:rPr>
              <w:t xml:space="preserve">Ocena na tym materiale</w:t>
            </w:r>
          </w:p>
        </w:tc>
      </w:tr>
      <w:tr>
        <w:tc>
          <w:tcPr>
            <w:tcW w:type="dxa" w:w="2100"/>
            <w:tcMar>
              <w:top w:type="dxa" w:w="60"/>
              <w:left w:type="dxa" w:w="90"/>
              <w:bottom w:type="dxa" w:w="60"/>
              <w:right w:type="dxa" w:w="90"/>
            </w:tcMar>
          </w:tcPr>
          <w:p>
            <w:pPr>
              <w:spacing w:after="20"/>
            </w:pPr>
            <w:r>
              <w:rPr>
                <w:b w:val="false"/>
                <w:bCs w:val="false"/>
                <w:sz w:val="19"/>
                <w:szCs w:val="19"/>
              </w:rPr>
              <w:t xml:space="preserve">Prezes</w:t>
            </w:r>
          </w:p>
        </w:tc>
        <w:tc>
          <w:tcPr>
            <w:tcW w:type="dxa" w:w="3300"/>
            <w:tcMar>
              <w:top w:type="dxa" w:w="60"/>
              <w:left w:type="dxa" w:w="90"/>
              <w:bottom w:type="dxa" w:w="60"/>
              <w:right w:type="dxa" w:w="90"/>
            </w:tcMar>
          </w:tcPr>
          <w:p>
            <w:pPr>
              <w:spacing w:after="20"/>
            </w:pPr>
            <w:r>
              <w:rPr>
                <w:b w:val="false"/>
                <w:bCs w:val="false"/>
                <w:sz w:val="19"/>
                <w:szCs w:val="19"/>
              </w:rPr>
              <w:t xml:space="preserve">art. 9 § 3 KKS (zajmowanie się sprawami gospodarczymi) + typ z części szczególnej; art. 483 § 1 KSH wobec spółki; art. 116 § 1 OP przy bezskutecznej egzekucji</w:t>
            </w:r>
          </w:p>
        </w:tc>
        <w:tc>
          <w:tcPr>
            <w:tcW w:type="dxa" w:w="3600"/>
            <w:tcMar>
              <w:top w:type="dxa" w:w="60"/>
              <w:left w:type="dxa" w:w="90"/>
              <w:bottom w:type="dxa" w:w="60"/>
              <w:right w:type="dxa" w:w="90"/>
            </w:tcMar>
          </w:tcPr>
          <w:p>
            <w:pPr>
              <w:spacing w:after="20"/>
            </w:pPr>
            <w:r>
              <w:rPr>
                <w:b w:val="false"/>
                <w:bCs w:val="false"/>
                <w:sz w:val="19"/>
                <w:szCs w:val="19"/>
              </w:rPr>
              <w:t xml:space="preserve">Najmocniejsza pozycja oskarżenia: udokumentowany stan świadomości plus decyzja o kontynuacji. Obrona wyłącznie przez treść przeglądu (art. 483 § 3 KSH) — ⬛ nieustalona</w:t>
            </w:r>
          </w:p>
        </w:tc>
      </w:tr>
      <w:tr>
        <w:tc>
          <w:tcPr>
            <w:tcW w:type="dxa" w:w="2100"/>
            <w:tcMar>
              <w:top w:type="dxa" w:w="60"/>
              <w:left w:type="dxa" w:w="90"/>
              <w:bottom w:type="dxa" w:w="60"/>
              <w:right w:type="dxa" w:w="90"/>
            </w:tcMar>
          </w:tcPr>
          <w:p>
            <w:pPr>
              <w:spacing w:after="20"/>
            </w:pPr>
            <w:r>
              <w:rPr>
                <w:b w:val="false"/>
                <w:bCs w:val="false"/>
                <w:sz w:val="19"/>
                <w:szCs w:val="19"/>
              </w:rPr>
              <w:t xml:space="preserve">Dyrektor finansowy</w:t>
            </w:r>
          </w:p>
        </w:tc>
        <w:tc>
          <w:tcPr>
            <w:tcW w:type="dxa" w:w="3300"/>
            <w:tcMar>
              <w:top w:type="dxa" w:w="60"/>
              <w:left w:type="dxa" w:w="90"/>
              <w:bottom w:type="dxa" w:w="60"/>
              <w:right w:type="dxa" w:w="90"/>
            </w:tcMar>
          </w:tcPr>
          <w:p>
            <w:pPr>
              <w:spacing w:after="20"/>
            </w:pPr>
            <w:r>
              <w:rPr>
                <w:b w:val="false"/>
                <w:bCs w:val="false"/>
                <w:sz w:val="19"/>
                <w:szCs w:val="19"/>
              </w:rPr>
              <w:t xml:space="preserve">art. 9 § 3 KKS — mieści się w hipotezie z opisu funkcji; art. 9 § 2 KKS ogranicza do własnej umyślności</w:t>
            </w:r>
          </w:p>
        </w:tc>
        <w:tc>
          <w:tcPr>
            <w:tcW w:type="dxa" w:w="3600"/>
            <w:tcMar>
              <w:top w:type="dxa" w:w="60"/>
              <w:left w:type="dxa" w:w="90"/>
              <w:bottom w:type="dxa" w:w="60"/>
              <w:right w:type="dxa" w:w="90"/>
            </w:tcMar>
          </w:tcPr>
          <w:p>
            <w:pPr>
              <w:spacing w:after="20"/>
            </w:pPr>
            <w:r>
              <w:rPr>
                <w:b w:val="false"/>
                <w:bCs w:val="false"/>
                <w:sz w:val="19"/>
                <w:szCs w:val="19"/>
              </w:rPr>
              <w:t xml:space="preserve">Zgłoszenie zastrzeżeń obniża stronę podmiotową, ale nie wyłącza zakresu podmiotowego. Czynny żal prawdopodobnie bezskuteczny (art. 16 § 5 pkt 2 KKS)</w:t>
            </w:r>
          </w:p>
        </w:tc>
      </w:tr>
      <w:tr>
        <w:tc>
          <w:tcPr>
            <w:tcW w:type="dxa" w:w="2100"/>
            <w:tcMar>
              <w:top w:type="dxa" w:w="60"/>
              <w:left w:type="dxa" w:w="90"/>
              <w:bottom w:type="dxa" w:w="60"/>
              <w:right w:type="dxa" w:w="90"/>
            </w:tcMar>
          </w:tcPr>
          <w:p>
            <w:pPr>
              <w:spacing w:after="20"/>
            </w:pPr>
            <w:r>
              <w:rPr>
                <w:b w:val="false"/>
                <w:bCs w:val="false"/>
                <w:sz w:val="19"/>
                <w:szCs w:val="19"/>
              </w:rPr>
              <w:t xml:space="preserve">Pozostali członkowie zarządu</w:t>
            </w:r>
          </w:p>
        </w:tc>
        <w:tc>
          <w:tcPr>
            <w:tcW w:type="dxa" w:w="3300"/>
            <w:tcMar>
              <w:top w:type="dxa" w:w="60"/>
              <w:left w:type="dxa" w:w="90"/>
              <w:bottom w:type="dxa" w:w="60"/>
              <w:right w:type="dxa" w:w="90"/>
            </w:tcMar>
          </w:tcPr>
          <w:p>
            <w:pPr>
              <w:spacing w:after="20"/>
            </w:pPr>
            <w:r>
              <w:rPr>
                <w:b w:val="false"/>
                <w:bCs w:val="false"/>
                <w:sz w:val="19"/>
                <w:szCs w:val="19"/>
              </w:rPr>
              <w:t xml:space="preserve">art. 9 § 2 i § 3 KKS; art. 483 § 1 KSH</w:t>
            </w:r>
          </w:p>
        </w:tc>
        <w:tc>
          <w:tcPr>
            <w:tcW w:type="dxa" w:w="3600"/>
            <w:tcMar>
              <w:top w:type="dxa" w:w="60"/>
              <w:left w:type="dxa" w:w="90"/>
              <w:bottom w:type="dxa" w:w="60"/>
              <w:right w:type="dxa" w:w="90"/>
            </w:tcMar>
          </w:tcPr>
          <w:p>
            <w:pPr>
              <w:spacing w:after="20"/>
            </w:pPr>
            <w:r>
              <w:rPr>
                <w:b w:val="false"/>
                <w:bCs w:val="false"/>
                <w:sz w:val="19"/>
                <w:szCs w:val="19"/>
              </w:rPr>
              <w:t xml:space="preserve">⬛ Brak danych o składzie i kompetencjach — przypisanie niemożliwe</w:t>
            </w:r>
          </w:p>
        </w:tc>
      </w:tr>
      <w:tr>
        <w:tc>
          <w:tcPr>
            <w:tcW w:type="dxa" w:w="2100"/>
            <w:tcMar>
              <w:top w:type="dxa" w:w="60"/>
              <w:left w:type="dxa" w:w="90"/>
              <w:bottom w:type="dxa" w:w="60"/>
              <w:right w:type="dxa" w:w="90"/>
            </w:tcMar>
          </w:tcPr>
          <w:p>
            <w:pPr>
              <w:spacing w:after="20"/>
            </w:pPr>
            <w:r>
              <w:rPr>
                <w:b w:val="false"/>
                <w:bCs w:val="false"/>
                <w:sz w:val="19"/>
                <w:szCs w:val="19"/>
              </w:rPr>
              <w:t xml:space="preserve">Electra S.A.</w:t>
            </w:r>
          </w:p>
        </w:tc>
        <w:tc>
          <w:tcPr>
            <w:tcW w:type="dxa" w:w="3300"/>
            <w:tcMar>
              <w:top w:type="dxa" w:w="60"/>
              <w:left w:type="dxa" w:w="90"/>
              <w:bottom w:type="dxa" w:w="60"/>
              <w:right w:type="dxa" w:w="90"/>
            </w:tcMar>
          </w:tcPr>
          <w:p>
            <w:pPr>
              <w:spacing w:after="20"/>
            </w:pPr>
            <w:r>
              <w:rPr>
                <w:b w:val="false"/>
                <w:bCs w:val="false"/>
                <w:sz w:val="19"/>
                <w:szCs w:val="19"/>
              </w:rPr>
              <w:t xml:space="preserve">art. 88 ust. 3a pkt 4 lit. a ustawy o VAT (odliczenie); art. 24 § 1 KKS (odpowiedzialność posiłkowa); art. 33 OP (zabezpieczenie)</w:t>
            </w:r>
          </w:p>
        </w:tc>
        <w:tc>
          <w:tcPr>
            <w:tcW w:type="dxa" w:w="3600"/>
            <w:tcMar>
              <w:top w:type="dxa" w:w="60"/>
              <w:left w:type="dxa" w:w="90"/>
              <w:bottom w:type="dxa" w:w="60"/>
              <w:right w:type="dxa" w:w="90"/>
            </w:tcMar>
          </w:tcPr>
          <w:p>
            <w:pPr>
              <w:spacing w:after="20"/>
            </w:pPr>
            <w:r>
              <w:rPr>
                <w:b w:val="false"/>
                <w:bCs w:val="false"/>
                <w:sz w:val="19"/>
                <w:szCs w:val="19"/>
              </w:rPr>
              <w:t xml:space="preserve">Odpowiedzialność podatkowa niezależna od winy; posiłkowa za grzywnę sprawcy przy odniesionej korzyści</w:t>
            </w:r>
          </w:p>
        </w:tc>
      </w:tr>
      <w:tr>
        <w:tc>
          <w:tcPr>
            <w:tcW w:type="dxa" w:w="2100"/>
            <w:tcMar>
              <w:top w:type="dxa" w:w="60"/>
              <w:left w:type="dxa" w:w="90"/>
              <w:bottom w:type="dxa" w:w="60"/>
              <w:right w:type="dxa" w:w="90"/>
            </w:tcMar>
          </w:tcPr>
          <w:p>
            <w:pPr>
              <w:spacing w:after="20"/>
            </w:pPr>
            <w:r>
              <w:rPr>
                <w:b w:val="false"/>
                <w:bCs w:val="false"/>
                <w:sz w:val="19"/>
                <w:szCs w:val="19"/>
              </w:rPr>
              <w:t xml:space="preserve">Bank</w:t>
            </w:r>
          </w:p>
        </w:tc>
        <w:tc>
          <w:tcPr>
            <w:tcW w:type="dxa" w:w="3300"/>
            <w:tcMar>
              <w:top w:type="dxa" w:w="60"/>
              <w:left w:type="dxa" w:w="90"/>
              <w:bottom w:type="dxa" w:w="60"/>
              <w:right w:type="dxa" w:w="90"/>
            </w:tcMar>
          </w:tcPr>
          <w:p>
            <w:pPr>
              <w:spacing w:after="20"/>
            </w:pPr>
            <w:r>
              <w:rPr>
                <w:b w:val="false"/>
                <w:bCs w:val="false"/>
                <w:sz w:val="19"/>
                <w:szCs w:val="19"/>
              </w:rPr>
              <w:t xml:space="preserve">art. 34 ust. 1 pkt 4 i ust. 3, art. 43 ust. 1–2, art. 74 ust. 1–2 ustawy AML; wyjątkowo art. 299 § 2 KK</w:t>
            </w:r>
          </w:p>
        </w:tc>
        <w:tc>
          <w:tcPr>
            <w:tcW w:type="dxa" w:w="3600"/>
            <w:tcMar>
              <w:top w:type="dxa" w:w="60"/>
              <w:left w:type="dxa" w:w="90"/>
              <w:bottom w:type="dxa" w:w="60"/>
              <w:right w:type="dxa" w:w="90"/>
            </w:tcMar>
          </w:tcPr>
          <w:p>
            <w:pPr>
              <w:spacing w:after="20"/>
            </w:pPr>
            <w:r>
              <w:rPr>
                <w:b w:val="false"/>
                <w:bCs w:val="false"/>
                <w:sz w:val="19"/>
                <w:szCs w:val="19"/>
              </w:rPr>
              <w:t xml:space="preserve">Zarzut mierzalny: termin 2 dni roboczych od potwierdzenia podejrzenia. Zamknięcie alertu na cudzym wyjaśnieniu nie wykazuje adekwatności</w:t>
            </w:r>
          </w:p>
        </w:tc>
      </w:tr>
      <w:tr>
        <w:tc>
          <w:tcPr>
            <w:tcW w:type="dxa" w:w="2100"/>
            <w:tcMar>
              <w:top w:type="dxa" w:w="60"/>
              <w:left w:type="dxa" w:w="90"/>
              <w:bottom w:type="dxa" w:w="60"/>
              <w:right w:type="dxa" w:w="90"/>
            </w:tcMar>
          </w:tcPr>
          <w:p>
            <w:pPr>
              <w:spacing w:after="20"/>
            </w:pPr>
            <w:r>
              <w:rPr>
                <w:b w:val="false"/>
                <w:bCs w:val="false"/>
                <w:sz w:val="19"/>
                <w:szCs w:val="19"/>
              </w:rPr>
              <w:t xml:space="preserve">Faktor</w:t>
            </w:r>
          </w:p>
        </w:tc>
        <w:tc>
          <w:tcPr>
            <w:tcW w:type="dxa" w:w="3300"/>
            <w:tcMar>
              <w:top w:type="dxa" w:w="60"/>
              <w:left w:type="dxa" w:w="90"/>
              <w:bottom w:type="dxa" w:w="60"/>
              <w:right w:type="dxa" w:w="90"/>
            </w:tcMar>
          </w:tcPr>
          <w:p>
            <w:pPr>
              <w:spacing w:after="20"/>
            </w:pPr>
            <w:r>
              <w:rPr>
                <w:b w:val="false"/>
                <w:bCs w:val="false"/>
                <w:sz w:val="19"/>
                <w:szCs w:val="19"/>
              </w:rPr>
              <w:t xml:space="preserve">reżim kontraktowy; wypowiedzenie i wykup wierzytelności</w:t>
            </w:r>
          </w:p>
        </w:tc>
        <w:tc>
          <w:tcPr>
            <w:tcW w:type="dxa" w:w="3600"/>
            <w:tcMar>
              <w:top w:type="dxa" w:w="60"/>
              <w:left w:type="dxa" w:w="90"/>
              <w:bottom w:type="dxa" w:w="60"/>
              <w:right w:type="dxa" w:w="90"/>
            </w:tcMar>
          </w:tcPr>
          <w:p>
            <w:pPr>
              <w:spacing w:after="20"/>
            </w:pPr>
            <w:r>
              <w:rPr>
                <w:b w:val="false"/>
                <w:bCs w:val="false"/>
                <w:sz w:val="19"/>
                <w:szCs w:val="19"/>
              </w:rPr>
              <w:t xml:space="preserve">⬛ Bez umowy ocena niemożliwa; kluczowe, czy faktoring pełny czy niepełny</w:t>
            </w:r>
          </w:p>
        </w:tc>
      </w:tr>
    </w:tbl>
    <w:p>
      <w:pPr>
        <w:pStyle w:val="Heading2"/>
        <w:spacing w:after="140" w:before="300"/>
      </w:pPr>
      <w:r>
        <w:t xml:space="preserve">Braki faktyczne (zakaz dopowiadania)</w:t>
      </w:r>
    </w:p>
    <w:p>
      <w:pPr>
        <w:spacing w:after="140"/>
      </w:pPr>
      <w:r>
        <w:rPr>
          <w:b w:val="false"/>
          <w:bCs w:val="false"/>
          <w:i w:val="false"/>
          <w:iCs w:val="false"/>
        </w:rPr>
        <w:t xml:space="preserve">⬛ daty czynów i okresy rozliczeniowe · ⬛ kwoty uszczuplenia lub zwrotu oraz minimalne wynagrodzenie w czasie czynu · ⬛ czy dostawy były realne · ⬛ treść, zakres i autor przeglądu zleconego przez prezesa · ⬛ kto podpisywał deklaracje VAT · ⬛ skład zarządu i podział kompetencji · ⬛ treść wyjaśnień faktora oraz data potwierdzenia podejrzenia przez bank · ⬛ rodzaj i treść umowy faktoringu · ⬛ zakres automatycznego usuwania poczty i konfiguracja retencji · ⬛ czy wśród prawników byli obrońcy ustanowieni w sprawie · ⬛ stan wypłacalności spółki i data powstania obowiązku złożenia wniosku o upadłość</w:t>
      </w:r>
    </w:p>
    <w:p>
      <w:pPr>
        <w:pStyle w:val="Heading2"/>
        <w:spacing w:after="140" w:before="300"/>
      </w:pPr>
      <w:r>
        <w:t xml:space="preserve">Rozstrzygnięcie</w:t>
      </w:r>
    </w:p>
    <w:p>
      <w:pPr>
        <w:spacing w:after="140"/>
      </w:pPr>
      <w:r>
        <w:rPr>
          <w:b w:val="false"/>
          <w:bCs w:val="false"/>
          <w:i w:val="false"/>
          <w:iCs w:val="false"/>
        </w:rPr>
        <w:t xml:space="preserve">Warstwa podatkowa: odliczenie podważalne obiektywnie na podstawie art. 88 ust. 3a pkt 4 lit. a ustawy o VAT, o ile organ wykaże, że czynności nie dokonano; dobra wiara jest korektą orzeczniczą, nie przesłanką ustawową. Warstwa karnoskarbowa: kwalifikacja warunkowa — art. 62 § 2 KKS w zbiegu idealnym z art. 271a § 1 KK przy dostawach fikcyjnych, art. 56 § 1 lub art. 76 § 1 KKS przy dostawach realnych; typ nieprzypisywalny bez kwot i dat. Indywidualizacja przez art. 9 § 2 i § 3 KKS: prezes — zamiar ewentualny realny; dyrektor finansowy — w zakresie podmiotowym mimo zgłoszenia, czynny żal prawdopodobnie spóźniony. Spółka — odpowiedzialność posiłkowa z art. 24 § 1 KKS. Bank: najmocniejszy zarzut to uchybienie terminowi z art. 74 ust. 2 ustawy AML, nie sama treść decyzji o zamknięciu alertu. Procesowo: korespondencja prawna nie jest chroniona automatycznie (art. 225 § 2 KPK) — natychmiastowy wniosek o kontrolę sądową w trybie art. 225 § 3 KPK, ze wskazaniem konkretnych wiadomości. Płynność: spór o przesłankę uzasadnionej obawy z art. 33 § 1 OP oraz przesądzenie kwestii wniosku o upadłość, zanim art. 116 § 1 OP przeniesie ciężar na majątek osobisty zarządu.</w:t>
      </w:r>
    </w:p>
    <w:p>
      <w:r>
        <w:br w:type="page"/>
      </w:r>
    </w:p>
    <w:p>
      <w:pPr>
        <w:pStyle w:val="Heading1"/>
        <w:spacing w:after="160" w:before="360"/>
      </w:pPr>
      <w:r>
        <w:t xml:space="preserve">KAZUS PL-07 — „Deepfake w wyborach samorządowych”</w:t>
      </w:r>
    </w:p>
    <w:p>
      <w:pPr>
        <w:spacing w:after="140"/>
      </w:pPr>
      <w:r>
        <w:rPr>
          <w:b w:val="false"/>
          <w:bCs w:val="false"/>
          <w:i/>
          <w:iCs/>
        </w:rPr>
        <w:t xml:space="preserve">Tryb wyborczy · dobra osobiste · prawo autorskie · DSA · AI Act · dowody cyfrowe</w:t>
      </w:r>
    </w:p>
    <w:p>
      <w:pPr>
        <w:pStyle w:val="Heading2"/>
        <w:spacing w:after="140" w:before="300"/>
      </w:pPr>
      <w:r>
        <w:t xml:space="preserve">Teza wstępna</w:t>
      </w:r>
    </w:p>
    <w:p>
      <w:pPr>
        <w:spacing w:after="140"/>
      </w:pPr>
      <w:r>
        <w:rPr>
          <w:b w:val="false"/>
          <w:bCs w:val="false"/>
          <w:i w:val="false"/>
          <w:iCs w:val="false"/>
        </w:rPr>
        <w:t xml:space="preserve">Kazus najłatwiej przegrać na pierwszym kroku, kierując wniosek pod niewłaściwą podstawę. Film nie jest „materiałem wyborczym” w rozumieniu art. 109 § 1 Kodeksu wyborczego, bo ten pochodzi wyłącznie od komitetu wyborczego — a film sponsoruje fundacja. Tryb z art. 111 obejmuje go mimo to, bo jego hipoteza sięga poza materiały wyborcze, na „inne formy prowadzonej agitacji wyborczej”. Drugi wniosek jest niewygodny: najdotkliwszy kanał rozpowszechniania — kopie w komunikatorach — pozostaje poza zasięgiem zarówno trybu wyborczego, jak i DSA.</w:t>
      </w:r>
    </w:p>
    <w:p>
      <w:pPr>
        <w:pStyle w:val="Heading2"/>
        <w:spacing w:after="140" w:before="300"/>
      </w:pPr>
      <w:r>
        <w:t xml:space="preserve">Pytanie 1 — zakres trybu wyborczego i krąg uczestników</w:t>
      </w:r>
    </w:p>
    <w:p>
      <w:pPr>
        <w:pStyle w:val="ListParagraph"/>
        <w:numPr>
          <w:ilvl w:val="0"/>
          <w:numId w:val="1"/>
        </w:numPr>
        <w:spacing w:after="90"/>
      </w:pPr>
      <w:r>
        <w:t xml:space="preserve">Materiałem wyborczym jest każdy pochodzący od komitetu wyborczego upubliczniony i utrwalony przekaz informacji mający związek z zarządzonymi wyborami (art. 109 § 1 KWyb). [VER: api.sejm.gov.pl ELI DU/2025/365 text.pdf — RZĄD 1, 2026-09-02] Film pochodzi od fundacji, więc dopóki nie wykaże się, że w istocie pochodzi od komitetu, nie jest materiałem wyborczym — i żądanie przepadku z art. 111 § 1 pkt 2 trafia w próżnię.</w:t>
      </w:r>
    </w:p>
    <w:p>
      <w:pPr>
        <w:pStyle w:val="ListParagraph"/>
        <w:numPr>
          <w:ilvl w:val="0"/>
          <w:numId w:val="1"/>
        </w:numPr>
        <w:spacing w:after="90"/>
      </w:pPr>
      <w:r>
        <w:t xml:space="preserve">Hipoteza art. 111 § 1 jest jednak szersza: obejmuje rozpowszechniane materiały wyborcze, „a także wypowiedzi lub inne formy prowadzonej agitacji wyborczej”, zawierające informacje nieprawdziwe. Agitacją wyborczą jest publiczne nakłanianie lub zachęcanie do głosowania w określony sposób (art. 105 § 1 KWyb). [VER: jw. — RZĄD 1, 2026-09-02] Film przypisujący kandydatce obietnicę korupcyjną, rozpowszechniany trzy dni przed głosowaniem i udostępniony przez kontrkandydata, jest formą agitacji. To jest właściwa podstawa.</w:t>
      </w:r>
    </w:p>
    <w:p>
      <w:pPr>
        <w:pStyle w:val="ListParagraph"/>
        <w:numPr>
          <w:ilvl w:val="0"/>
          <w:numId w:val="1"/>
        </w:numPr>
        <w:spacing w:after="90"/>
      </w:pPr>
      <w:r>
        <w:t xml:space="preserve">Legitymacja czynna przysługuje kandydatowi lub pełnomocnikowi wyborczemu zainteresowanego komitetu (art. 111 § 1) — Lena Wilk ma ją osobiście, niezależnie od komitetu.</w:t>
      </w:r>
    </w:p>
    <w:p>
      <w:pPr>
        <w:pStyle w:val="ListParagraph"/>
        <w:numPr>
          <w:ilvl w:val="0"/>
          <w:numId w:val="1"/>
        </w:numPr>
        <w:spacing w:after="90"/>
      </w:pPr>
      <w:r>
        <w:t xml:space="preserve">Katalog żądań (art. 111 § 1 pkt 1–6): zakaz rozpowszechniania informacji, przepadek materiałów wyborczych, nakazanie sprostowania, nakazanie publikacji odpowiedzi na stwierdzenia naruszające dobra osobiste, nakazanie przeproszenia, nakazanie wpłacenia kwoty do 100 000 złotych na rzecz organizacji pożytku publicznego.</w:t>
      </w:r>
    </w:p>
    <w:p>
      <w:pPr>
        <w:pStyle w:val="ListParagraph"/>
        <w:numPr>
          <w:ilvl w:val="0"/>
          <w:numId w:val="1"/>
        </w:numPr>
        <w:spacing w:after="90"/>
      </w:pPr>
      <w:r>
        <w:t xml:space="preserve">Uczestnicy: fundacja jako sponsor i kontrkandydat jako rozpowszechniający. Wobec kontrkandydata podstawa jest mocniejsza — nie tylko udostępnił, ale opatrzył materiał komentarzem sugerującym autentyczność, co jest samodzielnym aktem agitacyjnym. Wobec platformy tryb wyborczy działa słabo: platforma nie prowadzi agitacji, więc właściwy jest reżim DSA.</w:t>
      </w:r>
    </w:p>
    <w:p>
      <w:pPr>
        <w:spacing w:after="140"/>
      </w:pPr>
      <w:r>
        <w:rPr>
          <w:b w:val="false"/>
          <w:bCs w:val="false"/>
          <w:i w:val="false"/>
          <w:iCs w:val="false"/>
        </w:rPr>
        <w:t xml:space="preserve">Cisza. W dniu głosowania oraz na 24 godziny przed tym dniem prowadzenie agitacji wyborczej, w tym rozpowszechnianie materiałów wyborczych, jest zabronione (art. 107 § 1 KWyb); kto w okresie od zakończenia kampanii wyborczej aż do zakończenia głosowania prowadzi agitację wyborczą, podlega karze grzywny (art. 498 KWyb). [VER: jw. — RZĄD 1, 2026-09-02] Kopie krążące w komunikatorach po rozpoczęciu ciszy to czyn popełniany na nowo przez każdego rozpowszechniającego — i to jest realny problem egzekucyjny, którego postanowienie sądu nie usunie.</w:t>
      </w:r>
    </w:p>
    <w:p>
      <w:pPr>
        <w:pStyle w:val="Heading2"/>
        <w:spacing w:after="140" w:before="300"/>
      </w:pPr>
      <w:r>
        <w:t xml:space="preserve">Pytanie 2 — ustalenie koordynacji fundacji, agencji, komitetu i kontrkandydata</w:t>
      </w:r>
    </w:p>
    <w:p>
      <w:pPr>
        <w:spacing w:after="140"/>
      </w:pPr>
      <w:r>
        <w:rPr>
          <w:b w:val="false"/>
          <w:bCs w:val="false"/>
          <w:i w:val="false"/>
          <w:iCs w:val="false"/>
        </w:rPr>
        <w:t xml:space="preserve">To nie jest pytanie o dowód spisku, tylko o kwalifikację przepływu majątkowego — i tak należy je przełożyć na czynności.</w:t>
      </w:r>
    </w:p>
    <w:p>
      <w:pPr>
        <w:pStyle w:val="ListParagraph"/>
        <w:numPr>
          <w:ilvl w:val="0"/>
          <w:numId w:val="1"/>
        </w:numPr>
        <w:spacing w:after="90"/>
      </w:pPr>
      <w:r>
        <w:t xml:space="preserve">Środki finansowe komitetu wyborczego organizacji i komitetu wyborczego wyborców mogą pochodzić wyłącznie z wpłat obywateli polskich mających miejsce stałego zamieszkania w Polsce oraz z kredytów bankowych zaciąganych na cele związane z wyborami (art. 132 § 3 KWyb). Komitetom nie wolno przyjmować korzyści majątkowych o charakterze niepieniężnym poza zamkniętym katalogiem: nieodpłatne rozpowszechnianie plakatów i ulotek przez osoby fizyczne, pomoc w pracach biurowych osób fizycznych, nieodpłatne wykorzystanie przedmiotów i urządzeń udostępnianych przez osoby fizyczne, nieodpłatne udostępnianie miejsc do ekspozycji materiałów przez osoby fizyczne nieprowadzące działalności reklamowej (art. 132 § 5 KWyb). [VER: jw. — RZĄD 1, 2026-09-02]</w:t>
      </w:r>
    </w:p>
    <w:p>
      <w:pPr>
        <w:pStyle w:val="ListParagraph"/>
        <w:numPr>
          <w:ilvl w:val="0"/>
          <w:numId w:val="1"/>
        </w:numPr>
        <w:spacing w:after="90"/>
      </w:pPr>
      <w:r>
        <w:t xml:space="preserve">Sponsorowana kampania prowadzona przez fundację na korzyść kontrkandydata jest świadczeniem niepieniężnym spoza tego katalogu — o ile wykaże się, że była prowadzona na rzecz komitetu i za jego wiedzą. Wtedy uruchamiają się przepisy karne: art. 507 KWyb (udzielenie komitetowi lub przyjęcie w jego imieniu korzyści niepieniężnej innej niż dozwolona) oraz art. 506 pkt 6 KWyb (przyjęcie korzyści pochodzącej z innego źródła niż od obywatela polskiego), zagrożone grzywną od 1000 do 100 000 złotych. [VER: jw. — RZĄD 1, 2026-09-02]</w:t>
      </w:r>
    </w:p>
    <w:p>
      <w:pPr>
        <w:pStyle w:val="ListParagraph"/>
        <w:numPr>
          <w:ilvl w:val="0"/>
          <w:numId w:val="1"/>
        </w:numPr>
        <w:spacing w:after="90"/>
      </w:pPr>
      <w:r>
        <w:t xml:space="preserve">Adresat odpowiedzialności finansowej jest wskazany ustawowo: komitet może pozyskiwać i wydatkować środki jedynie na cele związane z wyborami (art. 129 § 1 KWyb), a za zobowiązania majątkowe komitetu odpowiada pełnomocnik finansowy (art. 130 § 1 KWyb).</w:t>
      </w:r>
    </w:p>
    <w:p>
      <w:pPr>
        <w:spacing w:after="140"/>
      </w:pPr>
      <w:r>
        <w:rPr>
          <w:b w:val="false"/>
          <w:bCs w:val="false"/>
          <w:i w:val="false"/>
          <w:iCs w:val="false"/>
        </w:rPr>
        <w:t xml:space="preserve">Testy dowodowe, uszeregowane od najłatwiejszego: kto założył panel reklamowy i z czyjego rachunku opłacano emisje; czy fundacja i komitet mają w panelu wspólny dostęp lub wspólnego administratora; czy brief kreatywny powstał w agencji obsługującej sztab; czy harmonogram emisji był zsynchronizowany z kalendarzem sztabu. Wspólna agencja i wspólny panel to poszlaka logistyczna, nie treściowa — sama nie wystarcza. Narzędziem, nie tłem, jest tu biblioteka reklam: art. 39 ust. 2 lit. b) i c) DSA wymaga wskazania osoby, w imieniu której reklama jest prezentowana, oraz odrębnie osoby, która za reklamę zapłaciła, jeżeli to nie ta sama osoba. [VER: eur-lex.europa.eu 02022R2065 — RZĄD 1, 2026-09-02] Niepełne dane sponsora są zatem jednocześnie naruszeniem i głównym tropem dowodowym.</w:t>
      </w:r>
    </w:p>
    <w:p>
      <w:pPr>
        <w:spacing w:after="140"/>
      </w:pPr>
      <w:r>
        <w:rPr>
          <w:b w:val="false"/>
          <w:bCs w:val="false"/>
          <w:i w:val="false"/>
          <w:iCs w:val="false"/>
        </w:rPr>
        <w:t xml:space="preserve">⬛ Czy fundacja działała za wiedzą komitetu — kazus tego nie przesądza. Bez tego zarzut z art. 507 KWyb pozostaje hipotezą, a nie kwalifikacją.</w:t>
      </w:r>
    </w:p>
    <w:p>
      <w:pPr>
        <w:pStyle w:val="Heading2"/>
        <w:spacing w:after="140" w:before="300"/>
      </w:pPr>
      <w:r>
        <w:t xml:space="preserve">Pytanie 3 — roszczenia: dobra osobiste, wizerunek, głos, utwór</w:t>
      </w:r>
    </w:p>
    <w:p>
      <w:pPr>
        <w:pStyle w:val="ListParagraph"/>
        <w:numPr>
          <w:ilvl w:val="0"/>
          <w:numId w:val="1"/>
        </w:numPr>
        <w:spacing w:after="90"/>
      </w:pPr>
      <w:r>
        <w:t xml:space="preserve">Dobra osobiste. Katalog z art. 23 KC jest otwarty („jak w szczególności”) i wymienia wprost cześć oraz wizerunek. [VER: api.sejm.gov.pl ELI DU/2026/795 text.pdf — RZĄD 1, 2026-09-02] Środki: żądanie zaniechania działania zagrażającego dobru osobistemu, a przy dokonanym naruszeniu — dopełnienia czynności potrzebnych do usunięcia jego skutków, w szczególności złożenia oświadczenia odpowiedniej treści i w odpowiedniej formie, oraz zadośćuczynienia pieniężnego albo zapłaty odpowiedniej sumy na wskazany cel społeczny (art. 24 § 1 KC); naprawienia szkody majątkowej na zasadach ogólnych (art. 24 § 2); art. 24 § 3 zastrzega, że przepisy te nie uchybiają uprawnieniom z prawa autorskiego.</w:t>
      </w:r>
    </w:p>
    <w:p>
      <w:pPr>
        <w:pStyle w:val="ListParagraph"/>
        <w:numPr>
          <w:ilvl w:val="0"/>
          <w:numId w:val="1"/>
        </w:numPr>
        <w:spacing w:after="90"/>
      </w:pPr>
      <w:r>
        <w:t xml:space="preserve">Zadośćuczynienie: w razie naruszenia dobra osobistego sąd może przyznać odpowiednią sumę tytułem zadośćuczynienia albo zasądzić odpowiednią sumę na wskazany cel społeczny, niezależnie od innych środków potrzebnych do usunięcia skutków naruszenia (art. 448 § 1 KC). [VER: jw. — RZĄD 1, 2026-09-02]</w:t>
      </w:r>
    </w:p>
    <w:p>
      <w:pPr>
        <w:pStyle w:val="ListParagraph"/>
        <w:numPr>
          <w:ilvl w:val="0"/>
          <w:numId w:val="1"/>
        </w:numPr>
        <w:spacing w:after="90"/>
      </w:pPr>
      <w:r>
        <w:t xml:space="preserve">Głos. Nie jest wymieniony w art. 23 KC. Ochrona idzie przez otwartość katalogu, a nie przez wyraźny przepis — i tak trzeba to napisać, bo pytanie kazusu sugeruje istnienie osobnej podstawy, której nie ma.</w:t>
      </w:r>
    </w:p>
    <w:p>
      <w:pPr>
        <w:pStyle w:val="ListParagraph"/>
        <w:numPr>
          <w:ilvl w:val="0"/>
          <w:numId w:val="1"/>
        </w:numPr>
        <w:spacing w:after="90"/>
      </w:pPr>
      <w:r>
        <w:t xml:space="preserve">Wizerunek. Rozpowszechnianie wizerunku wymaga zezwolenia osoby na nim przedstawionej; zezwolenia nie wymaga rozpowszechnianie wizerunku osoby powszechnie znanej, jeżeli wizerunek wykonano w związku z pełnieniem przez nią funkcji publicznych (art. 81 ust. 1 i ust. 2 pkt 1 ustawy o prawie autorskim). [VER: api.sejm.gov.pl ELI DU/2025/24 text.pdf — RZĄD 1, 2026-09-02] Kandydatka jest osobą powszechnie znaną, ale wyjątek jej nie obejmuje: dotyczy wizerunku wykonanego w związku z pełnieniem funkcji, a materiał syntetyczny nie jest zapisem pełnienia funkcji, tylko fabrykacją. To rozróżnienie przesądza spór o art. 81.</w:t>
      </w:r>
    </w:p>
    <w:p>
      <w:pPr>
        <w:pStyle w:val="ListParagraph"/>
        <w:numPr>
          <w:ilvl w:val="0"/>
          <w:numId w:val="1"/>
        </w:numPr>
        <w:spacing w:after="90"/>
      </w:pPr>
      <w:r>
        <w:t xml:space="preserve">Utwór. Roszczenia z art. 79 ust. 1 ustawy o prawie autorskim — zaniechanie, usunięcie skutków, naprawienie szkody na zasadach ogólnych albo przez zapłatę dwukrotności stosownego wynagrodzenia, wydanie uzyskanych korzyści — przysługują uprawnionemu, którego autorskie prawa majątkowe zostały naruszone. [VER: jw. — RZĄD 1, 2026-09-02] Uprawnionym do fragmentu wywiadu jest zwykle nadawca lub producent, nie osoba udzielająca wypowiedzi. Lena Wilk może więc w ogóle nie mieć legitymacji autorskiej — i to jest ograniczenie, którego pytanie kazusu nie zakłada. ⬛ Kazus nie wskazuje, kto ma prawa do wywiadu.</w:t>
      </w:r>
    </w:p>
    <w:p>
      <w:pPr>
        <w:spacing w:after="140"/>
      </w:pPr>
      <w:r>
        <w:rPr>
          <w:b w:val="false"/>
          <w:bCs w:val="false"/>
          <w:i w:val="false"/>
          <w:iCs w:val="false"/>
        </w:rPr>
        <w:t xml:space="preserve">Warstwa karna (kwalifikator, BLOK R — deepfake). Polskie prawo nie zna odrębnego typu czynu „stworzenia deepfake’a”; kwalifikacja idzie przez przepisy klasyczne. Kto podszywając się pod inną osobę wykorzystuje jej wizerunek, inne jej dane osobowe lub inne dane, za pomocą których jest ona publicznie identyfikowana, przez co wyrządza jej szkodę majątkową lub osobistą, podlega karze pozbawienia wolności od 6 miesięcy do lat 8; ściganie następuje na wniosek pokrzywdzonego (art. 190a § 2 i § 4 KK). Równolegle: pomówienie za pomocą środków masowego komunikowania — grzywna, ograniczenie wolności albo pozbawienie wolności do roku, w trybie z oskarżenia prywatnego (art. 212 § 2 i § 4 KK). [VER: api.sejm.gov.pl ELI DU/2025/383 text.pdf — RZĄD 1, 2026-09-02] Art. 286 § 1 KK nie wchodzi — brak elementu doprowadzenia do niekorzystnego rozporządzenia mieniem. Uwaga obronna: art. 213 § 2 KK przewiduje kontratyp prawdziwego zarzutu dotyczącego osoby pełniącej funkcję publiczną — nie działa przy zarzucie nieprawdziwym, ale obrona będzie przez niego przenosić spór na dowód prawdy, co przy trzech dniach do wyborów jest strategią na zwłokę.</w:t>
      </w:r>
    </w:p>
    <w:p>
      <w:pPr>
        <w:spacing w:after="140"/>
      </w:pPr>
      <w:r>
        <w:rPr>
          <w:b w:val="false"/>
          <w:bCs w:val="false"/>
          <w:i w:val="false"/>
          <w:iCs w:val="false"/>
        </w:rPr>
        <w:t xml:space="preserve">CV-ALT — relacja podstaw. Art. 111 KWyb i art. 24 KC prowadzą do częściowo tego samego skutku dla tej samej strony (zakaz rozpowszechniania, oświadczenie). Relację rozstrzyga sam kodeks: wykonanie uprawnień wynikających z kodeksu nie ogranicza możliwości dochodzenia przez osoby pokrzywdzone lub poszkodowane uprawnień na podstawie przepisów innych ustaw wobec osób, których działanie w toku kampanii naruszyło cudze dobra osobiste lub majątkowe (art. 113 KWyb). [VER: api.sejm.gov.pl ELI DU/2025/365 text.pdf — RZĄD 1, 2026-09-02] To jest wyraźna podstawa kumulacji i jedyna relacja, którą w tej turze zweryfikowałem. Relacja art. 24 KC ↔ art. 81 ustawy o prawie autorskim nie została zbadana — traktuj je jako gałęzie warunkowe, nie jako roszczenia do zsumowania.</w:t>
      </w:r>
    </w:p>
    <w:p>
      <w:pPr>
        <w:pStyle w:val="Heading2"/>
        <w:spacing w:after="140" w:before="300"/>
      </w:pPr>
      <w:r>
        <w:t xml:space="preserve">Pytanie 4 — obowiązki platformy: zgłoszenie, reklama, zachowanie danych</w:t>
      </w:r>
    </w:p>
    <w:p>
      <w:pPr>
        <w:pStyle w:val="ListParagraph"/>
        <w:numPr>
          <w:ilvl w:val="0"/>
          <w:numId w:val="1"/>
        </w:numPr>
        <w:spacing w:after="90"/>
      </w:pPr>
      <w:r>
        <w:t xml:space="preserve">Kwalifikacja. Platforma internetowa to usługa hostingu, która na żądanie odbiorcy przechowuje i publicznie rozpowszechnia informacje (art. 3 lit. i DSA); nielegalne treści to informacje niezgodne z prawem Unii lub prawem państwa członkowskiego, niezależnie od przedmiotu i charakteru tego prawa (art. 3 lit. h). [VER: eur-lex.europa.eu 02022R2065 — RZĄD 1, 2026-09-02] Naruszenie polskich przepisów o dobrach osobistych mieści się więc w pojęciu nielegalnych treści.</w:t>
      </w:r>
    </w:p>
    <w:p>
      <w:pPr>
        <w:pStyle w:val="ListParagraph"/>
        <w:numPr>
          <w:ilvl w:val="0"/>
          <w:numId w:val="1"/>
        </w:numPr>
        <w:spacing w:after="90"/>
      </w:pPr>
      <w:r>
        <w:t xml:space="preserve">Próg wiedzy. Dostawca hostingu nie odpowiada za przechowywane informacje, jeżeli nie ma faktycznej wiedzy o nielegalnych treściach albo po jej uzyskaniu działa bezzwłocznie (art. 6 ust. 1 DSA). Zgłoszenia dokonane w trybie art. 16 uznaje się za dające podstawę do uzyskania faktycznej wiedzy, jeżeli umożliwiają dostawcy działającemu z należytą starannością stwierdzenie — bez szczegółowej analizy prawnej — nielegalnego charakteru treści (art. 16 ust. 3). [VER: jw. — RZĄD 1, 2026-09-02]</w:t>
      </w:r>
    </w:p>
    <w:p>
      <w:pPr>
        <w:pStyle w:val="ListParagraph"/>
        <w:numPr>
          <w:ilvl w:val="0"/>
          <w:numId w:val="1"/>
        </w:numPr>
        <w:spacing w:after="90"/>
      </w:pPr>
      <w:r>
        <w:t xml:space="preserve">Ocena oznaczenia „treść sporna”. Uczciwa odpowiedź jest dwuczłonowa. Po pierwsze: „sporność” nie jest kategorią DSA — rozporządzenie zna tylko usunięcie, uniemożliwienie dostępu, depozycjonowanie i ograniczenie widoczności (art. 17 ust. 1 lit. a). Po drugie: przy rozbieżnych opiniach ekspertów i braku pliku źródłowego stwierdzenie nielegalności „bez szczegółowej analizy prawnej” jest realnie trudne, więc pozostawienie treści z oznaczeniem mieści się jeszcze w standardzie terminowego, niearbitralnego i obiektywnego rozpatrzenia z art. 16 ust. 6. Ta ocena odwraca się w chwili wydania postanowienia z art. 111 KWyb — wtedy działa art. 9 DSA (nakaz podjęcia działań przeciwko określonym nielegalnym treściom) i marginesu oceny już nie ma.</w:t>
      </w:r>
    </w:p>
    <w:p>
      <w:pPr>
        <w:pStyle w:val="ListParagraph"/>
        <w:numPr>
          <w:ilvl w:val="0"/>
          <w:numId w:val="1"/>
        </w:numPr>
        <w:spacing w:after="90"/>
      </w:pPr>
      <w:r>
        <w:t xml:space="preserve">Obowiązki proceduralne wobec zgłaszającego: potwierdzenie otrzymania zgłoszenia bez zbędnej zwłoki (art. 16 ust. 4) i powiadomienie o decyzji wraz z informacją o możliwości odwołania (art. 16 ust. 5); wobec zamieszczającego — jasne i konkretne uzasadnienie ograniczenia widoczności (art. 17 ust. 1 i 3).</w:t>
      </w:r>
    </w:p>
    <w:p>
      <w:pPr>
        <w:pStyle w:val="ListParagraph"/>
        <w:numPr>
          <w:ilvl w:val="0"/>
          <w:numId w:val="1"/>
        </w:numPr>
        <w:spacing w:after="90"/>
      </w:pPr>
      <w:r>
        <w:t xml:space="preserve">Reklama. Odbiorca musi móc jasno i w czasie rzeczywistym stwierdzić, że informacja jest reklamą, w imieniu jakiej osoby jest prezentowana oraz jaka osoba za nią zapłaciła, jeżeli to nie ta sama osoba (art. 26 ust. 1 lit. a–c DSA). Dla bardzo dużych platform dochodzi repozytorium reklam z tymi danymi, prowadzone przez cały okres prezentacji i przez rok po ostatnim wyświetleniu, z rozsądnymi staraniami o prawdziwość i kompletność informacji (art. 39 ust. 1 i 2). [VER: jw. — RZĄD 1, 2026-09-02] Niepełne dane sponsora naruszają art. 26 ust. 1 lit. c) zawsze, a art. 39 ust. 1 — tylko jeżeli platforma jest bardzo dużą platformą w rozumieniu art. 33 ust. 1 (próg 45 mln aktywnych miesięcznie odbiorców w Unii). ⬛ Kazus nie mówi, czy platforma ten próg spełnia — a od tego zależy połowa zarzutów.</w:t>
      </w:r>
    </w:p>
    <w:p>
      <w:pPr>
        <w:pStyle w:val="ListParagraph"/>
        <w:numPr>
          <w:ilvl w:val="0"/>
          <w:numId w:val="1"/>
        </w:numPr>
        <w:spacing w:after="90"/>
      </w:pPr>
      <w:r>
        <w:t xml:space="preserve">Ryzyko systemowe. Ocena ryzyka bardzo dużych platform obejmuje wprost faktyczne lub przewidywalne negatywne skutki dla dyskursu obywatelskiego i procesów wyborczych (art. 34 ust. 1 lit. c DSA), a wśród środków zmniejszających ryzyko wymieniono zapewnienie, by treść wygenerowana lub zmanipulowana, łudząco przypominająca istniejące osoby, była rozróżnialna dzięki widocznym oznaczeniom przy prezentacji, wraz z łatwą w użyciu funkcją zgłaszania takich treści (art. 35 ust. 1 lit. k). [VER: jw. — RZĄD 1, 2026-09-02] To opisuje dokładnie oznaczenie zastosowane przez platformę — z tym że art. 35 to obowiązek zarządzania ryzykiem, a nie substytut reakcji na konkretne zgłoszenie z art. 16. Wykonanie jednego nie zwalnia z drugiego.</w:t>
      </w:r>
    </w:p>
    <w:p>
      <w:pPr>
        <w:pStyle w:val="ListParagraph"/>
        <w:numPr>
          <w:ilvl w:val="0"/>
          <w:numId w:val="1"/>
        </w:numPr>
        <w:spacing w:after="90"/>
      </w:pPr>
      <w:r>
        <w:t xml:space="preserve">Zachowanie i wydanie danych. Drogą do identyfikacji zamawiającego reklamę jest nakaz udzielenia informacji wydany przez organ sądowy lub administracyjny (art. 10 DSA), a nie tryb wyborczy — art. 111 KWyb nie adresuje platformy.</w:t>
      </w:r>
    </w:p>
    <w:p>
      <w:pPr>
        <w:spacing w:after="140"/>
      </w:pPr>
      <w:r>
        <w:rPr>
          <w:b w:val="false"/>
          <w:bCs w:val="false"/>
          <w:i w:val="false"/>
          <w:iCs w:val="false"/>
        </w:rPr>
        <w:t xml:space="preserve">AI Act — oś odrębna od platformowej. Podmiot stosujący system AI, który generuje lub manipuluje obrazem, dźwiękiem lub wideo stanowiącym deepfake, ma obowiązek ujawnić, że treść została sztucznie wygenerowana lub zmanipulowana; gdy treść stanowi część utworu wyraźnie artystycznego, twórczego, satyrycznego lub fikcyjnego, obowiązek ogranicza się do ujawnienia w sposób nieutrudniający odbioru utworu (art. 50 ust. 4 rozporządzenia 2024/1689). Informację przekazuje się w sposób jasny i rozróżnialny, najpóźniej przy pierwszym kontakcie lub ekspozycji (art. 50 ust. 5). [VER: ai-act-service-desk.ec.europa.eu — RZĄD 1, 2026-09-02] Adresatem jest fundacja albo agencja jako podmiot stosujący, nie platforma i nie kontrkandydat. Materiał wyborczy nie korzysta z wyjątku artystycznego. Wpływ pakietu Digital Omnibus na ten przepis — z odczytanym tekstem urzędowym — opisuje Aneks weryfikacyjny; wyprzedzając: obowiązek z art. 50 ust. 4 nie został odroczony i wiąże od 2 sierpnia 2026 r.</w:t>
      </w:r>
    </w:p>
    <w:p>
      <w:pPr>
        <w:pStyle w:val="Heading2"/>
        <w:spacing w:after="140" w:before="300"/>
      </w:pPr>
      <w:r>
        <w:t xml:space="preserve">Pytanie 5 — standard dowodu i środek ochrony w trybie pilnym</w:t>
      </w:r>
    </w:p>
    <w:p>
      <w:pPr>
        <w:pStyle w:val="ListParagraph"/>
        <w:numPr>
          <w:ilvl w:val="0"/>
          <w:numId w:val="1"/>
        </w:numPr>
        <w:spacing w:after="90"/>
      </w:pPr>
      <w:r>
        <w:t xml:space="preserve">Ramy czasowe. Sąd okręgowy rozpoznaje wniosek w ciągu 24 godzin w postępowaniu nieprocesowym i może rozpoznać sprawę mimo usprawiedliwionej nieobecności prawidłowo powiadomionego uczestnika (art. 111 § 2 KWyb). Na postanowienie przysługuje w ciągu 24 godzin zażalenie do sądu apelacyjnego, który rozpoznaje je w ciągu 24 godzin; skarga kasacyjna nie przysługuje, a postanowienie podlega natychmiastowemu wykonaniu (art. 111 § 3). Publikacja sprostowania, odpowiedzi lub przeprosin następuje najpóźniej w ciągu 48 godzin, na koszt zobowiązanego (art. 111 § 4). [VER: api.sejm.gov.pl ELI DU/2025/365 text.pdf — RZĄD 1, 2026-09-02]</w:t>
      </w:r>
    </w:p>
    <w:p>
      <w:pPr>
        <w:pStyle w:val="ListParagraph"/>
        <w:numPr>
          <w:ilvl w:val="0"/>
          <w:numId w:val="1"/>
        </w:numPr>
        <w:spacing w:after="90"/>
      </w:pPr>
      <w:r>
        <w:t xml:space="preserve">Wniosek z arytmetyki: przy trzech dniach do głosowania pełna ścieżka dwuinstancyjna zajmuje do 48 godzin, a publikacja sprostowania kolejne 48 — czyli sprostowanie z art. 111 § 1 pkt 3 i odpowiedź z pkt 4 realnie nie zdążą przed głosowaniem. Wykonalny pozostaje zakaz rozpowszechniania z pkt 1. Wpłata do 100 000 zł na rzecz OPP (pkt 6) nie działa prewencyjnie i nie powinna być głównym żądaniem.</w:t>
      </w:r>
    </w:p>
    <w:p>
      <w:pPr>
        <w:pStyle w:val="ListParagraph"/>
        <w:numPr>
          <w:ilvl w:val="0"/>
          <w:numId w:val="1"/>
        </w:numPr>
        <w:spacing w:after="90"/>
      </w:pPr>
      <w:r>
        <w:t xml:space="preserve">Standard dowodu. Kodeks go nie definiuje, ale 24-godzinny termin sam go wyznacza: rozstrzyga materiał, który da się przedłożyć od razu. Opinia biegłego jest w tym trybie niewykonalna. Przedkładać należy obie opinie prywatne, zapis emisji, metryki reklamy i zrzuty z biblioteki reklam.</w:t>
      </w:r>
    </w:p>
    <w:p>
      <w:pPr>
        <w:pStyle w:val="ListParagraph"/>
        <w:numPr>
          <w:ilvl w:val="0"/>
          <w:numId w:val="1"/>
        </w:numPr>
        <w:spacing w:after="90"/>
      </w:pPr>
      <w:r>
        <w:t xml:space="preserve">Rozbieżność opinii nie oznacza remisu i to jest sedno tego pytania. Punkt ciężkości należy przesunąć z pytania „czy są ślady syntezy” na pytanie, kto potrafi wykazać pochodzenie materiału. Brak pliku źródłowego obciąża rozpowszechniającego, bo to on ma dostęp do materiału wyjściowego, a nie kandydatka. Praktycznie: zażądać złożenia pliku źródłowego i pełnych metadanych emisji — odmowa albo brak są okolicznością, którą sąd ocenia.</w:t>
      </w:r>
    </w:p>
    <w:p>
      <w:pPr>
        <w:pStyle w:val="ListParagraph"/>
        <w:numPr>
          <w:ilvl w:val="0"/>
          <w:numId w:val="1"/>
        </w:numPr>
        <w:spacing w:after="90"/>
      </w:pPr>
      <w:r>
        <w:t xml:space="preserve">Równolegle, tego samego dnia: precyzyjne i odpowiednio uzasadnione zgłoszenie do platformy w trybie art. 16 ust. 2 DSA, z dokładnym adresem URL i wyjaśnieniem powodów nielegalności — bo dopiero takie zgłoszenie uruchamia próg faktycznej wiedzy z art. 16 ust. 3 i odbiera platformie ochronę z art. 6 ust. 1 DSA. Zgłoszenie ogólnikowe tego skutku nie wywoła.</w:t>
      </w:r>
    </w:p>
    <w:p>
      <w:pPr>
        <w:pStyle w:val="ListParagraph"/>
        <w:numPr>
          <w:ilvl w:val="0"/>
          <w:numId w:val="1"/>
        </w:numPr>
        <w:spacing w:after="90"/>
      </w:pPr>
      <w:r>
        <w:t xml:space="preserve">Zabezpieczenie dowodów: protokolarne lub notarialne utrwalenie stanu strony i komentarza kontrkandydata, zrzuty biblioteki reklam z metrykami czasowymi (dane znikają po roku od ostatniej emisji — art. 39 ust. 1 DSA), archiwizacja kopii z komunikatorów wraz z danymi o czasie otrzymania.</w:t>
      </w:r>
    </w:p>
    <w:p>
      <w:pPr>
        <w:spacing w:after="140"/>
      </w:pPr>
      <w:r>
        <w:rPr>
          <w:b w:val="false"/>
          <w:bCs w:val="false"/>
          <w:i w:val="false"/>
          <w:iCs w:val="false"/>
        </w:rPr>
        <w:t xml:space="preserve">Uwaga strategiczna. Żaden z tych środków nie usuwa kopii krążących w komunikatorach — tam nie ma ani hostingu podlegającego zgłoszeniu z art. 16 DSA w sposób praktycznie skuteczny, ani adresata zakazu z art. 111 § 1 pkt 1. Po rozpoczęciu ciszy każdy kolejny udostępniający popełnia odrębny czyn z art. 498 KWyb, ale to reżim represyjny działający po fakcie. Realistyczna konkluzja brzmi: tryb wyborczy chroni przed dalszą emisją płatną i przed kontem kontrkandydata, a nie przed rozejściem się materiału.</w:t>
      </w:r>
    </w:p>
    <w:p>
      <w:pPr>
        <w:pStyle w:val="Heading2"/>
        <w:spacing w:after="140" w:before="300"/>
      </w:pPr>
      <w:r>
        <w:t xml:space="preserve">Rozdział odpowiedzialności — podmioty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600"/>
      </w:tblGrid>
      <w:tr>
        <w:trPr>
          <w:tblHeader/>
        </w:trPr>
        <w:tc>
          <w:tcPr>
            <w:tcW w:type="dxa" w:w="1900"/>
            <w:shd w:fill="1F3864" w:color="auto" w:val="clear"/>
            <w:tcMar>
              <w:top w:type="dxa" w:w="60"/>
              <w:left w:type="dxa" w:w="90"/>
              <w:bottom w:type="dxa" w:w="60"/>
              <w:right w:type="dxa" w:w="90"/>
            </w:tcMar>
          </w:tcPr>
          <w:p>
            <w:pPr>
              <w:spacing w:after="20"/>
            </w:pPr>
            <w:r>
              <w:rPr>
                <w:b/>
                <w:bCs/>
                <w:color w:val="FFFFFF"/>
                <w:sz w:val="19"/>
                <w:szCs w:val="19"/>
              </w:rPr>
              <w:t xml:space="preserve">Podmiot</w:t>
            </w:r>
          </w:p>
        </w:tc>
        <w:tc>
          <w:tcPr>
            <w:tcW w:type="dxa" w:w="3500"/>
            <w:shd w:fill="1F3864" w:color="auto" w:val="clear"/>
            <w:tcMar>
              <w:top w:type="dxa" w:w="60"/>
              <w:left w:type="dxa" w:w="90"/>
              <w:bottom w:type="dxa" w:w="60"/>
              <w:right w:type="dxa" w:w="90"/>
            </w:tcMar>
          </w:tcPr>
          <w:p>
            <w:pPr>
              <w:spacing w:after="20"/>
            </w:pPr>
            <w:r>
              <w:rPr>
                <w:b/>
                <w:bCs/>
                <w:color w:val="FFFFFF"/>
                <w:sz w:val="19"/>
                <w:szCs w:val="19"/>
              </w:rPr>
              <w:t xml:space="preserve">Podstawa i charakter</w:t>
            </w:r>
          </w:p>
        </w:tc>
        <w:tc>
          <w:tcPr>
            <w:tcW w:type="dxa" w:w="3600"/>
            <w:shd w:fill="1F3864" w:color="auto" w:val="clear"/>
            <w:tcMar>
              <w:top w:type="dxa" w:w="60"/>
              <w:left w:type="dxa" w:w="90"/>
              <w:bottom w:type="dxa" w:w="60"/>
              <w:right w:type="dxa" w:w="90"/>
            </w:tcMar>
          </w:tcPr>
          <w:p>
            <w:pPr>
              <w:spacing w:after="20"/>
            </w:pPr>
            <w:r>
              <w:rPr>
                <w:b/>
                <w:bCs/>
                <w:color w:val="FFFFFF"/>
                <w:sz w:val="19"/>
                <w:szCs w:val="19"/>
              </w:rPr>
              <w:t xml:space="preserve">Ocena na tym materiale</w:t>
            </w:r>
          </w:p>
        </w:tc>
      </w:tr>
      <w:tr>
        <w:tc>
          <w:tcPr>
            <w:tcW w:type="dxa" w:w="1900"/>
            <w:tcMar>
              <w:top w:type="dxa" w:w="60"/>
              <w:left w:type="dxa" w:w="90"/>
              <w:bottom w:type="dxa" w:w="60"/>
              <w:right w:type="dxa" w:w="90"/>
            </w:tcMar>
          </w:tcPr>
          <w:p>
            <w:pPr>
              <w:spacing w:after="20"/>
            </w:pPr>
            <w:r>
              <w:rPr>
                <w:b w:val="false"/>
                <w:bCs w:val="false"/>
                <w:sz w:val="19"/>
                <w:szCs w:val="19"/>
              </w:rPr>
              <w:t xml:space="preserve">Fundacja (sponsor)</w:t>
            </w:r>
          </w:p>
        </w:tc>
        <w:tc>
          <w:tcPr>
            <w:tcW w:type="dxa" w:w="3500"/>
            <w:tcMar>
              <w:top w:type="dxa" w:w="60"/>
              <w:left w:type="dxa" w:w="90"/>
              <w:bottom w:type="dxa" w:w="60"/>
              <w:right w:type="dxa" w:w="90"/>
            </w:tcMar>
          </w:tcPr>
          <w:p>
            <w:pPr>
              <w:spacing w:after="20"/>
            </w:pPr>
            <w:r>
              <w:rPr>
                <w:b w:val="false"/>
                <w:bCs w:val="false"/>
                <w:sz w:val="19"/>
                <w:szCs w:val="19"/>
              </w:rPr>
              <w:t xml:space="preserve">art. 111 § 1 KWyb (agitacja z informacjami nieprawdziwymi); art. 24 i 448 KC; art. 81 pr. aut.; art. 50 ust. 4 AI Act jako podmiot stosujący; ewentualnie art. 507 KWyb</w:t>
            </w:r>
          </w:p>
        </w:tc>
        <w:tc>
          <w:tcPr>
            <w:tcW w:type="dxa" w:w="3600"/>
            <w:tcMar>
              <w:top w:type="dxa" w:w="60"/>
              <w:left w:type="dxa" w:w="90"/>
              <w:bottom w:type="dxa" w:w="60"/>
              <w:right w:type="dxa" w:w="90"/>
            </w:tcMar>
          </w:tcPr>
          <w:p>
            <w:pPr>
              <w:spacing w:after="20"/>
            </w:pPr>
            <w:r>
              <w:rPr>
                <w:b w:val="false"/>
                <w:bCs w:val="false"/>
                <w:sz w:val="19"/>
                <w:szCs w:val="19"/>
              </w:rPr>
              <w:t xml:space="preserve">Główny adresat zakazu rozpowszechniania. Odpowiedzialność wyborczo-finansowa zależy od wykazania działania na rzecz komitetu — ⬛ nieustalone</w:t>
            </w:r>
          </w:p>
        </w:tc>
      </w:tr>
      <w:tr>
        <w:tc>
          <w:tcPr>
            <w:tcW w:type="dxa" w:w="1900"/>
            <w:tcMar>
              <w:top w:type="dxa" w:w="60"/>
              <w:left w:type="dxa" w:w="90"/>
              <w:bottom w:type="dxa" w:w="60"/>
              <w:right w:type="dxa" w:w="90"/>
            </w:tcMar>
          </w:tcPr>
          <w:p>
            <w:pPr>
              <w:spacing w:after="20"/>
            </w:pPr>
            <w:r>
              <w:rPr>
                <w:b w:val="false"/>
                <w:bCs w:val="false"/>
                <w:sz w:val="19"/>
                <w:szCs w:val="19"/>
              </w:rPr>
              <w:t xml:space="preserve">Kontrkandydat</w:t>
            </w:r>
          </w:p>
        </w:tc>
        <w:tc>
          <w:tcPr>
            <w:tcW w:type="dxa" w:w="3500"/>
            <w:tcMar>
              <w:top w:type="dxa" w:w="60"/>
              <w:left w:type="dxa" w:w="90"/>
              <w:bottom w:type="dxa" w:w="60"/>
              <w:right w:type="dxa" w:w="90"/>
            </w:tcMar>
          </w:tcPr>
          <w:p>
            <w:pPr>
              <w:spacing w:after="20"/>
            </w:pPr>
            <w:r>
              <w:rPr>
                <w:b w:val="false"/>
                <w:bCs w:val="false"/>
                <w:sz w:val="19"/>
                <w:szCs w:val="19"/>
              </w:rPr>
              <w:t xml:space="preserve">art. 111 § 1 KWyb; art. 24 i 448 KC; art. 190a § 2 lub art. 212 § 2 KK</w:t>
            </w:r>
          </w:p>
        </w:tc>
        <w:tc>
          <w:tcPr>
            <w:tcW w:type="dxa" w:w="3600"/>
            <w:tcMar>
              <w:top w:type="dxa" w:w="60"/>
              <w:left w:type="dxa" w:w="90"/>
              <w:bottom w:type="dxa" w:w="60"/>
              <w:right w:type="dxa" w:w="90"/>
            </w:tcMar>
          </w:tcPr>
          <w:p>
            <w:pPr>
              <w:spacing w:after="20"/>
            </w:pPr>
            <w:r>
              <w:rPr>
                <w:b w:val="false"/>
                <w:bCs w:val="false"/>
                <w:sz w:val="19"/>
                <w:szCs w:val="19"/>
              </w:rPr>
              <w:t xml:space="preserve">Podstawa mocniejsza niż wobec fundacji: udostępnienie z komentarzem sugerującym autentyczność jest samodzielnym aktem, niezależnym od autorstwa materiału</w:t>
            </w:r>
          </w:p>
        </w:tc>
      </w:tr>
      <w:tr>
        <w:tc>
          <w:tcPr>
            <w:tcW w:type="dxa" w:w="1900"/>
            <w:tcMar>
              <w:top w:type="dxa" w:w="60"/>
              <w:left w:type="dxa" w:w="90"/>
              <w:bottom w:type="dxa" w:w="60"/>
              <w:right w:type="dxa" w:w="90"/>
            </w:tcMar>
          </w:tcPr>
          <w:p>
            <w:pPr>
              <w:spacing w:after="20"/>
            </w:pPr>
            <w:r>
              <w:rPr>
                <w:b w:val="false"/>
                <w:bCs w:val="false"/>
                <w:sz w:val="19"/>
                <w:szCs w:val="19"/>
              </w:rPr>
              <w:t xml:space="preserve">Agencja</w:t>
            </w:r>
          </w:p>
        </w:tc>
        <w:tc>
          <w:tcPr>
            <w:tcW w:type="dxa" w:w="3500"/>
            <w:tcMar>
              <w:top w:type="dxa" w:w="60"/>
              <w:left w:type="dxa" w:w="90"/>
              <w:bottom w:type="dxa" w:w="60"/>
              <w:right w:type="dxa" w:w="90"/>
            </w:tcMar>
          </w:tcPr>
          <w:p>
            <w:pPr>
              <w:spacing w:after="20"/>
            </w:pPr>
            <w:r>
              <w:rPr>
                <w:b w:val="false"/>
                <w:bCs w:val="false"/>
                <w:sz w:val="19"/>
                <w:szCs w:val="19"/>
              </w:rPr>
              <w:t xml:space="preserve">wspólna obsługa fundacji i sztabu — poszlaka koordynacji; ewentualnie podmiot stosujący z art. 50 ust. 4 AI Act</w:t>
            </w:r>
          </w:p>
        </w:tc>
        <w:tc>
          <w:tcPr>
            <w:tcW w:type="dxa" w:w="3600"/>
            <w:tcMar>
              <w:top w:type="dxa" w:w="60"/>
              <w:left w:type="dxa" w:w="90"/>
              <w:bottom w:type="dxa" w:w="60"/>
              <w:right w:type="dxa" w:w="90"/>
            </w:tcMar>
          </w:tcPr>
          <w:p>
            <w:pPr>
              <w:spacing w:after="20"/>
            </w:pPr>
            <w:r>
              <w:rPr>
                <w:b w:val="false"/>
                <w:bCs w:val="false"/>
                <w:sz w:val="19"/>
                <w:szCs w:val="19"/>
              </w:rPr>
              <w:t xml:space="preserve">⬛ Bez ustalenia, kto zamawiał i opłacał emisje, rola nieokreślona</w:t>
            </w:r>
          </w:p>
        </w:tc>
      </w:tr>
      <w:tr>
        <w:tc>
          <w:tcPr>
            <w:tcW w:type="dxa" w:w="1900"/>
            <w:tcMar>
              <w:top w:type="dxa" w:w="60"/>
              <w:left w:type="dxa" w:w="90"/>
              <w:bottom w:type="dxa" w:w="60"/>
              <w:right w:type="dxa" w:w="90"/>
            </w:tcMar>
          </w:tcPr>
          <w:p>
            <w:pPr>
              <w:spacing w:after="20"/>
            </w:pPr>
            <w:r>
              <w:rPr>
                <w:b w:val="false"/>
                <w:bCs w:val="false"/>
                <w:sz w:val="19"/>
                <w:szCs w:val="19"/>
              </w:rPr>
              <w:t xml:space="preserve">Platforma</w:t>
            </w:r>
          </w:p>
        </w:tc>
        <w:tc>
          <w:tcPr>
            <w:tcW w:type="dxa" w:w="3500"/>
            <w:tcMar>
              <w:top w:type="dxa" w:w="60"/>
              <w:left w:type="dxa" w:w="90"/>
              <w:bottom w:type="dxa" w:w="60"/>
              <w:right w:type="dxa" w:w="90"/>
            </w:tcMar>
          </w:tcPr>
          <w:p>
            <w:pPr>
              <w:spacing w:after="20"/>
            </w:pPr>
            <w:r>
              <w:rPr>
                <w:b w:val="false"/>
                <w:bCs w:val="false"/>
                <w:sz w:val="19"/>
                <w:szCs w:val="19"/>
              </w:rPr>
              <w:t xml:space="preserve">art. 6, 9, 10, 16, 17, 26 DSA; dla VLOP dodatkowo art. 34 ust. 1 lit. c), 35 ust. 1 lit. k), 39</w:t>
            </w:r>
          </w:p>
        </w:tc>
        <w:tc>
          <w:tcPr>
            <w:tcW w:type="dxa" w:w="3600"/>
            <w:tcMar>
              <w:top w:type="dxa" w:w="60"/>
              <w:left w:type="dxa" w:w="90"/>
              <w:bottom w:type="dxa" w:w="60"/>
              <w:right w:type="dxa" w:w="90"/>
            </w:tcMar>
          </w:tcPr>
          <w:p>
            <w:pPr>
              <w:spacing w:after="20"/>
            </w:pPr>
            <w:r>
              <w:rPr>
                <w:b w:val="false"/>
                <w:bCs w:val="false"/>
                <w:sz w:val="19"/>
                <w:szCs w:val="19"/>
              </w:rPr>
              <w:t xml:space="preserve">Pozostawienie treści z oznaczeniem obronne do czasu orzeczenia; niepełne dane sponsora naruszają art. 26 ust. 1 lit. c) niezależnie od statusu VLOP</w:t>
            </w:r>
          </w:p>
        </w:tc>
      </w:tr>
      <w:tr>
        <w:tc>
          <w:tcPr>
            <w:tcW w:type="dxa" w:w="1900"/>
            <w:tcMar>
              <w:top w:type="dxa" w:w="60"/>
              <w:left w:type="dxa" w:w="90"/>
              <w:bottom w:type="dxa" w:w="60"/>
              <w:right w:type="dxa" w:w="90"/>
            </w:tcMar>
          </w:tcPr>
          <w:p>
            <w:pPr>
              <w:spacing w:after="20"/>
            </w:pPr>
            <w:r>
              <w:rPr>
                <w:b w:val="false"/>
                <w:bCs w:val="false"/>
                <w:sz w:val="19"/>
                <w:szCs w:val="19"/>
              </w:rPr>
              <w:t xml:space="preserve">Komitet Leny Wilk</w:t>
            </w:r>
          </w:p>
        </w:tc>
        <w:tc>
          <w:tcPr>
            <w:tcW w:type="dxa" w:w="3500"/>
            <w:tcMar>
              <w:top w:type="dxa" w:w="60"/>
              <w:left w:type="dxa" w:w="90"/>
              <w:bottom w:type="dxa" w:w="60"/>
              <w:right w:type="dxa" w:w="90"/>
            </w:tcMar>
          </w:tcPr>
          <w:p>
            <w:pPr>
              <w:spacing w:after="20"/>
            </w:pPr>
            <w:r>
              <w:rPr>
                <w:b w:val="false"/>
                <w:bCs w:val="false"/>
                <w:sz w:val="19"/>
                <w:szCs w:val="19"/>
              </w:rPr>
              <w:t xml:space="preserve">art. 111 § 1 KWyb — legitymacja czynna; art. 16 DSA — zgłoszenie</w:t>
            </w:r>
          </w:p>
        </w:tc>
        <w:tc>
          <w:tcPr>
            <w:tcW w:type="dxa" w:w="3600"/>
            <w:tcMar>
              <w:top w:type="dxa" w:w="60"/>
              <w:left w:type="dxa" w:w="90"/>
              <w:bottom w:type="dxa" w:w="60"/>
              <w:right w:type="dxa" w:w="90"/>
            </w:tcMar>
          </w:tcPr>
          <w:p>
            <w:pPr>
              <w:spacing w:after="20"/>
            </w:pPr>
            <w:r>
              <w:rPr>
                <w:b w:val="false"/>
                <w:bCs w:val="false"/>
                <w:sz w:val="19"/>
                <w:szCs w:val="19"/>
              </w:rPr>
              <w:t xml:space="preserve">Ciężar procesowy po jego stronie: to on musi złożyć wniosek w godzinach, nie dniach</w:t>
            </w:r>
          </w:p>
        </w:tc>
      </w:tr>
    </w:tbl>
    <w:p>
      <w:pPr>
        <w:pStyle w:val="Heading2"/>
        <w:spacing w:after="140" w:before="300"/>
      </w:pPr>
      <w:r>
        <w:t xml:space="preserve">Braki faktyczne (zakaz dopowiadania)</w:t>
      </w:r>
    </w:p>
    <w:p>
      <w:pPr>
        <w:spacing w:after="140"/>
      </w:pPr>
      <w:r>
        <w:rPr>
          <w:b w:val="false"/>
          <w:bCs w:val="false"/>
          <w:i w:val="false"/>
          <w:iCs w:val="false"/>
        </w:rPr>
        <w:t xml:space="preserve">⬛ czy fundacja działała za wiedzą komitetu kontrkandydata · ⬛ kto założył i opłacał panel reklamowy · ⬛ czy platforma spełnia próg z art. 33 ust. 1 DSA · ⬛ treść i forma zgłoszenia skierowanego do platformy · ⬛ komu przysługują prawa autorskie do wywiadu · ⬛ czy materiał był w ogóle oznaczony jako wygenerowany przez AI · ⬛ szczebel wyborów samorządowych i właściwy sąd okręgowy · ⬛ dokładny czas publikacji wobec początku ciszy · ⬛ czy złożono zawiadomienie o przestępstwie i wniosek z art. 190a § 4 KK · ⬛ czy istnieje plik źródłowy i kto nim dysponuje</w:t>
      </w:r>
    </w:p>
    <w:p>
      <w:pPr>
        <w:pStyle w:val="Heading2"/>
        <w:spacing w:after="140" w:before="300"/>
      </w:pPr>
      <w:r>
        <w:t xml:space="preserve">Rozstrzygnięcie</w:t>
      </w:r>
    </w:p>
    <w:p>
      <w:pPr>
        <w:spacing w:after="140"/>
      </w:pPr>
      <w:r>
        <w:rPr>
          <w:b w:val="false"/>
          <w:bCs w:val="false"/>
          <w:i w:val="false"/>
          <w:iCs w:val="false"/>
        </w:rPr>
        <w:t xml:space="preserve">Podstawą jest art. 111 § 1 KWyb w części dotyczącej „innych form prowadzonej agitacji wyborczej”, nie zaś materiału wyborczego z art. 109 § 1 — film pochodzi od fundacji, więc żądanie przepadku odpada, a zakaz rozpowszechniania (pkt 1) pozostaje. Wobec kontrkandydata podstawa jest mocniejsza z uwagi na komentarz sugerujący autentyczność. Sprostowanie i odpowiedź realnie nie zdążą przed głosowaniem — arytmetyka dwóch instancji po 24 godziny plus 48 godzin na publikację wyklucza je przy trzech dniach. Roszczenia cywilne z art. 24 i 448 KC oraz art. 81 ustawy o prawie autorskim przysługują kumulatywnie na podstawie art. 113 KWyb; legitymacja autorska do fragmentu wywiadu prawdopodobnie nie należy do kandydatki. Karnie: art. 190a § 2 KK na wniosek albo art. 212 § 2 KK z oskarżenia prywatnego; odrębnego typu „deepfake” polskie prawo nie zna. Wobec platformy: precyzyjne zgłoszenie z art. 16 ust. 2 DSA jako warunek przełamania ochrony z art. 6 ust. 1; niepełne dane sponsora naruszają art. 26 ust. 1 lit. c) DSA i są zarazem głównym tropem dowodowym koordynacji. Wobec fundacji i agencji: obowiązek ujawnienia z art. 50 ust. 4 AI Act, naruszony niezależnie od wyniku sporu o autentyczność. Ograniczenie, którego nie da się usunąć żadnym z tych środków: kopie krążące w komunikatorach.</w:t>
      </w:r>
    </w:p>
    <w:p>
      <w:r>
        <w:br w:type="page"/>
      </w:r>
    </w:p>
    <w:p>
      <w:pPr>
        <w:pStyle w:val="Heading1"/>
        <w:spacing w:after="160" w:before="360"/>
      </w:pPr>
      <w:r>
        <w:t xml:space="preserve">ANEKS WERYFIKACYJNY — domknięcie dwóch luk źródłowych</w:t>
      </w:r>
    </w:p>
    <w:p>
      <w:pPr>
        <w:spacing w:after="140"/>
      </w:pPr>
      <w:r>
        <w:rPr>
          <w:b w:val="false"/>
          <w:bCs w:val="false"/>
          <w:i/>
          <w:iCs/>
        </w:rPr>
        <w:t xml:space="preserve">Aneks sporządzony w tej samej turze, po zamknięciu części głównej. Zamyka dwa miejsca, w których arkusz pierwotnie operował znacznikiem ⚠️ [NIEWERYFIKOWANE] albo 🟨 kotwicą niepełną. Oba dotyczą warstwy unijnej i oba zmieniają nie kierunek konkluzji, lecz jej pewność i precyzję.</w:t>
      </w:r>
    </w:p>
    <w:p>
      <w:pPr>
        <w:pStyle w:val="Heading2"/>
        <w:spacing w:after="140" w:before="300"/>
      </w:pPr>
      <w:r>
        <w:t xml:space="preserve">A-1. PL-06 — standard TSUE przy odmowie prawa do odliczenia</w:t>
      </w:r>
    </w:p>
    <w:p>
      <w:pPr>
        <w:spacing w:after="140"/>
      </w:pPr>
      <w:r>
        <w:rPr>
          <w:b w:val="false"/>
          <w:bCs w:val="false"/>
          <w:i w:val="false"/>
          <w:iCs w:val="false"/>
        </w:rPr>
        <w:t xml:space="preserve">Źródło odczytane: wyrok TSUE z 11 listopada 2021 r., C-281/20 Ferimet SL, ECLI:EU:C:2021:910, pełny tekst polski. Wyrok referuje i przytacza linię Kittel i Recolta Recycling (wyrok z 6 lipca 2006 r., C-439/04 i C-440/04, EU:C:2006:446). [VER: eur-lex.europa.eu CELEX 62020CJ0281 — RZĄD 1, 2026-09-02]</w:t>
      </w:r>
    </w:p>
    <w:p>
      <w:pPr>
        <w:spacing w:after="140"/>
      </w:pPr>
      <w:r>
        <w:rPr>
          <w:b w:val="false"/>
          <w:bCs w:val="false"/>
          <w:i w:val="false"/>
          <w:iCs w:val="false"/>
        </w:rPr>
        <w:t xml:space="preserve">Podstawa dyrektywowa: jeżeli towary i usługi wykorzystywane są na potrzeby opodatkowanych transakcji podatnika, podatnik jest uprawniony do odliczenia VAT należnego lub zapłaconego od towarów i usług, które zostały mu dostarczone przez innego podatnika (art. 168 lit. a dyrektywy 2006/112/WE, przytoczony w wyroku). [VER: jw. — RZĄD 1, 2026-09-02]</w:t>
      </w:r>
    </w:p>
    <w:p>
      <w:pPr>
        <w:spacing w:after="140"/>
      </w:pPr>
      <w:r>
        <w:rPr>
          <w:b w:val="false"/>
          <w:bCs w:val="false"/>
          <w:i w:val="false"/>
          <w:iCs w:val="false"/>
        </w:rPr>
        <w:t xml:space="preserve">Sześć ustaleń, które zmieniają obraz PL-06 wobec części głównej:</w:t>
      </w:r>
    </w:p>
    <w:p>
      <w:pPr>
        <w:pStyle w:val="ListParagraph"/>
        <w:numPr>
          <w:ilvl w:val="0"/>
          <w:numId w:val="1"/>
        </w:numPr>
        <w:spacing w:after="90"/>
      </w:pPr>
      <w:r>
        <w:t xml:space="preserve">Odmowa nie wymaga złej wiary. Trybunał wskazał, że aby odmówić podatnikowi prawa do odliczenia, nie jest konieczne wykazanie jego złej wiary. To istotne dla Electry: obrona zbudowana wyłącznie na tezie „działaliśmy uczciwie” nie jest odpowiedzią na zarzut.</w:t>
      </w:r>
    </w:p>
    <w:p>
      <w:pPr>
        <w:pStyle w:val="ListParagraph"/>
        <w:numPr>
          <w:ilvl w:val="0"/>
          <w:numId w:val="1"/>
        </w:numPr>
        <w:spacing w:after="90"/>
      </w:pPr>
      <w:r>
        <w:t xml:space="preserve">Standard wiedzy: prawa do odliczenia odmawia się nie tylko wtedy, gdy oszustwa dopuścił się sam podatnik, lecz również wtedy, gdy wykazano, że wiedział lub powinien był wiedzieć, iż przez nabycie uczestniczy w transakcji związanej z oszustwem w zakresie VAT. Taki podatnik jest uznawany za biorącego udział w oszustwie, niezależnie od tego, czy odniósł korzyść z dalszej sprzedaży.</w:t>
      </w:r>
    </w:p>
    <w:p>
      <w:pPr>
        <w:pStyle w:val="ListParagraph"/>
        <w:numPr>
          <w:ilvl w:val="0"/>
          <w:numId w:val="1"/>
        </w:numPr>
        <w:spacing w:after="90"/>
      </w:pPr>
      <w:r>
        <w:t xml:space="preserve">Ciężar dowodu spoczywa na organie. Ponieważ odmowa jest wyjątkiem od zasady podstawowej, organy podatkowe są zobowiązane wykazać w sposób prawnie wymagany istnienie obiektywnych przesłanek prowadzących do wniosku, że podatnik dopuścił się oszustwa albo wiedział lub powinien był wiedzieć o powiązaniu transakcji z oszustwem; kontrola tego należy do sądów krajowych.</w:t>
      </w:r>
    </w:p>
    <w:p>
      <w:pPr>
        <w:pStyle w:val="ListParagraph"/>
        <w:numPr>
          <w:ilvl w:val="0"/>
          <w:numId w:val="1"/>
        </w:numPr>
        <w:spacing w:after="90"/>
      </w:pPr>
      <w:r>
        <w:t xml:space="preserve">⛔ Zakaz domniemań. Odmówić skorzystania z prawa do odliczenia można tylko wtedy, gdy okoliczności zostały wykazane w sposób wymagany prawem, inaczej niż w drodze domniemań. To jest najmocniejszy punkt obrony Electry w warstwie podatkowej: same „czerwone flagi” bez wykazania obiektywnych przesłanek nie wystarczą, a organ nie może zbudować rozstrzygnięcia na łańcuchu poszlak zastępujących dowód.</w:t>
      </w:r>
    </w:p>
    <w:p>
      <w:pPr>
        <w:pStyle w:val="ListParagraph"/>
        <w:numPr>
          <w:ilvl w:val="0"/>
          <w:numId w:val="1"/>
        </w:numPr>
        <w:spacing w:after="90"/>
      </w:pPr>
      <w:r>
        <w:t xml:space="preserve">Odwrotnie — granica obrony. Trybunał wskazał też, że organ nie może wymagać systematycznie od każdego podatnika sprawdzania statusu kontrahenta, ale inaczej jest, gdy wykazanie tego statusu jest konieczne do zbadania spełnienia przesłanki materialnej. Wówczas to podatnik wykazuje obiektywnymi dowodami, że dostawca miał status podatnika — chyba że organ sam dysponuje danymi do sprawdzenia.</w:t>
      </w:r>
    </w:p>
    <w:p>
      <w:pPr>
        <w:pStyle w:val="ListParagraph"/>
        <w:numPr>
          <w:ilvl w:val="0"/>
          <w:numId w:val="1"/>
        </w:numPr>
        <w:spacing w:after="90"/>
      </w:pPr>
      <w:r>
        <w:t xml:space="preserve">Utrata wpływów nie jest warunkiem. Stwierdzenie ryzyka utraty wpływów podatkowych nie jest konieczne dla uzasadnienia odmowy; nie ma też znaczenia, czy transakcja przysporzyła korzyści podatkowej samemu podatnikowi lub innym uczestnikom łańcucha.</w:t>
      </w:r>
    </w:p>
    <w:p>
      <w:pPr>
        <w:spacing w:after="140"/>
      </w:pPr>
      <w:r>
        <w:rPr>
          <w:b w:val="false"/>
          <w:bCs w:val="false"/>
          <w:i w:val="false"/>
          <w:iCs w:val="false"/>
        </w:rPr>
        <w:t xml:space="preserve">Korekta wobec części głównej: teza „dobra wiara jest korektą orzeczniczą, a nie przesłanką ustawową” pozostaje trafna, ale wymaga uzupełnienia o rozdzielenie dwóch osi, które Trybunał wyraźnie rozdziela. Oś pierwsza to przesłanki materialne prawa do odliczenia (status podatnika-dostawcy, rzeczywista dostawa) — tu ciężar wykazania jest po stronie podatnika. Oś druga to ustalenie oszustwa i wiedzy podatnika — tu ciężar jest po stronie organu, a domniemania są zakazane. Zastosowanie do Electry: brak magazynu u dostawcy uderza w oś pierwszą (czy dostawca w ogóle był podatnikiem realizującym dostawę), a zignorowane czerwone flagi w oś drugą. To dwie różne linie sporu, prowadzone innymi środkami dowodowymi i z innym rozkładem ciężaru — i tego rozdzielenia część główna nie przeprowadzała.</w:t>
      </w:r>
    </w:p>
    <w:p>
      <w:pPr>
        <w:spacing w:after="140"/>
      </w:pPr>
      <w:r>
        <w:rPr>
          <w:b w:val="false"/>
          <w:bCs w:val="false"/>
          <w:i w:val="false"/>
          <w:iCs w:val="false"/>
        </w:rPr>
        <w:t xml:space="preserve">Ograniczenie: ⚠️ Ferimet dotyczy systemu odwrotnego obciążenia i wskazania fikcyjnego dostawcy, a nie karuzeli wewnątrzwspólnotowej. Przytoczoną w nim linię Kittel/Recolta oraz orzeczenia Mahagében i Dávid (C-80/11 i C-142/11), Glencore Agriculture Hungary (C-189/18) i Finanzamt Wilmersdorf (C-108/20) znam wyłącznie z cytatów w tym wyroku — ich pełnych tekstów nie otwierałem. Przed użyciem zawodowym każdą z tych sygnatur należy sprawdzić samodzielnie w bazie CURIA.</w:t>
      </w:r>
    </w:p>
    <w:p>
      <w:pPr>
        <w:pStyle w:val="Heading2"/>
        <w:spacing w:after="140" w:before="300"/>
      </w:pPr>
      <w:r>
        <w:t xml:space="preserve">A-2. PL-07 — Digital Omnibus a art. 50 AI Act</w:t>
      </w:r>
    </w:p>
    <w:p>
      <w:pPr>
        <w:spacing w:after="140"/>
      </w:pPr>
      <w:r>
        <w:rPr>
          <w:b w:val="false"/>
          <w:bCs w:val="false"/>
          <w:i w:val="false"/>
          <w:iCs w:val="false"/>
        </w:rPr>
        <w:t xml:space="preserve">Źródło odczytane: rozporządzenie Parlamentu Europejskiego i Rady (UE) 2026/1744 z dnia 8 lipca 2026 r. zmieniające rozporządzenia (UE) 2024/1689, (UE) 2018/1139 i (UE) 2023/1230 w zakresie uproszczenia wdrażania zharmonizowanych przepisów dotyczących sztucznej inteligencji (Digital Omnibus on AI), Dz.U. UE L z 24.7.2026. [VER: eur-lex.europa.eu OJ L_202601744 — RZĄD 1, 2026-09-02]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400"/>
      </w:tblGrid>
      <w:tr>
        <w:trPr>
          <w:tblHeader/>
        </w:trPr>
        <w:tc>
          <w:tcPr>
            <w:tcW w:type="dxa" w:w="1900"/>
            <w:shd w:fill="1F3864" w:color="auto" w:val="clear"/>
            <w:tcMar>
              <w:top w:type="dxa" w:w="60"/>
              <w:left w:type="dxa" w:w="90"/>
              <w:bottom w:type="dxa" w:w="60"/>
              <w:right w:type="dxa" w:w="90"/>
            </w:tcMar>
          </w:tcPr>
          <w:p>
            <w:pPr>
              <w:spacing w:after="20"/>
            </w:pPr>
            <w:r>
              <w:rPr>
                <w:b/>
                <w:bCs/>
                <w:color w:val="FFFFFF"/>
                <w:sz w:val="19"/>
                <w:szCs w:val="19"/>
              </w:rPr>
              <w:t xml:space="preserve">Kwestia</w:t>
            </w:r>
          </w:p>
        </w:tc>
        <w:tc>
          <w:tcPr>
            <w:tcW w:type="dxa" w:w="3700"/>
            <w:shd w:fill="1F3864" w:color="auto" w:val="clear"/>
            <w:tcMar>
              <w:top w:type="dxa" w:w="60"/>
              <w:left w:type="dxa" w:w="90"/>
              <w:bottom w:type="dxa" w:w="60"/>
              <w:right w:type="dxa" w:w="90"/>
            </w:tcMar>
          </w:tcPr>
          <w:p>
            <w:pPr>
              <w:spacing w:after="20"/>
            </w:pPr>
            <w:r>
              <w:rPr>
                <w:b/>
                <w:bCs/>
                <w:color w:val="FFFFFF"/>
                <w:sz w:val="19"/>
                <w:szCs w:val="19"/>
              </w:rPr>
              <w:t xml:space="preserve">Ustalenie z tekstu urzędowego</w:t>
            </w:r>
          </w:p>
        </w:tc>
        <w:tc>
          <w:tcPr>
            <w:tcW w:type="dxa" w:w="3400"/>
            <w:shd w:fill="1F3864" w:color="auto" w:val="clear"/>
            <w:tcMar>
              <w:top w:type="dxa" w:w="60"/>
              <w:left w:type="dxa" w:w="90"/>
              <w:bottom w:type="dxa" w:w="60"/>
              <w:right w:type="dxa" w:w="90"/>
            </w:tcMar>
          </w:tcPr>
          <w:p>
            <w:pPr>
              <w:spacing w:after="20"/>
            </w:pPr>
            <w:r>
              <w:rPr>
                <w:b/>
                <w:bCs/>
                <w:color w:val="FFFFFF"/>
                <w:sz w:val="19"/>
                <w:szCs w:val="19"/>
              </w:rPr>
              <w:t xml:space="preserve">Skutek dla PL-07</w:t>
            </w:r>
          </w:p>
        </w:tc>
      </w:tr>
      <w:tr>
        <w:tc>
          <w:tcPr>
            <w:tcW w:type="dxa" w:w="1900"/>
            <w:tcMar>
              <w:top w:type="dxa" w:w="60"/>
              <w:left w:type="dxa" w:w="90"/>
              <w:bottom w:type="dxa" w:w="60"/>
              <w:right w:type="dxa" w:w="90"/>
            </w:tcMar>
          </w:tcPr>
          <w:p>
            <w:pPr>
              <w:spacing w:after="20"/>
            </w:pPr>
            <w:r>
              <w:rPr>
                <w:b w:val="false"/>
                <w:bCs w:val="false"/>
                <w:sz w:val="19"/>
                <w:szCs w:val="19"/>
              </w:rPr>
              <w:t xml:space="preserve">Wejście w życie</w:t>
            </w:r>
          </w:p>
        </w:tc>
        <w:tc>
          <w:tcPr>
            <w:tcW w:type="dxa" w:w="3700"/>
            <w:tcMar>
              <w:top w:type="dxa" w:w="60"/>
              <w:left w:type="dxa" w:w="90"/>
              <w:bottom w:type="dxa" w:w="60"/>
              <w:right w:type="dxa" w:w="90"/>
            </w:tcMar>
          </w:tcPr>
          <w:p>
            <w:pPr>
              <w:spacing w:after="20"/>
            </w:pPr>
            <w:r>
              <w:rPr>
                <w:b w:val="false"/>
                <w:bCs w:val="false"/>
                <w:sz w:val="19"/>
                <w:szCs w:val="19"/>
              </w:rPr>
              <w:t xml:space="preserve">Motyw 46: rozporządzenie wchodzi w życie w trybie pilnym trzeciego dnia po publikacji, wobec zbliżającej się ogólnej daty stosowania AI Act. Publikacja 24.07.2026 → wejście w życie 27.07.2026.</w:t>
            </w:r>
          </w:p>
        </w:tc>
        <w:tc>
          <w:tcPr>
            <w:tcW w:type="dxa" w:w="3400"/>
            <w:tcMar>
              <w:top w:type="dxa" w:w="60"/>
              <w:left w:type="dxa" w:w="90"/>
              <w:bottom w:type="dxa" w:w="60"/>
              <w:right w:type="dxa" w:w="90"/>
            </w:tcMar>
          </w:tcPr>
          <w:p>
            <w:pPr>
              <w:spacing w:after="20"/>
            </w:pPr>
            <w:r>
              <w:rPr>
                <w:b w:val="false"/>
                <w:bCs w:val="false"/>
                <w:sz w:val="19"/>
                <w:szCs w:val="19"/>
              </w:rPr>
              <w:t xml:space="preserve">Stan prawny obowiązujący na datę kazusu; nie jest to projekt ani zapowiedź.</w:t>
            </w:r>
          </w:p>
        </w:tc>
      </w:tr>
      <w:tr>
        <w:tc>
          <w:tcPr>
            <w:tcW w:type="dxa" w:w="1900"/>
            <w:tcMar>
              <w:top w:type="dxa" w:w="60"/>
              <w:left w:type="dxa" w:w="90"/>
              <w:bottom w:type="dxa" w:w="60"/>
              <w:right w:type="dxa" w:w="90"/>
            </w:tcMar>
          </w:tcPr>
          <w:p>
            <w:pPr>
              <w:spacing w:after="20"/>
            </w:pPr>
            <w:r>
              <w:rPr>
                <w:b w:val="false"/>
                <w:bCs w:val="false"/>
                <w:sz w:val="19"/>
                <w:szCs w:val="19"/>
              </w:rPr>
              <w:t xml:space="preserve">Obowiązek deepfake (art. 50 ust. 4)</w:t>
            </w:r>
          </w:p>
        </w:tc>
        <w:tc>
          <w:tcPr>
            <w:tcW w:type="dxa" w:w="3700"/>
            <w:tcMar>
              <w:top w:type="dxa" w:w="60"/>
              <w:left w:type="dxa" w:w="90"/>
              <w:bottom w:type="dxa" w:w="60"/>
              <w:right w:type="dxa" w:w="90"/>
            </w:tcMar>
          </w:tcPr>
          <w:p>
            <w:pPr>
              <w:spacing w:after="20"/>
            </w:pPr>
            <w:r>
              <w:rPr>
                <w:b w:val="false"/>
                <w:bCs w:val="false"/>
                <w:sz w:val="19"/>
                <w:szCs w:val="19"/>
              </w:rPr>
              <w:t xml:space="preserve">Motyw 38 przewiduje czteromiesięczny okres przejściowy WYŁĄCZNIE dla dostawców systemów generatywnych objętych obowiązkiem oznaczania z art. 50 ust. 2, którzy wprowadzili systemy do obrotu przed 2 sierpnia 2026 r. Art. 50 ust. 4 nie jest objęty żadnym odroczeniem.</w:t>
            </w:r>
          </w:p>
        </w:tc>
        <w:tc>
          <w:tcPr>
            <w:tcW w:type="dxa" w:w="3400"/>
            <w:tcMar>
              <w:top w:type="dxa" w:w="60"/>
              <w:left w:type="dxa" w:w="90"/>
              <w:bottom w:type="dxa" w:w="60"/>
              <w:right w:type="dxa" w:w="90"/>
            </w:tcMar>
          </w:tcPr>
          <w:p>
            <w:pPr>
              <w:spacing w:after="20"/>
            </w:pPr>
            <w:r>
              <w:rPr>
                <w:b w:val="false"/>
                <w:bCs w:val="false"/>
                <w:sz w:val="19"/>
                <w:szCs w:val="19"/>
              </w:rPr>
              <w:t xml:space="preserve">⛔ Rozstrzygające: obowiązek ujawnienia po stronie fundacji lub agencji jako podmiotu stosującego wiąże od 2 sierpnia 2026 r. bez okresu przejściowego. Konkluzja części głównej zostaje potwierdzona i wzmocniona — znika zastrzeżenie kotwicy niepełnej.</w:t>
            </w:r>
          </w:p>
        </w:tc>
      </w:tr>
      <w:tr>
        <w:tc>
          <w:tcPr>
            <w:tcW w:type="dxa" w:w="1900"/>
            <w:tcMar>
              <w:top w:type="dxa" w:w="60"/>
              <w:left w:type="dxa" w:w="90"/>
              <w:bottom w:type="dxa" w:w="60"/>
              <w:right w:type="dxa" w:w="90"/>
            </w:tcMar>
          </w:tcPr>
          <w:p>
            <w:pPr>
              <w:spacing w:after="20"/>
            </w:pPr>
            <w:r>
              <w:rPr>
                <w:b w:val="false"/>
                <w:bCs w:val="false"/>
                <w:sz w:val="19"/>
                <w:szCs w:val="19"/>
              </w:rPr>
              <w:t xml:space="preserve">Zmiana art. 50 ust. 7</w:t>
            </w:r>
          </w:p>
        </w:tc>
        <w:tc>
          <w:tcPr>
            <w:tcW w:type="dxa" w:w="3700"/>
            <w:tcMar>
              <w:top w:type="dxa" w:w="60"/>
              <w:left w:type="dxa" w:w="90"/>
              <w:bottom w:type="dxa" w:w="60"/>
              <w:right w:type="dxa" w:w="90"/>
            </w:tcMar>
          </w:tcPr>
          <w:p>
            <w:pPr>
              <w:spacing w:after="20"/>
            </w:pPr>
            <w:r>
              <w:rPr>
                <w:b w:val="false"/>
                <w:bCs w:val="false"/>
                <w:sz w:val="19"/>
                <w:szCs w:val="19"/>
              </w:rPr>
              <w:t xml:space="preserve">Art. 1 pkt 20: uchylono upoważnienie Komisji do zatwierdzania kodeksów praktyk aktem wykonawczym; Komisja ocenia adekwatność kodeksu w trybie art. 56 ust. 6, a przy ocenie negatywnej może przyjąć akt wykonawczy określający wspólne zasady wykonania obowiązków z ust. 2 i 4.</w:t>
            </w:r>
          </w:p>
        </w:tc>
        <w:tc>
          <w:tcPr>
            <w:tcW w:type="dxa" w:w="3400"/>
            <w:tcMar>
              <w:top w:type="dxa" w:w="60"/>
              <w:left w:type="dxa" w:w="90"/>
              <w:bottom w:type="dxa" w:w="60"/>
              <w:right w:type="dxa" w:w="90"/>
            </w:tcMar>
          </w:tcPr>
          <w:p>
            <w:pPr>
              <w:spacing w:after="20"/>
            </w:pPr>
            <w:r>
              <w:rPr>
                <w:b w:val="false"/>
                <w:bCs w:val="false"/>
                <w:sz w:val="19"/>
                <w:szCs w:val="19"/>
              </w:rPr>
              <w:t xml:space="preserve">Kodeks praktyk dotyczący przejrzystości nie daje domniemania zgodności. Powoływanie się na niego przez fundację lub agencję nie zwalnia z art. 50 ust. 4.</w:t>
            </w:r>
          </w:p>
        </w:tc>
      </w:tr>
      <w:tr>
        <w:tc>
          <w:tcPr>
            <w:tcW w:type="dxa" w:w="1900"/>
            <w:tcMar>
              <w:top w:type="dxa" w:w="60"/>
              <w:left w:type="dxa" w:w="90"/>
              <w:bottom w:type="dxa" w:w="60"/>
              <w:right w:type="dxa" w:w="90"/>
            </w:tcMar>
          </w:tcPr>
          <w:p>
            <w:pPr>
              <w:spacing w:after="20"/>
            </w:pPr>
            <w:r>
              <w:rPr>
                <w:b w:val="false"/>
                <w:bCs w:val="false"/>
                <w:sz w:val="19"/>
                <w:szCs w:val="19"/>
              </w:rPr>
              <w:t xml:space="preserve">Nowe zakazy w art. 5</w:t>
            </w:r>
          </w:p>
        </w:tc>
        <w:tc>
          <w:tcPr>
            <w:tcW w:type="dxa" w:w="3700"/>
            <w:tcMar>
              <w:top w:type="dxa" w:w="60"/>
              <w:left w:type="dxa" w:w="90"/>
              <w:bottom w:type="dxa" w:w="60"/>
              <w:right w:type="dxa" w:w="90"/>
            </w:tcMar>
          </w:tcPr>
          <w:p>
            <w:pPr>
              <w:spacing w:after="20"/>
            </w:pPr>
            <w:r>
              <w:rPr>
                <w:b w:val="false"/>
                <w:bCs w:val="false"/>
                <w:sz w:val="19"/>
                <w:szCs w:val="19"/>
              </w:rPr>
              <w:t xml:space="preserve">Art. 1 pkt 7: dodano lit. ba) — systemy generujące lub manipulujące realistycznym materiałem intymnym identyfikowalnej osoby bez jej wyraźnej zgody, oraz lit. bb) — materiał przedstawiający seksualne wykorzystywanie dzieci. Motyw 16 zastrzega, że zakazy pozostają bez uszczerbku dla krajowych środków ochrony wizerunku, prywatności i godności.</w:t>
            </w:r>
          </w:p>
        </w:tc>
        <w:tc>
          <w:tcPr>
            <w:tcW w:type="dxa" w:w="3400"/>
            <w:tcMar>
              <w:top w:type="dxa" w:w="60"/>
              <w:left w:type="dxa" w:w="90"/>
              <w:bottom w:type="dxa" w:w="60"/>
              <w:right w:type="dxa" w:w="90"/>
            </w:tcMar>
          </w:tcPr>
          <w:p>
            <w:pPr>
              <w:spacing w:after="20"/>
            </w:pPr>
            <w:r>
              <w:rPr>
                <w:b w:val="false"/>
                <w:bCs w:val="false"/>
                <w:sz w:val="19"/>
                <w:szCs w:val="19"/>
              </w:rPr>
              <w:t xml:space="preserve">Deepfake polityczny Leny Wilk pozostaje POZA art. 5 — zakazy są zawężone przedmiotowo. Motyw 16 potwierdza natomiast, że ścieżka z art. 23–24 i 448 KC oraz art. 81 pr. aut. działa równolegle i nie jest wypierana przez AI Act.</w:t>
            </w:r>
          </w:p>
        </w:tc>
      </w:tr>
      <w:tr>
        <w:tc>
          <w:tcPr>
            <w:tcW w:type="dxa" w:w="1900"/>
            <w:tcMar>
              <w:top w:type="dxa" w:w="60"/>
              <w:left w:type="dxa" w:w="90"/>
              <w:bottom w:type="dxa" w:w="60"/>
              <w:right w:type="dxa" w:w="90"/>
            </w:tcMar>
          </w:tcPr>
          <w:p>
            <w:pPr>
              <w:spacing w:after="20"/>
            </w:pPr>
            <w:r>
              <w:rPr>
                <w:b w:val="false"/>
                <w:bCs w:val="false"/>
                <w:sz w:val="19"/>
                <w:szCs w:val="19"/>
              </w:rPr>
              <w:t xml:space="preserve">Systemy wysokiego ryzyka</w:t>
            </w:r>
          </w:p>
        </w:tc>
        <w:tc>
          <w:tcPr>
            <w:tcW w:type="dxa" w:w="3700"/>
            <w:tcMar>
              <w:top w:type="dxa" w:w="60"/>
              <w:left w:type="dxa" w:w="90"/>
              <w:bottom w:type="dxa" w:w="60"/>
              <w:right w:type="dxa" w:w="90"/>
            </w:tcMar>
          </w:tcPr>
          <w:p>
            <w:pPr>
              <w:spacing w:after="20"/>
            </w:pPr>
            <w:r>
              <w:rPr>
                <w:b w:val="false"/>
                <w:bCs w:val="false"/>
                <w:sz w:val="19"/>
                <w:szCs w:val="19"/>
              </w:rPr>
              <w:t xml:space="preserve">Motyw 40: stosowanie rozdziału III sekcji 1–3 przesunięte na 2 grudnia 2027 r. dla systemów z załącznika III i 2 sierpnia 2028 r. dla systemów z załącznika I; ogólna data stosowania AI Act pozostaje 2 sierpnia 2026 r.</w:t>
            </w:r>
          </w:p>
        </w:tc>
        <w:tc>
          <w:tcPr>
            <w:tcW w:type="dxa" w:w="3400"/>
            <w:tcMar>
              <w:top w:type="dxa" w:w="60"/>
              <w:left w:type="dxa" w:w="90"/>
              <w:bottom w:type="dxa" w:w="60"/>
              <w:right w:type="dxa" w:w="90"/>
            </w:tcMar>
          </w:tcPr>
          <w:p>
            <w:pPr>
              <w:spacing w:after="20"/>
            </w:pPr>
            <w:r>
              <w:rPr>
                <w:b w:val="false"/>
                <w:bCs w:val="false"/>
                <w:sz w:val="19"/>
                <w:szCs w:val="19"/>
              </w:rPr>
              <w:t xml:space="preserve">Nie dotyczy PL-07 bezpośrednio, ale koryguje częsty błąd: „odroczenie AI Act” nie obejmuje obowiązków przejrzystości.</w:t>
            </w:r>
          </w:p>
        </w:tc>
      </w:tr>
      <w:tr>
        <w:tc>
          <w:tcPr>
            <w:tcW w:type="dxa" w:w="1900"/>
            <w:tcMar>
              <w:top w:type="dxa" w:w="60"/>
              <w:left w:type="dxa" w:w="90"/>
              <w:bottom w:type="dxa" w:w="60"/>
              <w:right w:type="dxa" w:w="90"/>
            </w:tcMar>
          </w:tcPr>
          <w:p>
            <w:pPr>
              <w:spacing w:after="20"/>
            </w:pPr>
            <w:r>
              <w:rPr>
                <w:b w:val="false"/>
                <w:bCs w:val="false"/>
                <w:sz w:val="19"/>
                <w:szCs w:val="19"/>
              </w:rPr>
              <w:t xml:space="preserve">Nadzór nad platformami</w:t>
            </w:r>
          </w:p>
        </w:tc>
        <w:tc>
          <w:tcPr>
            <w:tcW w:type="dxa" w:w="3700"/>
            <w:tcMar>
              <w:top w:type="dxa" w:w="60"/>
              <w:left w:type="dxa" w:w="90"/>
              <w:bottom w:type="dxa" w:w="60"/>
              <w:right w:type="dxa" w:w="90"/>
            </w:tcMar>
          </w:tcPr>
          <w:p>
            <w:pPr>
              <w:spacing w:after="20"/>
            </w:pPr>
            <w:r>
              <w:rPr>
                <w:b w:val="false"/>
                <w:bCs w:val="false"/>
                <w:sz w:val="19"/>
                <w:szCs w:val="19"/>
              </w:rPr>
              <w:t xml:space="preserve">Motyw 32: Komisji przyznano uprawnienia organu nadzoru rynku na gruncie AI Act, gdy system AI stanowi bardzo dużą platformę lub bardzo dużą wyszukiwarkę w rozumieniu rozporządzenia 2022/2065 albo jest w taką platformę wbudowany; punktem wejścia oceny pozostają ocena ryzyka, środki zmniejszające ryzyko i audyt z art. 34, 35 i 37 DSA.</w:t>
            </w:r>
          </w:p>
        </w:tc>
        <w:tc>
          <w:tcPr>
            <w:tcW w:type="dxa" w:w="3400"/>
            <w:tcMar>
              <w:top w:type="dxa" w:w="60"/>
              <w:left w:type="dxa" w:w="90"/>
              <w:bottom w:type="dxa" w:w="60"/>
              <w:right w:type="dxa" w:w="90"/>
            </w:tcMar>
          </w:tcPr>
          <w:p>
            <w:pPr>
              <w:spacing w:after="20"/>
            </w:pPr>
            <w:r>
              <w:rPr>
                <w:b w:val="false"/>
                <w:bCs w:val="false"/>
                <w:sz w:val="19"/>
                <w:szCs w:val="19"/>
              </w:rPr>
              <w:t xml:space="preserve">Domyka pytanie 4: jeżeli platforma z kazusu jest VLOP, osie DSA i AI Act zbiegają się u jednego organu, a art. 35 ust. 1 lit. k) DSA staje się pierwszym punktem oceny, nie zaś argumentem obronnym platformy.</w:t>
            </w:r>
          </w:p>
        </w:tc>
      </w:tr>
    </w:tbl>
    <w:p>
      <w:pPr>
        <w:spacing w:after="140"/>
      </w:pPr>
      <w:r>
        <w:rPr>
          <w:b w:val="false"/>
          <w:bCs w:val="false"/>
          <w:i w:val="false"/>
          <w:iCs w:val="false"/>
        </w:rPr>
        <w:t xml:space="preserve">Ograniczenie: ⚠️ Odczytałem tekst angielski opublikowany w Dzienniku Urzędowym oraz motywy 1–47 i art. 1 pkt 1–25; dalszej części artykułowej i załączników nie przeglądałem w całości. Numeracji jednostek podaję za tekstem urzędowym, ale wersji polskiej tego rozporządzenia nie otwierałem — przy cytowaniu w piśmie należy sięgnąć po wersję polskojęzyczną.</w:t>
      </w:r>
    </w:p>
    <w:p>
      <w:pPr>
        <w:pStyle w:val="Heading2"/>
        <w:spacing w:after="140" w:before="300"/>
      </w:pPr>
      <w:r>
        <w:t xml:space="preserve">A-3. Wpływ aneksu na rozstrzygnięcia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5300"/>
      </w:tblGrid>
      <w:tr>
        <w:trPr>
          <w:tblHeader/>
        </w:trPr>
        <w:tc>
          <w:tcPr>
            <w:tcW w:type="dxa" w:w="1100"/>
            <w:shd w:fill="1F3864" w:color="auto" w:val="clear"/>
            <w:tcMar>
              <w:top w:type="dxa" w:w="60"/>
              <w:left w:type="dxa" w:w="90"/>
              <w:bottom w:type="dxa" w:w="60"/>
              <w:right w:type="dxa" w:w="90"/>
            </w:tcMar>
          </w:tcPr>
          <w:p>
            <w:pPr>
              <w:spacing w:after="20"/>
            </w:pPr>
            <w:r>
              <w:rPr>
                <w:b/>
                <w:bCs/>
                <w:color w:val="FFFFFF"/>
                <w:sz w:val="19"/>
                <w:szCs w:val="19"/>
              </w:rPr>
              <w:t xml:space="preserve">Kazus</w:t>
            </w:r>
          </w:p>
        </w:tc>
        <w:tc>
          <w:tcPr>
            <w:tcW w:type="dxa" w:w="2600"/>
            <w:shd w:fill="1F3864" w:color="auto" w:val="clear"/>
            <w:tcMar>
              <w:top w:type="dxa" w:w="60"/>
              <w:left w:type="dxa" w:w="90"/>
              <w:bottom w:type="dxa" w:w="60"/>
              <w:right w:type="dxa" w:w="90"/>
            </w:tcMar>
          </w:tcPr>
          <w:p>
            <w:pPr>
              <w:spacing w:after="20"/>
            </w:pPr>
            <w:r>
              <w:rPr>
                <w:b/>
                <w:bCs/>
                <w:color w:val="FFFFFF"/>
                <w:sz w:val="19"/>
                <w:szCs w:val="19"/>
              </w:rPr>
              <w:t xml:space="preserve">Czy konkluzja się zmienia</w:t>
            </w:r>
          </w:p>
        </w:tc>
        <w:tc>
          <w:tcPr>
            <w:tcW w:type="dxa" w:w="5300"/>
            <w:shd w:fill="1F3864" w:color="auto" w:val="clear"/>
            <w:tcMar>
              <w:top w:type="dxa" w:w="60"/>
              <w:left w:type="dxa" w:w="90"/>
              <w:bottom w:type="dxa" w:w="60"/>
              <w:right w:type="dxa" w:w="90"/>
            </w:tcMar>
          </w:tcPr>
          <w:p>
            <w:pPr>
              <w:spacing w:after="20"/>
            </w:pPr>
            <w:r>
              <w:rPr>
                <w:b/>
                <w:bCs/>
                <w:color w:val="FFFFFF"/>
                <w:sz w:val="19"/>
                <w:szCs w:val="19"/>
              </w:rPr>
              <w:t xml:space="preserve">Uzasadnienie</w:t>
            </w:r>
          </w:p>
        </w:tc>
      </w:tr>
      <w:tr>
        <w:tc>
          <w:tcPr>
            <w:tcW w:type="dxa" w:w="1100"/>
            <w:tcMar>
              <w:top w:type="dxa" w:w="60"/>
              <w:left w:type="dxa" w:w="90"/>
              <w:bottom w:type="dxa" w:w="60"/>
              <w:right w:type="dxa" w:w="90"/>
            </w:tcMar>
          </w:tcPr>
          <w:p>
            <w:pPr>
              <w:spacing w:after="20"/>
            </w:pPr>
            <w:r>
              <w:rPr>
                <w:b w:val="false"/>
                <w:bCs w:val="false"/>
                <w:sz w:val="19"/>
                <w:szCs w:val="19"/>
              </w:rPr>
              <w:t xml:space="preserve">PL-06</w:t>
            </w:r>
          </w:p>
        </w:tc>
        <w:tc>
          <w:tcPr>
            <w:tcW w:type="dxa" w:w="2600"/>
            <w:tcMar>
              <w:top w:type="dxa" w:w="60"/>
              <w:left w:type="dxa" w:w="90"/>
              <w:bottom w:type="dxa" w:w="60"/>
              <w:right w:type="dxa" w:w="90"/>
            </w:tcMar>
          </w:tcPr>
          <w:p>
            <w:pPr>
              <w:spacing w:after="20"/>
            </w:pPr>
            <w:r>
              <w:rPr>
                <w:b w:val="false"/>
                <w:bCs w:val="false"/>
                <w:sz w:val="19"/>
                <w:szCs w:val="19"/>
              </w:rPr>
              <w:t xml:space="preserve">Nie zmienia się, zyskuje precyzję</w:t>
            </w:r>
          </w:p>
        </w:tc>
        <w:tc>
          <w:tcPr>
            <w:tcW w:type="dxa" w:w="5300"/>
            <w:tcMar>
              <w:top w:type="dxa" w:w="60"/>
              <w:left w:type="dxa" w:w="90"/>
              <w:bottom w:type="dxa" w:w="60"/>
              <w:right w:type="dxa" w:w="90"/>
            </w:tcMar>
          </w:tcPr>
          <w:p>
            <w:pPr>
              <w:spacing w:after="20"/>
            </w:pPr>
            <w:r>
              <w:rPr>
                <w:b w:val="false"/>
                <w:bCs w:val="false"/>
                <w:sz w:val="19"/>
                <w:szCs w:val="19"/>
              </w:rPr>
              <w:t xml:space="preserve">Kierunek pozostaje: odliczenie podważalne, dobra wiara nie jest przesłanką ustawową. Dochodzi jednak rozdzielenie dwóch osi ciężaru dowodu (przesłanki materialne — podatnik; oszustwo i wiedza — organ) oraz zakaz opierania odmowy na domniemaniach. To realnie wzmacnia pozycję obronną spółki wobec zarzutu zbudowanego wyłącznie na czerwonych flagach.</w:t>
            </w:r>
          </w:p>
        </w:tc>
      </w:tr>
      <w:tr>
        <w:tc>
          <w:tcPr>
            <w:tcW w:type="dxa" w:w="1100"/>
            <w:tcMar>
              <w:top w:type="dxa" w:w="60"/>
              <w:left w:type="dxa" w:w="90"/>
              <w:bottom w:type="dxa" w:w="60"/>
              <w:right w:type="dxa" w:w="90"/>
            </w:tcMar>
          </w:tcPr>
          <w:p>
            <w:pPr>
              <w:spacing w:after="20"/>
            </w:pPr>
            <w:r>
              <w:rPr>
                <w:b w:val="false"/>
                <w:bCs w:val="false"/>
                <w:sz w:val="19"/>
                <w:szCs w:val="19"/>
              </w:rPr>
              <w:t xml:space="preserve">PL-07</w:t>
            </w:r>
          </w:p>
        </w:tc>
        <w:tc>
          <w:tcPr>
            <w:tcW w:type="dxa" w:w="2600"/>
            <w:tcMar>
              <w:top w:type="dxa" w:w="60"/>
              <w:left w:type="dxa" w:w="90"/>
              <w:bottom w:type="dxa" w:w="60"/>
              <w:right w:type="dxa" w:w="90"/>
            </w:tcMar>
          </w:tcPr>
          <w:p>
            <w:pPr>
              <w:spacing w:after="20"/>
            </w:pPr>
            <w:r>
              <w:rPr>
                <w:b w:val="false"/>
                <w:bCs w:val="false"/>
                <w:sz w:val="19"/>
                <w:szCs w:val="19"/>
              </w:rPr>
              <w:t xml:space="preserve">Nie zmienia się, zyskuje pewność</w:t>
            </w:r>
          </w:p>
        </w:tc>
        <w:tc>
          <w:tcPr>
            <w:tcW w:type="dxa" w:w="5300"/>
            <w:tcMar>
              <w:top w:type="dxa" w:w="60"/>
              <w:left w:type="dxa" w:w="90"/>
              <w:bottom w:type="dxa" w:w="60"/>
              <w:right w:type="dxa" w:w="90"/>
            </w:tcMar>
          </w:tcPr>
          <w:p>
            <w:pPr>
              <w:spacing w:after="20"/>
            </w:pPr>
            <w:r>
              <w:rPr>
                <w:b w:val="false"/>
                <w:bCs w:val="false"/>
                <w:sz w:val="19"/>
                <w:szCs w:val="19"/>
              </w:rPr>
              <w:t xml:space="preserve">Obowiązek z art. 50 ust. 4 AI Act wiąże bez odroczenia — teza części głównej potwierdzona źródłem urzędowym zamiast kotwicy 2B. Dodatkowo: nowe zakazy z art. 5 nie obejmują deepfake’a politycznego, a motyw 16 potwierdza równoległość krajowej ochrony dóbr osobistych.</w:t>
            </w:r>
          </w:p>
        </w:tc>
      </w:tr>
    </w:tbl>
    <w:p>
      <w:r>
        <w:br w:type="page"/>
      </w:r>
    </w:p>
    <w:p>
      <w:pPr>
        <w:pStyle w:val="Heading2"/>
        <w:spacing w:after="140" w:before="300"/>
      </w:pPr>
      <w:r>
        <w:t xml:space="preserve">Legenda znaczników weryfikacji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3864" w:color="auto" w:val="clear"/>
            <w:tcMar>
              <w:top w:type="dxa" w:w="60"/>
              <w:left w:type="dxa" w:w="90"/>
              <w:bottom w:type="dxa" w:w="60"/>
              <w:right w:type="dxa" w:w="90"/>
            </w:tcMar>
          </w:tcPr>
          <w:p>
            <w:pPr>
              <w:spacing w:after="20"/>
            </w:pPr>
            <w:r>
              <w:rPr>
                <w:b/>
                <w:bCs/>
                <w:color w:val="FFFFFF"/>
                <w:sz w:val="19"/>
                <w:szCs w:val="19"/>
              </w:rPr>
              <w:t xml:space="preserve">Znacznik</w:t>
            </w:r>
          </w:p>
        </w:tc>
        <w:tc>
          <w:tcPr>
            <w:tcW w:type="dxa" w:w="6400"/>
            <w:shd w:fill="1F3864" w:color="auto" w:val="clear"/>
            <w:tcMar>
              <w:top w:type="dxa" w:w="60"/>
              <w:left w:type="dxa" w:w="90"/>
              <w:bottom w:type="dxa" w:w="60"/>
              <w:right w:type="dxa" w:w="90"/>
            </w:tcMar>
          </w:tcPr>
          <w:p>
            <w:pPr>
              <w:spacing w:after="20"/>
            </w:pPr>
            <w:r>
              <w:rPr>
                <w:b/>
                <w:bCs/>
                <w:color w:val="FFFFFF"/>
                <w:sz w:val="19"/>
                <w:szCs w:val="19"/>
              </w:rPr>
              <w:t xml:space="preserve">Znaczenie</w:t>
            </w:r>
          </w:p>
        </w:tc>
      </w:tr>
      <w:tr>
        <w:tc>
          <w:tcPr>
            <w:tcW w:type="dxa" w:w="2600"/>
            <w:tcMar>
              <w:top w:type="dxa" w:w="60"/>
              <w:left w:type="dxa" w:w="90"/>
              <w:bottom w:type="dxa" w:w="60"/>
              <w:right w:type="dxa" w:w="90"/>
            </w:tcMar>
          </w:tcPr>
          <w:p>
            <w:pPr>
              <w:spacing w:after="20"/>
            </w:pPr>
            <w:r>
              <w:rPr>
                <w:b w:val="false"/>
                <w:bCs w:val="false"/>
                <w:sz w:val="19"/>
                <w:szCs w:val="19"/>
              </w:rPr>
              <w:t xml:space="preserve">[VER: źródło, data]</w:t>
            </w:r>
          </w:p>
        </w:tc>
        <w:tc>
          <w:tcPr>
            <w:tcW w:type="dxa" w:w="6400"/>
            <w:tcMar>
              <w:top w:type="dxa" w:w="60"/>
              <w:left w:type="dxa" w:w="90"/>
              <w:bottom w:type="dxa" w:w="60"/>
              <w:right w:type="dxa" w:w="90"/>
            </w:tcMar>
          </w:tcPr>
          <w:p>
            <w:pPr>
              <w:spacing w:after="20"/>
            </w:pPr>
            <w:r>
              <w:rPr>
                <w:b w:val="false"/>
                <w:bCs w:val="false"/>
                <w:sz w:val="19"/>
                <w:szCs w:val="19"/>
              </w:rPr>
              <w:t xml:space="preserve">Brzmienie odczytane w tej turze z podanego źródła</w:t>
            </w:r>
          </w:p>
        </w:tc>
      </w:tr>
      <w:tr>
        <w:tc>
          <w:tcPr>
            <w:tcW w:type="dxa" w:w="2600"/>
            <w:tcMar>
              <w:top w:type="dxa" w:w="60"/>
              <w:left w:type="dxa" w:w="90"/>
              <w:bottom w:type="dxa" w:w="60"/>
              <w:right w:type="dxa" w:w="90"/>
            </w:tcMar>
          </w:tcPr>
          <w:p>
            <w:pPr>
              <w:spacing w:after="20"/>
            </w:pPr>
            <w:r>
              <w:rPr>
                <w:b w:val="false"/>
                <w:bCs w:val="false"/>
                <w:sz w:val="19"/>
                <w:szCs w:val="19"/>
              </w:rPr>
              <w:t xml:space="preserve">RZĄD 1</w:t>
            </w:r>
          </w:p>
        </w:tc>
        <w:tc>
          <w:tcPr>
            <w:tcW w:type="dxa" w:w="6400"/>
            <w:tcMar>
              <w:top w:type="dxa" w:w="60"/>
              <w:left w:type="dxa" w:w="90"/>
              <w:bottom w:type="dxa" w:w="60"/>
              <w:right w:type="dxa" w:w="90"/>
            </w:tcMar>
          </w:tcPr>
          <w:p>
            <w:pPr>
              <w:spacing w:after="20"/>
            </w:pPr>
            <w:r>
              <w:rPr>
                <w:b w:val="false"/>
                <w:bCs w:val="false"/>
                <w:sz w:val="19"/>
                <w:szCs w:val="19"/>
              </w:rPr>
              <w:t xml:space="preserve">Źródło urzędowe (ISAP / ELI / api.sejm.gov.pl / EUR-Lex / strony organów UE)</w:t>
            </w:r>
          </w:p>
        </w:tc>
      </w:tr>
      <w:tr>
        <w:tc>
          <w:tcPr>
            <w:tcW w:type="dxa" w:w="2600"/>
            <w:tcMar>
              <w:top w:type="dxa" w:w="60"/>
              <w:left w:type="dxa" w:w="90"/>
              <w:bottom w:type="dxa" w:w="60"/>
              <w:right w:type="dxa" w:w="90"/>
            </w:tcMar>
          </w:tcPr>
          <w:p>
            <w:pPr>
              <w:spacing w:after="20"/>
            </w:pPr>
            <w:r>
              <w:rPr>
                <w:b w:val="false"/>
                <w:bCs w:val="false"/>
                <w:sz w:val="19"/>
                <w:szCs w:val="19"/>
              </w:rPr>
              <w:t xml:space="preserve">RZĄD 2B</w:t>
            </w:r>
          </w:p>
        </w:tc>
        <w:tc>
          <w:tcPr>
            <w:tcW w:type="dxa" w:w="6400"/>
            <w:tcMar>
              <w:top w:type="dxa" w:w="60"/>
              <w:left w:type="dxa" w:w="90"/>
              <w:bottom w:type="dxa" w:w="60"/>
              <w:right w:type="dxa" w:w="90"/>
            </w:tcMar>
          </w:tcPr>
          <w:p>
            <w:pPr>
              <w:spacing w:after="20"/>
            </w:pPr>
            <w:r>
              <w:rPr>
                <w:b w:val="false"/>
                <w:bCs w:val="false"/>
                <w:sz w:val="19"/>
                <w:szCs w:val="19"/>
              </w:rPr>
              <w:t xml:space="preserve">Portal branżowy lub komercyjna baza prawa</w:t>
            </w:r>
          </w:p>
        </w:tc>
      </w:tr>
      <w:tr>
        <w:tc>
          <w:tcPr>
            <w:tcW w:type="dxa" w:w="2600"/>
            <w:tcMar>
              <w:top w:type="dxa" w:w="60"/>
              <w:left w:type="dxa" w:w="90"/>
              <w:bottom w:type="dxa" w:w="60"/>
              <w:right w:type="dxa" w:w="90"/>
            </w:tcMar>
          </w:tcPr>
          <w:p>
            <w:pPr>
              <w:spacing w:after="20"/>
            </w:pPr>
            <w:r>
              <w:rPr>
                <w:b w:val="false"/>
                <w:bCs w:val="false"/>
                <w:sz w:val="19"/>
                <w:szCs w:val="19"/>
              </w:rPr>
              <w:t xml:space="preserve">RZĄD 3</w:t>
            </w:r>
          </w:p>
        </w:tc>
        <w:tc>
          <w:tcPr>
            <w:tcW w:type="dxa" w:w="6400"/>
            <w:tcMar>
              <w:top w:type="dxa" w:w="60"/>
              <w:left w:type="dxa" w:w="90"/>
              <w:bottom w:type="dxa" w:w="60"/>
              <w:right w:type="dxa" w:w="90"/>
            </w:tcMar>
          </w:tcPr>
          <w:p>
            <w:pPr>
              <w:spacing w:after="20"/>
            </w:pPr>
            <w:r>
              <w:rPr>
                <w:b w:val="false"/>
                <w:bCs w:val="false"/>
                <w:sz w:val="19"/>
                <w:szCs w:val="19"/>
              </w:rPr>
              <w:t xml:space="preserve">Opracowanie, komentarz, publikacja naukowa lub branżowa</w:t>
            </w:r>
          </w:p>
        </w:tc>
      </w:tr>
      <w:tr>
        <w:tc>
          <w:tcPr>
            <w:tcW w:type="dxa" w:w="2600"/>
            <w:tcMar>
              <w:top w:type="dxa" w:w="60"/>
              <w:left w:type="dxa" w:w="90"/>
              <w:bottom w:type="dxa" w:w="60"/>
              <w:right w:type="dxa" w:w="90"/>
            </w:tcMar>
          </w:tcPr>
          <w:p>
            <w:pPr>
              <w:spacing w:after="20"/>
            </w:pPr>
            <w:r>
              <w:rPr>
                <w:b w:val="false"/>
                <w:bCs w:val="false"/>
                <w:sz w:val="19"/>
                <w:szCs w:val="19"/>
              </w:rPr>
              <w:t xml:space="preserve">🟨</w:t>
            </w:r>
          </w:p>
        </w:tc>
        <w:tc>
          <w:tcPr>
            <w:tcW w:type="dxa" w:w="6400"/>
            <w:tcMar>
              <w:top w:type="dxa" w:w="60"/>
              <w:left w:type="dxa" w:w="90"/>
              <w:bottom w:type="dxa" w:w="60"/>
              <w:right w:type="dxa" w:w="90"/>
            </w:tcMar>
          </w:tcPr>
          <w:p>
            <w:pPr>
              <w:spacing w:after="20"/>
            </w:pPr>
            <w:r>
              <w:rPr>
                <w:b w:val="false"/>
                <w:bCs w:val="false"/>
                <w:sz w:val="19"/>
                <w:szCs w:val="19"/>
              </w:rPr>
              <w:t xml:space="preserve">Kotwica urzędowa niepełna — twierdzenie oparte na źródłach niższego rzędu</w:t>
            </w:r>
          </w:p>
        </w:tc>
      </w:tr>
      <w:tr>
        <w:tc>
          <w:tcPr>
            <w:tcW w:type="dxa" w:w="2600"/>
            <w:tcMar>
              <w:top w:type="dxa" w:w="60"/>
              <w:left w:type="dxa" w:w="90"/>
              <w:bottom w:type="dxa" w:w="60"/>
              <w:right w:type="dxa" w:w="90"/>
            </w:tcMar>
          </w:tcPr>
          <w:p>
            <w:pPr>
              <w:spacing w:after="20"/>
            </w:pPr>
            <w:r>
              <w:rPr>
                <w:b w:val="false"/>
                <w:bCs w:val="false"/>
                <w:sz w:val="19"/>
                <w:szCs w:val="19"/>
              </w:rPr>
              <w:t xml:space="preserve">⚠️ [NIEWERYFIKOWANE]</w:t>
            </w:r>
          </w:p>
        </w:tc>
        <w:tc>
          <w:tcPr>
            <w:tcW w:type="dxa" w:w="6400"/>
            <w:tcMar>
              <w:top w:type="dxa" w:w="60"/>
              <w:left w:type="dxa" w:w="90"/>
              <w:bottom w:type="dxa" w:w="60"/>
              <w:right w:type="dxa" w:w="90"/>
            </w:tcMar>
          </w:tcPr>
          <w:p>
            <w:pPr>
              <w:spacing w:after="20"/>
            </w:pPr>
            <w:r>
              <w:rPr>
                <w:b w:val="false"/>
                <w:bCs w:val="false"/>
                <w:sz w:val="19"/>
                <w:szCs w:val="19"/>
              </w:rPr>
              <w:t xml:space="preserve">Twierdzenie bez pokrycia źródłowego w tej turze — wymaga samodzielnego sprawdzenia</w:t>
            </w:r>
          </w:p>
        </w:tc>
      </w:tr>
      <w:tr>
        <w:tc>
          <w:tcPr>
            <w:tcW w:type="dxa" w:w="2600"/>
            <w:tcMar>
              <w:top w:type="dxa" w:w="60"/>
              <w:left w:type="dxa" w:w="90"/>
              <w:bottom w:type="dxa" w:w="60"/>
              <w:right w:type="dxa" w:w="90"/>
            </w:tcMar>
          </w:tcPr>
          <w:p>
            <w:pPr>
              <w:spacing w:after="20"/>
            </w:pPr>
            <w:r>
              <w:rPr>
                <w:b w:val="false"/>
                <w:bCs w:val="false"/>
                <w:sz w:val="19"/>
                <w:szCs w:val="19"/>
              </w:rPr>
              <w:t xml:space="preserve">⬛</w:t>
            </w:r>
          </w:p>
        </w:tc>
        <w:tc>
          <w:tcPr>
            <w:tcW w:type="dxa" w:w="6400"/>
            <w:tcMar>
              <w:top w:type="dxa" w:w="60"/>
              <w:left w:type="dxa" w:w="90"/>
              <w:bottom w:type="dxa" w:w="60"/>
              <w:right w:type="dxa" w:w="90"/>
            </w:tcMar>
          </w:tcPr>
          <w:p>
            <w:pPr>
              <w:spacing w:after="20"/>
            </w:pPr>
            <w:r>
              <w:rPr>
                <w:b w:val="false"/>
                <w:bCs w:val="false"/>
                <w:sz w:val="19"/>
                <w:szCs w:val="19"/>
              </w:rPr>
              <w:t xml:space="preserve">Brak faktu w materiale źródłowym — zakaz dopowiadania</w:t>
            </w:r>
          </w:p>
        </w:tc>
      </w:tr>
    </w:tbl>
    <w:p>
      <w:pPr>
        <w:pStyle w:val="Heading2"/>
        <w:spacing w:after="140" w:before="300"/>
      </w:pPr>
      <w:r>
        <w:t xml:space="preserve">HYBRID-VALIDATION — raport przed wydaniem pliku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F3864" w:color="auto" w:val="clear"/>
            <w:tcMar>
              <w:top w:type="dxa" w:w="60"/>
              <w:left w:type="dxa" w:w="90"/>
              <w:bottom w:type="dxa" w:w="60"/>
              <w:right w:type="dxa" w:w="90"/>
            </w:tcMar>
          </w:tcPr>
          <w:p>
            <w:pPr>
              <w:spacing w:after="20"/>
            </w:pPr>
            <w:r>
              <w:rPr>
                <w:b/>
                <w:bCs/>
                <w:color w:val="FFFFFF"/>
                <w:sz w:val="19"/>
                <w:szCs w:val="19"/>
              </w:rPr>
              <w:t xml:space="preserve">Warstwa</w:t>
            </w:r>
          </w:p>
        </w:tc>
        <w:tc>
          <w:tcPr>
            <w:tcW w:type="dxa" w:w="6600"/>
            <w:shd w:fill="1F3864" w:color="auto" w:val="clear"/>
            <w:tcMar>
              <w:top w:type="dxa" w:w="60"/>
              <w:left w:type="dxa" w:w="90"/>
              <w:bottom w:type="dxa" w:w="60"/>
              <w:right w:type="dxa" w:w="90"/>
            </w:tcMar>
          </w:tcPr>
          <w:p>
            <w:pPr>
              <w:spacing w:after="20"/>
            </w:pPr>
            <w:r>
              <w:rPr>
                <w:b/>
                <w:bCs/>
                <w:color w:val="FFFFFF"/>
                <w:sz w:val="19"/>
                <w:szCs w:val="19"/>
              </w:rPr>
              <w:t xml:space="preserve">Wynik</w:t>
            </w:r>
          </w:p>
        </w:tc>
      </w:tr>
      <w:tr>
        <w:tc>
          <w:tcPr>
            <w:tcW w:type="dxa" w:w="2400"/>
            <w:tcMar>
              <w:top w:type="dxa" w:w="60"/>
              <w:left w:type="dxa" w:w="90"/>
              <w:bottom w:type="dxa" w:w="60"/>
              <w:right w:type="dxa" w:w="90"/>
            </w:tcMar>
          </w:tcPr>
          <w:p>
            <w:pPr>
              <w:spacing w:after="20"/>
            </w:pPr>
            <w:r>
              <w:rPr>
                <w:b w:val="false"/>
                <w:bCs w:val="false"/>
                <w:sz w:val="19"/>
                <w:szCs w:val="19"/>
              </w:rPr>
              <w:t xml:space="preserve">A — spójność fakty ↔ treść</w:t>
            </w:r>
          </w:p>
        </w:tc>
        <w:tc>
          <w:tcPr>
            <w:tcW w:type="dxa" w:w="6600"/>
            <w:tcMar>
              <w:top w:type="dxa" w:w="60"/>
              <w:left w:type="dxa" w:w="90"/>
              <w:bottom w:type="dxa" w:w="60"/>
              <w:right w:type="dxa" w:w="90"/>
            </w:tcMar>
          </w:tcPr>
          <w:p>
            <w:pPr>
              <w:spacing w:after="20"/>
            </w:pPr>
            <w:r>
              <w:rPr>
                <w:b w:val="false"/>
                <w:bCs w:val="false"/>
                <w:sz w:val="19"/>
                <w:szCs w:val="19"/>
              </w:rPr>
              <w:t xml:space="preserve">Brak sprzeczności. Wszystkie twierdzenia faktyczne pochodzą ze stanów faktycznych PL-06 i PL-07; nie dodano żadnego faktu spoza banku kazusów.</w:t>
            </w:r>
          </w:p>
        </w:tc>
      </w:tr>
      <w:tr>
        <w:tc>
          <w:tcPr>
            <w:tcW w:type="dxa" w:w="2400"/>
            <w:tcMar>
              <w:top w:type="dxa" w:w="60"/>
              <w:left w:type="dxa" w:w="90"/>
              <w:bottom w:type="dxa" w:w="60"/>
              <w:right w:type="dxa" w:w="90"/>
            </w:tcMar>
          </w:tcPr>
          <w:p>
            <w:pPr>
              <w:spacing w:after="20"/>
            </w:pPr>
            <w:r>
              <w:rPr>
                <w:b w:val="false"/>
                <w:bCs w:val="false"/>
                <w:sz w:val="19"/>
                <w:szCs w:val="19"/>
              </w:rPr>
              <w:t xml:space="preserve">B — luki dowodowe</w:t>
            </w:r>
          </w:p>
        </w:tc>
        <w:tc>
          <w:tcPr>
            <w:tcW w:type="dxa" w:w="6600"/>
            <w:tcMar>
              <w:top w:type="dxa" w:w="60"/>
              <w:left w:type="dxa" w:w="90"/>
              <w:bottom w:type="dxa" w:w="60"/>
              <w:right w:type="dxa" w:w="90"/>
            </w:tcMar>
          </w:tcPr>
          <w:p>
            <w:pPr>
              <w:spacing w:after="20"/>
            </w:pPr>
            <w:r>
              <w:rPr>
                <w:b w:val="false"/>
                <w:bCs w:val="false"/>
                <w:sz w:val="19"/>
                <w:szCs w:val="19"/>
              </w:rPr>
              <w:t xml:space="preserve">Zidentyfikowane i wypisane w sekcjach „Braki faktyczne”: 11 pozycji dla PL-06, 10 dla PL-07.</w:t>
            </w:r>
          </w:p>
        </w:tc>
      </w:tr>
      <w:tr>
        <w:tc>
          <w:tcPr>
            <w:tcW w:type="dxa" w:w="2400"/>
            <w:tcMar>
              <w:top w:type="dxa" w:w="60"/>
              <w:left w:type="dxa" w:w="90"/>
              <w:bottom w:type="dxa" w:w="60"/>
              <w:right w:type="dxa" w:w="90"/>
            </w:tcMar>
          </w:tcPr>
          <w:p>
            <w:pPr>
              <w:spacing w:after="20"/>
            </w:pPr>
            <w:r>
              <w:rPr>
                <w:b w:val="false"/>
                <w:bCs w:val="false"/>
                <w:sz w:val="19"/>
                <w:szCs w:val="19"/>
              </w:rPr>
              <w:t xml:space="preserve">C — luki faktyczne</w:t>
            </w:r>
          </w:p>
        </w:tc>
        <w:tc>
          <w:tcPr>
            <w:tcW w:type="dxa" w:w="6600"/>
            <w:tcMar>
              <w:top w:type="dxa" w:w="60"/>
              <w:left w:type="dxa" w:w="90"/>
              <w:bottom w:type="dxa" w:w="60"/>
              <w:right w:type="dxa" w:w="90"/>
            </w:tcMar>
          </w:tcPr>
          <w:p>
            <w:pPr>
              <w:spacing w:after="20"/>
            </w:pPr>
            <w:r>
              <w:rPr>
                <w:b w:val="false"/>
                <w:bCs w:val="false"/>
                <w:sz w:val="19"/>
                <w:szCs w:val="19"/>
              </w:rPr>
              <w:t xml:space="preserve">🔴 KRYTYCZNE: PL-06 — brak dat, kwot i ustalenia realności dostaw (uniemożliwia kwalifikację typu czynu); PL-07 — brak ustalenia statusu VLOP platformy i wiedzy komitetu o działaniu fundacji. Oznaczone ⬛ w treści, nie dopowiedziane.</w:t>
            </w:r>
          </w:p>
        </w:tc>
      </w:tr>
      <w:tr>
        <w:tc>
          <w:tcPr>
            <w:tcW w:type="dxa" w:w="2400"/>
            <w:tcMar>
              <w:top w:type="dxa" w:w="60"/>
              <w:left w:type="dxa" w:w="90"/>
              <w:bottom w:type="dxa" w:w="60"/>
              <w:right w:type="dxa" w:w="90"/>
            </w:tcMar>
          </w:tcPr>
          <w:p>
            <w:pPr>
              <w:spacing w:after="20"/>
            </w:pPr>
            <w:r>
              <w:rPr>
                <w:b w:val="false"/>
                <w:bCs w:val="false"/>
                <w:sz w:val="19"/>
                <w:szCs w:val="19"/>
              </w:rPr>
              <w:t xml:space="preserve">D — ryzyko procesowe</w:t>
            </w:r>
          </w:p>
        </w:tc>
        <w:tc>
          <w:tcPr>
            <w:tcW w:type="dxa" w:w="6600"/>
            <w:tcMar>
              <w:top w:type="dxa" w:w="60"/>
              <w:left w:type="dxa" w:w="90"/>
              <w:bottom w:type="dxa" w:w="60"/>
              <w:right w:type="dxa" w:w="90"/>
            </w:tcMar>
          </w:tcPr>
          <w:p>
            <w:pPr>
              <w:spacing w:after="20"/>
            </w:pPr>
            <w:r>
              <w:rPr>
                <w:b w:val="false"/>
                <w:bCs w:val="false"/>
                <w:sz w:val="19"/>
                <w:szCs w:val="19"/>
              </w:rPr>
              <w:t xml:space="preserve">🟡 PL-07: okno czasowe art. 111 § 2–4 KWyb wyklucza sprostowanie przed głosowaniem — ujęte w rozstrzygnięciu. 🟡 PL-06: czynny żal prawdopodobnie bezskuteczny (art. 16 § 5 pkt 2 KKS) — ujęte. Aneks A-1 dodaje trzecią pozycję: zakaz opierania odmowy odliczenia na domniemaniach — to argument obronny, nie ryzyko.</w:t>
            </w:r>
          </w:p>
        </w:tc>
      </w:tr>
      <w:tr>
        <w:tc>
          <w:tcPr>
            <w:tcW w:type="dxa" w:w="2400"/>
            <w:tcMar>
              <w:top w:type="dxa" w:w="60"/>
              <w:left w:type="dxa" w:w="90"/>
              <w:bottom w:type="dxa" w:w="60"/>
              <w:right w:type="dxa" w:w="90"/>
            </w:tcMar>
          </w:tcPr>
          <w:p>
            <w:pPr>
              <w:spacing w:after="20"/>
            </w:pPr>
            <w:r>
              <w:rPr>
                <w:b w:val="false"/>
                <w:bCs w:val="false"/>
                <w:sz w:val="19"/>
                <w:szCs w:val="19"/>
              </w:rPr>
              <w:t xml:space="preserve">Liczba ⬛ w dokumencie</w:t>
            </w:r>
          </w:p>
        </w:tc>
        <w:tc>
          <w:tcPr>
            <w:tcW w:type="dxa" w:w="6600"/>
            <w:tcMar>
              <w:top w:type="dxa" w:w="60"/>
              <w:left w:type="dxa" w:w="90"/>
              <w:bottom w:type="dxa" w:w="60"/>
              <w:right w:type="dxa" w:w="90"/>
            </w:tcMar>
          </w:tcPr>
          <w:p>
            <w:pPr>
              <w:spacing w:after="20"/>
            </w:pPr>
            <w:r>
              <w:rPr>
                <w:b w:val="false"/>
                <w:bCs w:val="false"/>
                <w:sz w:val="19"/>
                <w:szCs w:val="19"/>
              </w:rPr>
              <w:t xml:space="preserve">Wszystkie ⬛ są świadome i opisowe (braki materiału źródłowego), żadne nie jest luką do uzupełnienia przez autora. Blokada finalizacji nie zachodzi — dokument jest analizą, nie pismem procesowym.</w:t>
            </w:r>
          </w:p>
        </w:tc>
      </w:tr>
      <w:tr>
        <w:tc>
          <w:tcPr>
            <w:tcW w:type="dxa" w:w="2400"/>
            <w:tcMar>
              <w:top w:type="dxa" w:w="60"/>
              <w:left w:type="dxa" w:w="90"/>
              <w:bottom w:type="dxa" w:w="60"/>
              <w:right w:type="dxa" w:w="90"/>
            </w:tcMar>
          </w:tcPr>
          <w:p>
            <w:pPr>
              <w:spacing w:after="20"/>
            </w:pPr>
            <w:r>
              <w:rPr>
                <w:b w:val="false"/>
                <w:bCs w:val="false"/>
                <w:sz w:val="19"/>
                <w:szCs w:val="19"/>
              </w:rPr>
              <w:t xml:space="preserve">VER-GRAIN</w:t>
            </w:r>
          </w:p>
        </w:tc>
        <w:tc>
          <w:tcPr>
            <w:tcW w:type="dxa" w:w="6600"/>
            <w:tcMar>
              <w:top w:type="dxa" w:w="60"/>
              <w:left w:type="dxa" w:w="90"/>
              <w:bottom w:type="dxa" w:w="60"/>
              <w:right w:type="dxa" w:w="90"/>
            </w:tcMar>
          </w:tcPr>
          <w:p>
            <w:pPr>
              <w:spacing w:after="20"/>
            </w:pPr>
            <w:r>
              <w:rPr>
                <w:b w:val="false"/>
                <w:bCs w:val="false"/>
                <w:sz w:val="19"/>
                <w:szCs w:val="19"/>
              </w:rPr>
              <w:t xml:space="preserve">Powołania zweryfikowane w tej turze: ustawa o VAT (86 ust. 1, 88 ust. 3a pkt 4 lit. a, 88a, 108 ust. 1); KKS (2 § 2–3, 8 § 1–2, 9 § 2–3, 10, 16 § 2 i § 5 pkt 2, 24 § 1, 53 § 3, 6, 14–16, 56 § 1, 56a, 62 § 2, 76 § 1, 113 § 1); ustawa AML (34 ust. 1 pkt 4 i ust. 3, 43 ust. 1–2, 54 ust. 1–2, 74 ust. 1–2); KSH (483 § 1 i § 3); OP (33 § 1–4, 116 § 1, 116a, 116b); KPK (178 pkt 1, 225 § 1–3, 226); KK (190a § 2 i § 4, 212 § 2 i § 4, 213 § 2, 271a § 1–2, 277a § 1, 277b, 299 § 1–2); Kodeks wyborczy (105 § 1, 107 § 1, 109 § 1, 111 § 1–6, 113, 129 § 1, 130 § 1, 132 § 3 i § 5, 498, 506 pkt 6, 507); KC (23, 24 § 1–3, 448 § 1); prawo autorskie (79 ust. 1, 81 ust. 1–2); DSA (3 lit. h oraz i, 6 ust. 1, 8, 9, 10, 16 ust. 2–6, 17 ust. 1 i 3, 26 ust. 1, 33 ust. 1, 34 ust. 1 lit. c, 35 ust. 1 lit. k, 39 ust. 1–2); AI Act (50 ust. 4–5, 50 ust. 7 po zmianie, 5 ust. 1 lit. ba i bb); dyrektywa 2006/112/WE (art. 168); rozporządzenie (UE) 2026/1744 (motywy 16, 32, 38, 40, 46; art. 1 pkt 7 i 20); wyrok TSUE C-281/20 Ferimet. Bez pokrycia w tej turze i jawnie oznaczone: pełne teksty wyroków C-439/04 i C-440/04, C-80/11 i C-142/11, C-189/18, C-108/20 (znane wyłącznie z cytatów w Ferimet), przepisy KC o przelewie wierzytelności, wersja polska rozporządzenia 2026/1744, dalsza część artykułowa i załączniki tego rozporządzenia.</w:t>
            </w:r>
          </w:p>
        </w:tc>
      </w:tr>
    </w:tbl>
    <w:p>
      <w:pPr>
        <w:pBdr>
          <w:top w:val="single" w:color="AAAAAA" w:sz="6"/>
        </w:pBdr>
        <w:spacing w:before="200"/>
      </w:pPr>
    </w:p>
    <w:p>
      <w:pPr>
        <w:spacing w:after="140"/>
      </w:pPr>
      <w:r>
        <w:rPr>
          <w:b w:val="false"/>
          <w:bCs w:val="false"/>
          <w:i/>
          <w:iCs/>
          <w:sz w:val="18"/>
          <w:szCs w:val="18"/>
        </w:rPr>
        <w:t xml:space="preserve">⚖️ Zastrzeżenie: Niniejsza analiza ma charakter informacyjny. Nie stanowi porady prawnej ani opinii prawnej w rozumieniu art. 4 Prawa o adwokaturze (Dz.U. z 2024 r. poz. 1564 t.j.) ani art. 6 ustawy o radcach prawnych (Dz.U. z 2024 r. poz. 499 t.j.). Weryfikacja przepisów: isap.sejm.gov.pl. Orzecznictwo: orzeczenia.ms.gov.pl / sn.pl. Każda analiza wymaga weryfikacji pod kątem aktualnego stanu prawnego i okoliczności konkretnej sprawy.</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rFonts w:ascii="Calibri" w:cs="Calibri" w:eastAsia="Calibri" w:hAnsi="Calibri"/>
      <w:b/>
      <w:bCs/>
      <w:color w:val="1F3864"/>
      <w:sz w:val="34"/>
      <w:szCs w:val="34"/>
    </w:rPr>
  </w:style>
  <w:style w:type="paragraph" w:styleId="Heading1">
    <w:name w:val="Heading 1"/>
    <w:basedOn w:val="Normal"/>
    <w:next w:val="Normal"/>
    <w:qFormat/>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1F3864"/>
      <w:sz w:val="25"/>
      <w:szCs w:val="25"/>
    </w:rPr>
  </w:style>
  <w:style w:type="paragraph" w:styleId="Heading3">
    <w:name w:val="Heading 3"/>
    <w:basedOn w:val="Normal"/>
    <w:next w:val="Normal"/>
    <w:qFormat/>
    <w:rPr>
      <w:rFonts w:ascii="Calibri" w:cs="Calibri" w:eastAsia="Calibri" w:hAnsi="Calibri"/>
      <w:b/>
      <w:bCs/>
      <w:color w:val="44546A"/>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2026-09-03T06:20:44.614Z</dcterms:created>
  <dcterms:modified xsi:type="dcterms:W3CDTF">2026-09-03T06:20:44.624Z</dcterms:modified>
</cp:coreProperties>
</file>

<file path=docProps/custom.xml><?xml version="1.0" encoding="utf-8"?>
<Properties xmlns="http://schemas.openxmlformats.org/officeDocument/2006/custom-properties" xmlns:vt="http://schemas.openxmlformats.org/officeDocument/2006/docPropsVTypes"/>
</file>