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Bank kazusów wieloaspektowych — arkusz odpowiedzi</w:t>
      </w:r>
    </w:p>
    <w:p>
      <w:pPr>
        <w:pStyle w:val="Subtitle"/>
      </w:pPr>
      <w:r>
        <w:t>Partia 13: PL-05</w:t>
      </w:r>
    </w:p>
    <w:p>
      <w:pPr>
        <w:pStyle w:val="Heading1"/>
      </w:pPr>
      <w:r>
        <w:t>Metryka arkusza</w:t>
      </w:r>
    </w:p>
    <w:tbl>
      <w:tblPr>
        <w:tblW w:type="auto" w:w="0"/>
        <w:tblLook w:firstColumn="1" w:firstRow="1" w:lastColumn="0" w:lastRow="0" w:noHBand="0" w:noVBand="1" w:val="04A0"/>
      </w:tblPr>
      <w:tblGrid>
        <w:gridCol w:w="4680"/>
        <w:gridCol w:w="4680"/>
      </w:tblGrid>
      <w:tr>
        <w:tc>
          <w:tcPr>
            <w:tcW w:type="dxa" w:w="4680"/>
          </w:tcPr>
          <w:p>
            <w:r>
              <w:t>Pozycja</w:t>
            </w:r>
          </w:p>
        </w:tc>
        <w:tc>
          <w:tcPr>
            <w:tcW w:type="dxa" w:w="4680"/>
          </w:tcPr>
          <w:p>
            <w:r>
              <w:t>Treść</w:t>
            </w:r>
          </w:p>
        </w:tc>
      </w:tr>
      <w:tr>
        <w:tc>
          <w:tcPr>
            <w:tcW w:type="dxa" w:w="4680"/>
          </w:tcPr>
          <w:p>
            <w:r>
              <w:t>Zakres partii</w:t>
            </w:r>
          </w:p>
        </w:tc>
        <w:tc>
          <w:tcPr>
            <w:tcW w:type="dxa" w:w="4680"/>
          </w:tcPr>
          <w:p>
            <w:r>
              <w:t>PL-05</w:t>
            </w:r>
          </w:p>
        </w:tc>
      </w:tr>
      <w:tr>
        <w:tc>
          <w:tcPr>
            <w:tcW w:type="dxa" w:w="4680"/>
          </w:tcPr>
          <w:p>
            <w:r>
              <w:t>Model</w:t>
            </w:r>
          </w:p>
        </w:tc>
        <w:tc>
          <w:tcPr>
            <w:tcW w:type="dxa" w:w="4680"/>
          </w:tcPr>
          <w:p>
            <w:r>
              <w:t>Claude Opus 5 (Anthropic)</w:t>
            </w:r>
          </w:p>
        </w:tc>
      </w:tr>
      <w:tr>
        <w:tc>
          <w:tcPr>
            <w:tcW w:type="dxa" w:w="4680"/>
          </w:tcPr>
          <w:p>
            <w:r>
              <w:t>Tryb</w:t>
            </w:r>
          </w:p>
        </w:tc>
        <w:tc>
          <w:tcPr>
            <w:tcW w:type="dxa" w:w="4680"/>
          </w:tcPr>
          <w:p>
            <w:r>
              <w:t>Ze skillami — router prawny v3.41, ścieżka UP-1/UP-2/UP-4/UP-6, PRIMARY analizator-przepisow-v2 (kategoria [11]), SECONDARY DR-07 zamówienia publiczne i DR-11 cyfrowe/cyber/dane. Bramki CN-GATE, OŚ-GATE, WYJ-GATE, REM-GATE wykonane w tej turze.</w:t>
            </w:r>
          </w:p>
        </w:tc>
      </w:tr>
      <w:tr>
        <w:tc>
          <w:tcPr>
            <w:tcW w:type="dxa" w:w="4680"/>
          </w:tcPr>
          <w:p>
            <w:r>
              <w:t>Weryfikacja źródeł</w:t>
            </w:r>
          </w:p>
        </w:tc>
        <w:tc>
          <w:tcPr>
            <w:tcW w:type="dxa" w:w="4680"/>
          </w:tcPr>
          <w:p>
            <w:r>
              <w:t>API ELI Sejmu (curl 200, pełne PDF, RZĄD 1) dla aktów polskich; EUR-Lex kanałem web_fetch po nieudanym curl (REM-0, próba dwukanałowa). Numery pozycji tekstów jednolitych ustalone z rejestru, nie z pamięci modelu.</w:t>
            </w:r>
          </w:p>
        </w:tc>
      </w:tr>
      <w:tr>
        <w:tc>
          <w:tcPr>
            <w:tcW w:type="dxa" w:w="4680"/>
          </w:tcPr>
          <w:p>
            <w:r>
              <w:t>Data sporządzenia</w:t>
            </w:r>
          </w:p>
        </w:tc>
        <w:tc>
          <w:tcPr>
            <w:tcW w:type="dxa" w:w="4680"/>
          </w:tcPr>
          <w:p>
            <w:r>
              <w:t>7 września 2026 r.</w:t>
            </w:r>
          </w:p>
        </w:tc>
      </w:tr>
      <w:tr>
        <w:tc>
          <w:tcPr>
            <w:tcW w:type="dxa" w:w="4680"/>
          </w:tcPr>
          <w:p>
            <w:r>
              <w:t>Uwaga</w:t>
            </w:r>
          </w:p>
        </w:tc>
        <w:tc>
          <w:tcPr>
            <w:tcW w:type="dxa" w:w="4680"/>
          </w:tcPr>
          <w:p>
            <w:r>
              <w:t>Pozostaje PL-06–PL-07</w:t>
            </w:r>
          </w:p>
        </w:tc>
      </w:tr>
    </w:tbl>
    <w:p>
      <w:pPr>
        <w:pStyle w:val="Heading1"/>
      </w:pPr>
      <w:r>
        <w:t>PL-05 Chmura dla metropolii</w:t>
      </w:r>
    </w:p>
    <w:p>
      <w:pPr>
        <w:pStyle w:val="Heading2"/>
      </w:pPr>
      <w:r>
        <w:t>Teza wstępna</w:t>
      </w:r>
    </w:p>
    <w:p>
      <w:pPr>
        <w:pStyle w:val="FirstParagraph"/>
      </w:pPr>
      <w:r>
        <w:t>Kazus wygląda na spór o dyskryminacyjne kryterium i o dopuszczalność zmiany zakresu, a rozstrzyga się na pięciu ustaleniach tekstowych, z których każde przenosi zarzut na inną podstawę niż ta, po którą sięga się odruchowo.</w:t>
      </w:r>
    </w:p>
    <w:p>
      <w:pPr>
        <w:pStyle w:val="BodyText"/>
      </w:pPr>
      <w:r>
        <w:t>Pierwsze. Odruchowym zarzutem wobec kryterium „suwerenności technologicznej” jest brak związku z przedmiotem zamówienia, czyli art. 241 ust. 1 PZP. Ten zarzut przegrywa. Art. 241 ust. 2 uznaje związek za istniejący, gdy kryterium dotyczy usługi „w dowolnych aspektach oraz w odniesieniu do dowolnych etapów ich cyklu życia, w tym do elementów składających się na proces produkcji, dostarczania lub wprowadzania na rynek, nawet jeżeli elementy te nie są istotną cechą przedmiotu zamówienia”. Miejsce przetwarzania danych jest takim aspektem świadczenia usługi. Nie działa też art. 241 ust. 3, bo lokalizacja centrum danych nie jest właściwością wykonawcy w rozumieniu wiarygodności ekonomicznej, technicznej lub finansowej. Wada leży gdzie indziej: kazus podaje, że kryterium „nie wyjaśnia oceny”, a to wprost art. 240 ust. 2 PZP — kryteria i ich opis nie mogą pozostawiać zamawiającemu nieograniczonej swobody wyboru i muszą umożliwiać weryfikację oraz porównanie poziomu oferowanego wykonania na podstawie informacji przedstawionych w ofertach.</w:t>
      </w:r>
    </w:p>
    <w:p>
      <w:pPr>
        <w:pStyle w:val="BodyText"/>
      </w:pPr>
      <w:r>
        <w:t>Drugie. Sięgnięcie po rozporządzenie 2018/1807 jako po gotowy zakaz preferowania krajowych centrów danych wymaga sprawdzenia zakresu przedmiotowego, a ten jest węższy niż sugeruje tytuł aktu. Art. 4 ust. 1 zakazuje nakładania „wymogów dotyczących lokalizacji danych”, ale art. 3 pkt 5 definiuje ten wymóg jako określony „w przepisach ustawowych, wykonawczych lub administracyjnych państwa członkowskiego lub wynikający z powszechnych i spójnych praktyk administracyjnych w państwie członkowskim i w podmiotach prawa publicznego, w tym w dziedzinie zamówień publicznych”. Jednorazowe kryterium w jednej SWZ nie jest ani przepisem, ani praktyką powszechną i spójną. Przepis wraca do gry dopiero wtedy, gdy wykaże się, że zamawiający stosuje to kryterium seryjnie — i wtedy jest bronią mocniejszą niż cała argumentacja krajowa, bo działa bezpośrednio i przenosi ciężar na wykazanie względów bezpieczeństwa publicznego oraz proporcjonalności.</w:t>
      </w:r>
    </w:p>
    <w:p>
      <w:pPr>
        <w:pStyle w:val="BodyText"/>
      </w:pPr>
      <w:r>
        <w:t>Trzecie. Referencje innej spółki z grupy nie są problemem „powiązań kapitałowych”, tylko problemem jednego zdania art. 118 ust. 2 PZP. W odniesieniu do warunków dotyczących wykształcenia, kwalifikacji zawodowych lub doświadczenia wykonawca może polegać na zdolnościach podmiotu udostępniającego zasoby, „jeśli podmioty te wykonają roboty budowlane lub usługi, do realizacji których te zdolności są wymagane”. Przepis nie mówi „udostępni”, tylko „wykona”. Przynależność do tej samej grupy kapitałowej jest tu bez znaczenia w obie strony: nie sanuje braku wykonania i nie dyskwalifikuje, gdy wykonanie zadeklarowano. Konsekwencja proceduralna też jest inna niż odruchowa: art. 122 PZP nakazuje najpierw wezwać do zastąpienia podmiotu albo do samodzielnego wykazania warunku, a dopiero bezskuteczność tego wezwania otwiera odrzucenie.</w:t>
      </w:r>
    </w:p>
    <w:p>
      <w:pPr>
        <w:pStyle w:val="BodyText"/>
      </w:pPr>
      <w:r>
        <w:t>Czwarte, ustalenie porządkujące, które przewraca całe zagadnienie czwarte. Zamawiający chce dodać lokalne zarządzanie kluczami i prawo natychmiastowego audytu po wyborze oferty, a konsorcjum odpowiada zarzutem istotnej zmiany zakresu i ceny. Obie strony mówią językiem art. 454–455 PZP, a te przepisy w tym momencie nie obowiązują między nimi. Art. 454 ust. 1 mówi o „istotnej zmianie zawartej umowy”, art. 455 ust. 1 o zmianie umowy — umowy jeszcze nie ma, bo trwa termin z art. 264 ust. 1 PZP, a po wniesieniu odwołania działa zakaz z art. 577 PZP. Zakres przedmiotowy reżimu zmiany umowy tego stanu nie obejmuje. Realne drogi są dwie i obie mają inne przesłanki: pozostawienie SWZ i wymuszenie treści na etapie wykonania albo unieważnienie postępowania z art. 255 pkt 6 PZP. Art. 256 PZP nie jest dostępny, bo dopuszcza unieważnienie wyłącznie przed upływem terminu składania ofert.</w:t>
      </w:r>
    </w:p>
    <w:p>
      <w:pPr>
        <w:pStyle w:val="BodyText"/>
      </w:pPr>
      <w:r>
        <w:t>Ustalenie piąte, które łączy trzecie z czwartym. Prawo audytu u dostawcy chmury nie jest nowym świadczeniem, które trzeba dokupić. Art. 28 ust. 3 lit. h RODO nakazuje, by podmiot przetwarzający udostępniał administratorowi wszelkie informacje niezbędne do wykazania spełnienia obowiązków z tego artykułu oraz umożliwiał administratorowi lub upoważnionemu przez niego audytorowi przeprowadzanie audytów, w tym inspekcji, i przyczyniał się do nich. Jeżeli platforma przetwarza dane osobowe mieszkańców — a przetwarza, skoro obsługuje świadczenia i zgłoszenia — obowiązek istnieje z mocy prawa niezależnie od SWZ. Wycena tego uprawnienia jako rozszerzenia zakresu jest żądaniem zapłaty za wykonanie obowiązku ustawowego. Inaczej jest z lokalnym zarządzaniem kluczami: to realna zmiana architektury, którą trzeba albo wyprowadzić z art. 32 ust. 1 RODO i art. 8 ust. 1 pkt 2 lit. k ustawy o krajowym systemie cyberbezpieczeństwa jako środek adekwatny do oszacowanego ryzyka, albo uznać za zmianę wymagań i wyciągnąć wniosek z art. 255 pkt 6 PZP.</w:t>
      </w:r>
    </w:p>
    <w:p>
      <w:pPr>
        <w:pStyle w:val="Heading2"/>
      </w:pPr>
      <w:r>
        <w:t>Mapa jurysdykcji, źródeł i kompetencji</w:t>
      </w:r>
    </w:p>
    <w:p>
      <w:pPr>
        <w:pStyle w:val="FirstParagraph"/>
      </w:pPr>
      <w:r>
        <w:t>Fora i ich zakres. Krajowa Izba Odwoławcza — odwołanie z art. 513 PZP na czynność i zaniechanie zamawiającego, z terminami z art. 515 i legitymacją z art. 505 ust. 1; Izba orzeka na podstawie stanu rzeczy ustalonego w toku postępowania odwoławczego (art. 552 ust. 1) i może nakazać wykonanie, powtórzenie albo unieważnienie czynności, jeżeli umowa nie została zawarta (art. 554 ust. 3 pkt 1). Sąd zamówień publicznych — skarga na orzeczenie Izby z art. 579 ust. 1. Prezes UODO — postępowanie o naruszenie RODO, niezależne od wyniku postępowania o zamówienie. Minister właściwy do spraw informatyzacji — postępowanie w sprawie uznania dostawcy za dostawcę wysokiego ryzyka (art. 67b ustawy o KSC), z natychmiastową wykonalnością decyzji (ust. 18) i skargą do sądu administracyjnego rozpoznawaną na posiedzeniu niejawnym (art. 67e ust. 1). Właściwy CSIRT sektorowy — przyjęcie wczesnego ostrzeżenia i zgłoszenia incydentu poważnego. Sąd cywilny — roszczenia odszkodowawcze wykonawcy, poza reżimem środków ochrony prawnej.</w:t>
      </w:r>
    </w:p>
    <w:p>
      <w:pPr>
        <w:pStyle w:val="BodyText"/>
      </w:pPr>
      <w:r>
        <w:t>Pięć warstw, których nie wolno łączyć. Legalność kryteriów i warunków udziału; ocena konkretnej oferty i jej odrzucenie; jawność postępowania i granice tajemnicy przedsiębiorstwa; obowiązki cyberbezpieczeństwa zamawiającego jako podmiotu krajowego systemu cyberbezpieczeństwa; ochrona danych osobowych i przenoszalność danych w relacji z dostawcą. Nielegalność kryterium nie przesądza o odrzuceniu oferty, która to kryterium spełniła. Incydent u dostawcy chmury nie jest wadą oferty. Naruszenie RODO przez dostawcę nie jest podstawą wykluczenia z art. 109 ust. 1, dopóki nie odpowiada jednej z opisanych tam sytuacji.</w:t>
      </w:r>
    </w:p>
    <w:p>
      <w:pPr>
        <w:pStyle w:val="BodyText"/>
      </w:pPr>
      <w:r>
        <w:t>Reżimy i ich wzajemna relacja. PZP reguluje przygotowanie i przebieg postępowania oraz środki ochrony prawnej; ustawa o KSC — obowiązki zamawiającego jako podmiotu kluczowego lub ważnego oraz mechanizm dostawcy wysokiego ryzyka, który od 3 kwietnia 2026 r. wchodzi do PZP przez art. 226 ust. 1 pkt 17 i 19; RODO — powierzenie, bezpieczeństwo przetwarzania i przekazywanie do państw trzecich; rozporządzenie 2018/1807 — zakaz wymogów lokalizacji danych nieosobowych; rozporządzenie 2023/2854 — zmiana dostawcy usługi przetwarzania danych i przenoszalność; ustawa o zwalczaniu nieuczciwej konkurencji — definicja tajemnicy przedsiębiorstwa, do której odsyła art. 18 ust. 3 PZP.</w:t>
      </w:r>
    </w:p>
    <w:p>
      <w:pPr>
        <w:pStyle w:val="Heading2"/>
      </w:pPr>
      <w:r>
        <w:t>Bramki weryfikacyjne (OŚ-GATE, WYJ-GATE, CN-GATE)</w:t>
      </w:r>
    </w:p>
    <w:p>
      <w:pPr>
        <w:pStyle w:val="FirstParagraph"/>
      </w:pPr>
      <w:r>
        <w:t>Kontrola czasowa (OŚ-GATE). ⬛ Kazus nie podaje ani jednej daty — wszczęcia postępowania, publikacji ogłoszenia, otwarcia ofert, zawiadomienia o wyborze, incydentu u dostawcy chmury ani wniesienia odwołania. Blok wykonuję w formie skróconej z zerem trafień liczbowych, przy czym odnotowuję jedną cezurę zewnętrzną o skutku rozstrzygającym: nowelizacja ustawy o KSC wdrażająca dyrektywę 2022/2555 (Dz.U. 2026 poz. 252) weszła w życie 3 kwietnia 2026 r. i to ona dodała art. 226 ust. 1 pkt 19 PZP oraz nowe brzmienie pkt 17. Jeżeli postępowanie wszczęto przed tą datą, obu podstaw odrzucenia po prostu nie było. Druga cezura zewnętrzna: rozporządzenie 2023/2854 stosuje się od 12 września 2025 r. Trzecia: tekst jednolity ustawy o KSC (Dz.U. 2026 poz. 20) uwzględnia zmiany ogłoszone przed 23 grudnia 2025 r., więc nie zawiera noweli NIS 2 — kto czyta wyłącznie tekst jednolity, czyta stan nieaktualny.</w:t>
      </w:r>
    </w:p>
    <w:p>
      <w:pPr>
        <w:pStyle w:val="BodyText"/>
      </w:pPr>
      <w:r>
        <w:t>WYJ-GATE — cztery zamiatania dla powołanych aktów. S1 sąsiedztwo: art. 240 i art. 241 PZP czytane razem, bo pierwszy odpowiada za sposób opisu, drugi za związek z przedmiotem; art. 118 z art. 119, art. 120, art. 121 i art. 122 PZP, bo dopiero art. 122 podaje skutek nieprzydatności zasobu; art. 16 PZP z art. 16a i art. 16b PZP ⚑ art. 16b pozwala zamawiającemu określić dostęp wykonawców z państw trzecich, a art. 226 ust. 1 pkt 5a nakazuje odrzucenie oferty wykonawcy z państwa trzeciego niebędącego stroną umowy międzynarodowej — przepis dotyczący pochodzenia wykonawcy, nie lokalizacji serwerów, i tych dwóch rzeczy nie wolno mylić przy kryterium „suwerenności”. S2 krawędzie jednostki: art. 255 i art. 256 PZP stoją obok siebie, a różnią się momentem — art. 256 działa tylko przed upływem terminu składania ofert; art. 577 i art. 578 PZP — zakaz zawarcia umowy i jedyna droga jego uchylenia. S3 akty powiązane: ustawa o KSC w brzmieniu po Dz.U. 2026 poz. 252, ustawa o certyfikacji wykonawców zamówień publicznych (Dz.U. 2025 poz. 1235 ze zm.), do której odsyła nowy art. 112 ust. 3 PZP w zakresie poziomów zdolności technicznej lub zawodowej, ustawa o zwalczaniu nieuczciwej konkurencji, rozporządzenia 2016/679, 2018/1807 i 2023/2854, rozporządzenie wykonawcze 2024/2690 stosowane przez dostawców chmury z mocy art. 8b ust. 1 ustawy o KSC. S4 przepisy przejściowe: art. 67c ust. 4 i 5 ustawy o KSC — zakaz nabywania w trybie PZP produktów, usług i procesów objętych decyzją o dostawcy wysokiego ryzyka oraz siedmioletni i czteroletni okres dalszego korzystania z tego, co nabyto przed ogłoszeniem decyzji.</w:t>
      </w:r>
    </w:p>
    <w:p>
      <w:pPr>
        <w:pStyle w:val="BodyText"/>
      </w:pPr>
      <w:r>
        <w:t>CN-GATE — norma centralna per oś sporu.</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Oś sporu</w:t>
            </w:r>
          </w:p>
        </w:tc>
        <w:tc>
          <w:tcPr>
            <w:tcW w:type="dxa" w:w="1872"/>
          </w:tcPr>
          <w:p>
            <w:r>
              <w:t>Norma centralna</w:t>
            </w:r>
          </w:p>
        </w:tc>
        <w:tc>
          <w:tcPr>
            <w:tcW w:type="dxa" w:w="1872"/>
          </w:tcPr>
          <w:p>
            <w:r>
              <w:t>Czas</w:t>
            </w:r>
          </w:p>
        </w:tc>
        <w:tc>
          <w:tcPr>
            <w:tcW w:type="dxa" w:w="1872"/>
          </w:tcPr>
          <w:p>
            <w:r>
              <w:t>Podmiot</w:t>
            </w:r>
          </w:p>
        </w:tc>
        <w:tc>
          <w:tcPr>
            <w:tcW w:type="dxa" w:w="1872"/>
          </w:tcPr>
          <w:p>
            <w:r>
              <w:t>Przedmiot</w:t>
            </w:r>
          </w:p>
        </w:tc>
      </w:tr>
      <w:tr>
        <w:tc>
          <w:tcPr>
            <w:tcW w:type="dxa" w:w="1872"/>
          </w:tcPr>
          <w:p>
            <w:r>
              <w:t>Kryterium premiujące centra danych w Polsce jako pozbawione związku z przedmiotem</w:t>
            </w:r>
          </w:p>
        </w:tc>
        <w:tc>
          <w:tcPr>
            <w:tcW w:type="dxa" w:w="1872"/>
          </w:tcPr>
          <w:p>
            <w:r>
              <w:t>art. 241 ust. 1 PZP</w:t>
            </w:r>
          </w:p>
        </w:tc>
        <w:tc>
          <w:tcPr>
            <w:tcW w:type="dxa" w:w="1872"/>
          </w:tcPr>
          <w:p>
            <w:r>
              <w:t>TAK</w:t>
            </w:r>
          </w:p>
        </w:tc>
        <w:tc>
          <w:tcPr>
            <w:tcW w:type="dxa" w:w="1872"/>
          </w:tcPr>
          <w:p>
            <w:r>
              <w:t>TAK</w:t>
            </w:r>
          </w:p>
        </w:tc>
        <w:tc>
          <w:tcPr>
            <w:tcW w:type="dxa" w:w="1872"/>
          </w:tcPr>
          <w:p>
            <w:r>
              <w:t>NIE — związek istnieje na podstawie ust. 2, bo miejsce przetwarzania jest aspektem świadczenia usługi</w:t>
            </w:r>
          </w:p>
        </w:tc>
      </w:tr>
      <w:tr>
        <w:tc>
          <w:tcPr>
            <w:tcW w:type="dxa" w:w="1872"/>
          </w:tcPr>
          <w:p>
            <w:r>
              <w:t>To samo kryterium jako dotyczące właściwości wykonawcy</w:t>
            </w:r>
          </w:p>
        </w:tc>
        <w:tc>
          <w:tcPr>
            <w:tcW w:type="dxa" w:w="1872"/>
          </w:tcPr>
          <w:p>
            <w:r>
              <w:t>art. 241 ust. 3 PZP</w:t>
            </w:r>
          </w:p>
        </w:tc>
        <w:tc>
          <w:tcPr>
            <w:tcW w:type="dxa" w:w="1872"/>
          </w:tcPr>
          <w:p>
            <w:r>
              <w:t>TAK</w:t>
            </w:r>
          </w:p>
        </w:tc>
        <w:tc>
          <w:tcPr>
            <w:tcW w:type="dxa" w:w="1872"/>
          </w:tcPr>
          <w:p>
            <w:r>
              <w:t>TAK</w:t>
            </w:r>
          </w:p>
        </w:tc>
        <w:tc>
          <w:tcPr>
            <w:tcW w:type="dxa" w:w="1872"/>
          </w:tcPr>
          <w:p>
            <w:r>
              <w:t>NIE — lokalizacja infrastruktury nie jest wiarygodnością ekonomiczną, techniczną ani finansową wykonawcy</w:t>
            </w:r>
          </w:p>
        </w:tc>
      </w:tr>
      <w:tr>
        <w:tc>
          <w:tcPr>
            <w:tcW w:type="dxa" w:w="1872"/>
          </w:tcPr>
          <w:p>
            <w:r>
              <w:t>Kryterium bez wyjaśnionego sposobu oceny</w:t>
            </w:r>
          </w:p>
        </w:tc>
        <w:tc>
          <w:tcPr>
            <w:tcW w:type="dxa" w:w="1872"/>
          </w:tcPr>
          <w:p>
            <w:r>
              <w:t>art. 240 ust. 2 PZP</w:t>
            </w:r>
          </w:p>
        </w:tc>
        <w:tc>
          <w:tcPr>
            <w:tcW w:type="dxa" w:w="1872"/>
          </w:tcPr>
          <w:p>
            <w:r>
              <w:t>TAK</w:t>
            </w:r>
          </w:p>
        </w:tc>
        <w:tc>
          <w:tcPr>
            <w:tcW w:type="dxa" w:w="1872"/>
          </w:tcPr>
          <w:p>
            <w:r>
              <w:t>TAK</w:t>
            </w:r>
          </w:p>
        </w:tc>
        <w:tc>
          <w:tcPr>
            <w:tcW w:type="dxa" w:w="1872"/>
          </w:tcPr>
          <w:p>
            <w:r>
              <w:t>TAK — kazus wprost podaje, że kryterium nie wyjaśnia oceny</w:t>
            </w:r>
          </w:p>
        </w:tc>
      </w:tr>
      <w:tr>
        <w:tc>
          <w:tcPr>
            <w:tcW w:type="dxa" w:w="1872"/>
          </w:tcPr>
          <w:p>
            <w:r>
              <w:t>Preferencja krajowa jako wymóg lokalizacji danych nieosobowych</w:t>
            </w:r>
          </w:p>
        </w:tc>
        <w:tc>
          <w:tcPr>
            <w:tcW w:type="dxa" w:w="1872"/>
          </w:tcPr>
          <w:p>
            <w:r>
              <w:t>art. 4 ust. 1 rozporządzenia 2018/1807</w:t>
            </w:r>
          </w:p>
        </w:tc>
        <w:tc>
          <w:tcPr>
            <w:tcW w:type="dxa" w:w="1872"/>
          </w:tcPr>
          <w:p>
            <w:r>
              <w:t>TAK</w:t>
            </w:r>
          </w:p>
        </w:tc>
        <w:tc>
          <w:tcPr>
            <w:tcW w:type="dxa" w:w="1872"/>
          </w:tcPr>
          <w:p>
            <w:r>
              <w:t>TAK</w:t>
            </w:r>
          </w:p>
        </w:tc>
        <w:tc>
          <w:tcPr>
            <w:tcW w:type="dxa" w:w="1872"/>
          </w:tcPr>
          <w:p>
            <w:r>
              <w:t>⬛ zależy od wykazania powszechnej i spójnej praktyki administracyjnej w rozumieniu art. 3 pkt 5</w:t>
            </w:r>
          </w:p>
        </w:tc>
      </w:tr>
      <w:tr>
        <w:tc>
          <w:tcPr>
            <w:tcW w:type="dxa" w:w="1872"/>
          </w:tcPr>
          <w:p>
            <w:r>
              <w:t>Opis przedmiotu zamówienia utrudniający uczciwą konkurencję</w:t>
            </w:r>
          </w:p>
        </w:tc>
        <w:tc>
          <w:tcPr>
            <w:tcW w:type="dxa" w:w="1872"/>
          </w:tcPr>
          <w:p>
            <w:r>
              <w:t>art. 99 ust. 4 PZP</w:t>
            </w:r>
          </w:p>
        </w:tc>
        <w:tc>
          <w:tcPr>
            <w:tcW w:type="dxa" w:w="1872"/>
          </w:tcPr>
          <w:p>
            <w:r>
              <w:t>TAK</w:t>
            </w:r>
          </w:p>
        </w:tc>
        <w:tc>
          <w:tcPr>
            <w:tcW w:type="dxa" w:w="1872"/>
          </w:tcPr>
          <w:p>
            <w:r>
              <w:t>TAK</w:t>
            </w:r>
          </w:p>
        </w:tc>
        <w:tc>
          <w:tcPr>
            <w:tcW w:type="dxa" w:w="1872"/>
          </w:tcPr>
          <w:p>
            <w:r>
              <w:t>TAK</w:t>
            </w:r>
          </w:p>
        </w:tc>
      </w:tr>
      <w:tr>
        <w:tc>
          <w:tcPr>
            <w:tcW w:type="dxa" w:w="1872"/>
          </w:tcPr>
          <w:p>
            <w:r>
              <w:t>Zasady przygotowania i prowadzenia postępowania</w:t>
            </w:r>
          </w:p>
        </w:tc>
        <w:tc>
          <w:tcPr>
            <w:tcW w:type="dxa" w:w="1872"/>
          </w:tcPr>
          <w:p>
            <w:r>
              <w:t>art. 16 pkt 1 i 3 PZP</w:t>
            </w:r>
          </w:p>
        </w:tc>
        <w:tc>
          <w:tcPr>
            <w:tcW w:type="dxa" w:w="1872"/>
          </w:tcPr>
          <w:p>
            <w:r>
              <w:t>TAK</w:t>
            </w:r>
          </w:p>
        </w:tc>
        <w:tc>
          <w:tcPr>
            <w:tcW w:type="dxa" w:w="1872"/>
          </w:tcPr>
          <w:p>
            <w:r>
              <w:t>TAK</w:t>
            </w:r>
          </w:p>
        </w:tc>
        <w:tc>
          <w:tcPr>
            <w:tcW w:type="dxa" w:w="1872"/>
          </w:tcPr>
          <w:p>
            <w:r>
              <w:t>TAK</w:t>
            </w:r>
          </w:p>
        </w:tc>
      </w:tr>
      <w:tr>
        <w:tc>
          <w:tcPr>
            <w:tcW w:type="dxa" w:w="1872"/>
          </w:tcPr>
          <w:p>
            <w:r>
              <w:t>Odrzucenie oferty z uwagi na pochodzenie wykonawcy</w:t>
            </w:r>
          </w:p>
        </w:tc>
        <w:tc>
          <w:tcPr>
            <w:tcW w:type="dxa" w:w="1872"/>
          </w:tcPr>
          <w:p>
            <w:r>
              <w:t>art. 226 ust. 1 pkt 5a PZP</w:t>
            </w:r>
          </w:p>
        </w:tc>
        <w:tc>
          <w:tcPr>
            <w:tcW w:type="dxa" w:w="1872"/>
          </w:tcPr>
          <w:p>
            <w:r>
              <w:t>TAK</w:t>
            </w:r>
          </w:p>
        </w:tc>
        <w:tc>
          <w:tcPr>
            <w:tcW w:type="dxa" w:w="1872"/>
          </w:tcPr>
          <w:p>
            <w:r>
              <w:t>⬛ kazus nie podaje pochodzenia członków konsorcjum</w:t>
            </w:r>
          </w:p>
        </w:tc>
        <w:tc>
          <w:tcPr>
            <w:tcW w:type="dxa" w:w="1872"/>
          </w:tcPr>
          <w:p>
            <w:r>
              <w:t>NIE — przepis dotyczy pochodzenia wykonawcy, nie lokalizacji centrum danych</w:t>
            </w:r>
          </w:p>
        </w:tc>
      </w:tr>
      <w:tr>
        <w:tc>
          <w:tcPr>
            <w:tcW w:type="dxa" w:w="1872"/>
          </w:tcPr>
          <w:p>
            <w:r>
              <w:t>Referencje innej spółki z grupy</w:t>
            </w:r>
          </w:p>
        </w:tc>
        <w:tc>
          <w:tcPr>
            <w:tcW w:type="dxa" w:w="1872"/>
          </w:tcPr>
          <w:p>
            <w:r>
              <w:t>art. 118 ust. 2 PZP</w:t>
            </w:r>
          </w:p>
        </w:tc>
        <w:tc>
          <w:tcPr>
            <w:tcW w:type="dxa" w:w="1872"/>
          </w:tcPr>
          <w:p>
            <w:r>
              <w:t>TAK</w:t>
            </w:r>
          </w:p>
        </w:tc>
        <w:tc>
          <w:tcPr>
            <w:tcW w:type="dxa" w:w="1872"/>
          </w:tcPr>
          <w:p>
            <w:r>
              <w:t>TAK</w:t>
            </w:r>
          </w:p>
        </w:tc>
        <w:tc>
          <w:tcPr>
            <w:tcW w:type="dxa" w:w="1872"/>
          </w:tcPr>
          <w:p>
            <w:r>
              <w:t>TAK — dopuszczalne tylko gdy podmiot udostępniający wykona usługi, których zdolność dotyczy</w:t>
            </w:r>
          </w:p>
        </w:tc>
      </w:tr>
      <w:tr>
        <w:tc>
          <w:tcPr>
            <w:tcW w:type="dxa" w:w="1872"/>
          </w:tcPr>
          <w:p>
            <w:r>
              <w:t>Treść zobowiązania podmiotu udostępniającego zasoby</w:t>
            </w:r>
          </w:p>
        </w:tc>
        <w:tc>
          <w:tcPr>
            <w:tcW w:type="dxa" w:w="1872"/>
          </w:tcPr>
          <w:p>
            <w:r>
              <w:t>art. 118 ust. 4 pkt 3 PZP</w:t>
            </w:r>
          </w:p>
        </w:tc>
        <w:tc>
          <w:tcPr>
            <w:tcW w:type="dxa" w:w="1872"/>
          </w:tcPr>
          <w:p>
            <w:r>
              <w:t>TAK</w:t>
            </w:r>
          </w:p>
        </w:tc>
        <w:tc>
          <w:tcPr>
            <w:tcW w:type="dxa" w:w="1872"/>
          </w:tcPr>
          <w:p>
            <w:r>
              <w:t>TAK</w:t>
            </w:r>
          </w:p>
        </w:tc>
        <w:tc>
          <w:tcPr>
            <w:tcW w:type="dxa" w:w="1872"/>
          </w:tcPr>
          <w:p>
            <w:r>
              <w:t>TAK</w:t>
            </w:r>
          </w:p>
        </w:tc>
      </w:tr>
      <w:tr>
        <w:tc>
          <w:tcPr>
            <w:tcW w:type="dxa" w:w="1872"/>
          </w:tcPr>
          <w:p>
            <w:r>
              <w:t>Skutek nieprzydatności udostępnionego zasobu</w:t>
            </w:r>
          </w:p>
        </w:tc>
        <w:tc>
          <w:tcPr>
            <w:tcW w:type="dxa" w:w="1872"/>
          </w:tcPr>
          <w:p>
            <w:r>
              <w:t>art. 122 PZP</w:t>
            </w:r>
          </w:p>
        </w:tc>
        <w:tc>
          <w:tcPr>
            <w:tcW w:type="dxa" w:w="1872"/>
          </w:tcPr>
          <w:p>
            <w:r>
              <w:t>TAK</w:t>
            </w:r>
          </w:p>
        </w:tc>
        <w:tc>
          <w:tcPr>
            <w:tcW w:type="dxa" w:w="1872"/>
          </w:tcPr>
          <w:p>
            <w:r>
              <w:t>TAK</w:t>
            </w:r>
          </w:p>
        </w:tc>
        <w:tc>
          <w:tcPr>
            <w:tcW w:type="dxa" w:w="1872"/>
          </w:tcPr>
          <w:p>
            <w:r>
              <w:t>TAK — wezwanie do zastąpienia poprzedza odrzucenie</w:t>
            </w:r>
          </w:p>
        </w:tc>
      </w:tr>
      <w:tr>
        <w:tc>
          <w:tcPr>
            <w:tcW w:type="dxa" w:w="1872"/>
          </w:tcPr>
          <w:p>
            <w:r>
              <w:t>Odrzucenie oferty za samo poleganie na zasobach grupy</w:t>
            </w:r>
          </w:p>
        </w:tc>
        <w:tc>
          <w:tcPr>
            <w:tcW w:type="dxa" w:w="1872"/>
          </w:tcPr>
          <w:p>
            <w:r>
              <w:t>art. 226 ust. 1 pkt 2 lit. b PZP</w:t>
            </w:r>
          </w:p>
        </w:tc>
        <w:tc>
          <w:tcPr>
            <w:tcW w:type="dxa" w:w="1872"/>
          </w:tcPr>
          <w:p>
            <w:r>
              <w:t>TAK</w:t>
            </w:r>
          </w:p>
        </w:tc>
        <w:tc>
          <w:tcPr>
            <w:tcW w:type="dxa" w:w="1872"/>
          </w:tcPr>
          <w:p>
            <w:r>
              <w:t>TAK</w:t>
            </w:r>
          </w:p>
        </w:tc>
        <w:tc>
          <w:tcPr>
            <w:tcW w:type="dxa" w:w="1872"/>
          </w:tcPr>
          <w:p>
            <w:r>
              <w:t>NIE — dopóki nie wyczerpano trybu z art. 122</w:t>
            </w:r>
          </w:p>
        </w:tc>
      </w:tr>
      <w:tr>
        <w:tc>
          <w:tcPr>
            <w:tcW w:type="dxa" w:w="1872"/>
          </w:tcPr>
          <w:p>
            <w:r>
              <w:t>Utajnienie wyjaśnień wobec konkurenta</w:t>
            </w:r>
          </w:p>
        </w:tc>
        <w:tc>
          <w:tcPr>
            <w:tcW w:type="dxa" w:w="1872"/>
          </w:tcPr>
          <w:p>
            <w:r>
              <w:t>art. 18 ust. 3 PZP w zw. z art. 11 ust. 2 uznk</w:t>
            </w:r>
          </w:p>
        </w:tc>
        <w:tc>
          <w:tcPr>
            <w:tcW w:type="dxa" w:w="1872"/>
          </w:tcPr>
          <w:p>
            <w:r>
              <w:t>TAK</w:t>
            </w:r>
          </w:p>
        </w:tc>
        <w:tc>
          <w:tcPr>
            <w:tcW w:type="dxa" w:w="1872"/>
          </w:tcPr>
          <w:p>
            <w:r>
              <w:t>TAK</w:t>
            </w:r>
          </w:p>
        </w:tc>
        <w:tc>
          <w:tcPr>
            <w:tcW w:type="dxa" w:w="1872"/>
          </w:tcPr>
          <w:p>
            <w:r>
              <w:t>TAK — z obowiązkiem wykazania, nie samego zastrzeżenia</w:t>
            </w:r>
          </w:p>
        </w:tc>
      </w:tr>
      <w:tr>
        <w:tc>
          <w:tcPr>
            <w:tcW w:type="dxa" w:w="1872"/>
          </w:tcPr>
          <w:p>
            <w:r>
              <w:t>Utajnienie informacji z otwarcia ofert</w:t>
            </w:r>
          </w:p>
        </w:tc>
        <w:tc>
          <w:tcPr>
            <w:tcW w:type="dxa" w:w="1872"/>
          </w:tcPr>
          <w:p>
            <w:r>
              <w:t>art. 18 ust. 3 zd. 2 PZP</w:t>
            </w:r>
          </w:p>
        </w:tc>
        <w:tc>
          <w:tcPr>
            <w:tcW w:type="dxa" w:w="1872"/>
          </w:tcPr>
          <w:p>
            <w:r>
              <w:t>TAK</w:t>
            </w:r>
          </w:p>
        </w:tc>
        <w:tc>
          <w:tcPr>
            <w:tcW w:type="dxa" w:w="1872"/>
          </w:tcPr>
          <w:p>
            <w:r>
              <w:t>TAK</w:t>
            </w:r>
          </w:p>
        </w:tc>
        <w:tc>
          <w:tcPr>
            <w:tcW w:type="dxa" w:w="1872"/>
          </w:tcPr>
          <w:p>
            <w:r>
              <w:t>NIE — zastrzeżenie informacji z art. 222 ust. 5 jest ustawowo wyłączone</w:t>
            </w:r>
          </w:p>
        </w:tc>
      </w:tr>
      <w:tr>
        <w:tc>
          <w:tcPr>
            <w:tcW w:type="dxa" w:w="1872"/>
          </w:tcPr>
          <w:p>
            <w:r>
              <w:t>Dostęp konkurenta do ofert wraz z załącznikami</w:t>
            </w:r>
          </w:p>
        </w:tc>
        <w:tc>
          <w:tcPr>
            <w:tcW w:type="dxa" w:w="1872"/>
          </w:tcPr>
          <w:p>
            <w:r>
              <w:t>art. 74 ust. 2 pkt 1 PZP</w:t>
            </w:r>
          </w:p>
        </w:tc>
        <w:tc>
          <w:tcPr>
            <w:tcW w:type="dxa" w:w="1872"/>
          </w:tcPr>
          <w:p>
            <w:r>
              <w:t>TAK</w:t>
            </w:r>
          </w:p>
        </w:tc>
        <w:tc>
          <w:tcPr>
            <w:tcW w:type="dxa" w:w="1872"/>
          </w:tcPr>
          <w:p>
            <w:r>
              <w:t>TAK</w:t>
            </w:r>
          </w:p>
        </w:tc>
        <w:tc>
          <w:tcPr>
            <w:tcW w:type="dxa" w:w="1872"/>
          </w:tcPr>
          <w:p>
            <w:r>
              <w:t>TAK</w:t>
            </w:r>
          </w:p>
        </w:tc>
      </w:tr>
      <w:tr>
        <w:tc>
          <w:tcPr>
            <w:tcW w:type="dxa" w:w="1872"/>
          </w:tcPr>
          <w:p>
            <w:r>
              <w:t>Badanie ceny najtańszego konsorcjum</w:t>
            </w:r>
          </w:p>
        </w:tc>
        <w:tc>
          <w:tcPr>
            <w:tcW w:type="dxa" w:w="1872"/>
          </w:tcPr>
          <w:p>
            <w:r>
              <w:t>art. 224 ust. 1 i 5 PZP</w:t>
            </w:r>
          </w:p>
        </w:tc>
        <w:tc>
          <w:tcPr>
            <w:tcW w:type="dxa" w:w="1872"/>
          </w:tcPr>
          <w:p>
            <w:r>
              <w:t>TAK</w:t>
            </w:r>
          </w:p>
        </w:tc>
        <w:tc>
          <w:tcPr>
            <w:tcW w:type="dxa" w:w="1872"/>
          </w:tcPr>
          <w:p>
            <w:r>
              <w:t>TAK</w:t>
            </w:r>
          </w:p>
        </w:tc>
        <w:tc>
          <w:tcPr>
            <w:tcW w:type="dxa" w:w="1872"/>
          </w:tcPr>
          <w:p>
            <w:r>
              <w:t>⬛ obowiązek wezwania zależy od progu 30% z art. 224 ust. 2 pkt 1</w:t>
            </w:r>
          </w:p>
        </w:tc>
      </w:tr>
      <w:tr>
        <w:tc>
          <w:tcPr>
            <w:tcW w:type="dxa" w:w="1872"/>
          </w:tcPr>
          <w:p>
            <w:r>
              <w:t>Dodanie zarządzania kluczami i audytu po wyborze oferty</w:t>
            </w:r>
          </w:p>
        </w:tc>
        <w:tc>
          <w:tcPr>
            <w:tcW w:type="dxa" w:w="1872"/>
          </w:tcPr>
          <w:p>
            <w:r>
              <w:t>art. 455 ust. 1 PZP</w:t>
            </w:r>
          </w:p>
        </w:tc>
        <w:tc>
          <w:tcPr>
            <w:tcW w:type="dxa" w:w="1872"/>
          </w:tcPr>
          <w:p>
            <w:r>
              <w:t>NIE — reżim dotyczy zawartej umowy, a umowa nie została zawarta</w:t>
            </w:r>
          </w:p>
        </w:tc>
        <w:tc>
          <w:tcPr>
            <w:tcW w:type="dxa" w:w="1872"/>
          </w:tcPr>
          <w:p>
            <w:r>
              <w:t>—</w:t>
            </w:r>
          </w:p>
        </w:tc>
        <w:tc>
          <w:tcPr>
            <w:tcW w:type="dxa" w:w="1872"/>
          </w:tcPr>
          <w:p>
            <w:r>
              <w:t>NIE</w:t>
            </w:r>
          </w:p>
        </w:tc>
      </w:tr>
      <w:tr>
        <w:tc>
          <w:tcPr>
            <w:tcW w:type="dxa" w:w="1872"/>
          </w:tcPr>
          <w:p>
            <w:r>
              <w:t>Unieważnienie postępowania po wyborze oferty</w:t>
            </w:r>
          </w:p>
        </w:tc>
        <w:tc>
          <w:tcPr>
            <w:tcW w:type="dxa" w:w="1872"/>
          </w:tcPr>
          <w:p>
            <w:r>
              <w:t>art. 255 pkt 6 PZP</w:t>
            </w:r>
          </w:p>
        </w:tc>
        <w:tc>
          <w:tcPr>
            <w:tcW w:type="dxa" w:w="1872"/>
          </w:tcPr>
          <w:p>
            <w:r>
              <w:t>TAK</w:t>
            </w:r>
          </w:p>
        </w:tc>
        <w:tc>
          <w:tcPr>
            <w:tcW w:type="dxa" w:w="1872"/>
          </w:tcPr>
          <w:p>
            <w:r>
              <w:t>TAK</w:t>
            </w:r>
          </w:p>
        </w:tc>
        <w:tc>
          <w:tcPr>
            <w:tcW w:type="dxa" w:w="1872"/>
          </w:tcPr>
          <w:p>
            <w:r>
              <w:t>⬛ zależy od uznania wady kryterium za niemożliwą do usunięcia</w:t>
            </w:r>
          </w:p>
        </w:tc>
      </w:tr>
      <w:tr>
        <w:tc>
          <w:tcPr>
            <w:tcW w:type="dxa" w:w="1872"/>
          </w:tcPr>
          <w:p>
            <w:r>
              <w:t>Unieważnienie postępowania jako decyzja swobodna</w:t>
            </w:r>
          </w:p>
        </w:tc>
        <w:tc>
          <w:tcPr>
            <w:tcW w:type="dxa" w:w="1872"/>
          </w:tcPr>
          <w:p>
            <w:r>
              <w:t>art. 256 PZP</w:t>
            </w:r>
          </w:p>
        </w:tc>
        <w:tc>
          <w:tcPr>
            <w:tcW w:type="dxa" w:w="1872"/>
          </w:tcPr>
          <w:p>
            <w:r>
              <w:t>NIE — dopuszczalne wyłącznie przed upływem terminu składania ofert</w:t>
            </w:r>
          </w:p>
        </w:tc>
        <w:tc>
          <w:tcPr>
            <w:tcW w:type="dxa" w:w="1872"/>
          </w:tcPr>
          <w:p>
            <w:r>
              <w:t>—</w:t>
            </w:r>
          </w:p>
        </w:tc>
        <w:tc>
          <w:tcPr>
            <w:tcW w:type="dxa" w:w="1872"/>
          </w:tcPr>
          <w:p>
            <w:r>
              <w:t>—</w:t>
            </w:r>
          </w:p>
        </w:tc>
      </w:tr>
      <w:tr>
        <w:tc>
          <w:tcPr>
            <w:tcW w:type="dxa" w:w="1872"/>
          </w:tcPr>
          <w:p>
            <w:r>
              <w:t>Prawo natychmiastowego audytu u dostawcy chmury</w:t>
            </w:r>
          </w:p>
        </w:tc>
        <w:tc>
          <w:tcPr>
            <w:tcW w:type="dxa" w:w="1872"/>
          </w:tcPr>
          <w:p>
            <w:r>
              <w:t>art. 28 ust. 3 lit. h RODO</w:t>
            </w:r>
          </w:p>
        </w:tc>
        <w:tc>
          <w:tcPr>
            <w:tcW w:type="dxa" w:w="1872"/>
          </w:tcPr>
          <w:p>
            <w:r>
              <w:t>TAK</w:t>
            </w:r>
          </w:p>
        </w:tc>
        <w:tc>
          <w:tcPr>
            <w:tcW w:type="dxa" w:w="1872"/>
          </w:tcPr>
          <w:p>
            <w:r>
              <w:t>TAK</w:t>
            </w:r>
          </w:p>
        </w:tc>
        <w:tc>
          <w:tcPr>
            <w:tcW w:type="dxa" w:w="1872"/>
          </w:tcPr>
          <w:p>
            <w:r>
              <w:t>NIE jako rozszerzenie zakresu — obowiązek wynika z mocy prawa</w:t>
            </w:r>
          </w:p>
        </w:tc>
      </w:tr>
      <w:tr>
        <w:tc>
          <w:tcPr>
            <w:tcW w:type="dxa" w:w="1872"/>
          </w:tcPr>
          <w:p>
            <w:r>
              <w:t>Lokalne zarządzanie kluczami jako środek bezpieczeństwa</w:t>
            </w:r>
          </w:p>
        </w:tc>
        <w:tc>
          <w:tcPr>
            <w:tcW w:type="dxa" w:w="1872"/>
          </w:tcPr>
          <w:p>
            <w:r>
              <w:t>art. 32 ust. 1 lit. a RODO</w:t>
            </w:r>
          </w:p>
        </w:tc>
        <w:tc>
          <w:tcPr>
            <w:tcW w:type="dxa" w:w="1872"/>
          </w:tcPr>
          <w:p>
            <w:r>
              <w:t>TAK</w:t>
            </w:r>
          </w:p>
        </w:tc>
        <w:tc>
          <w:tcPr>
            <w:tcW w:type="dxa" w:w="1872"/>
          </w:tcPr>
          <w:p>
            <w:r>
              <w:t>TAK</w:t>
            </w:r>
          </w:p>
        </w:tc>
        <w:tc>
          <w:tcPr>
            <w:tcW w:type="dxa" w:w="1872"/>
          </w:tcPr>
          <w:p>
            <w:r>
              <w:t>⬛ zależy od wyniku oszacowania ryzyka, przepis nie narzuca konkretnego rozwiązania</w:t>
            </w:r>
          </w:p>
        </w:tc>
      </w:tr>
      <w:tr>
        <w:tc>
          <w:tcPr>
            <w:tcW w:type="dxa" w:w="1872"/>
          </w:tcPr>
          <w:p>
            <w:r>
              <w:t>Odrzucenie oferty z uwagi na dostawcę wysokiego ryzyka</w:t>
            </w:r>
          </w:p>
        </w:tc>
        <w:tc>
          <w:tcPr>
            <w:tcW w:type="dxa" w:w="1872"/>
          </w:tcPr>
          <w:p>
            <w:r>
              <w:t>art. 226 ust. 1 pkt 19 PZP w zw. z art. 67b ust. 15 ustawy o KSC</w:t>
            </w:r>
          </w:p>
        </w:tc>
        <w:tc>
          <w:tcPr>
            <w:tcW w:type="dxa" w:w="1872"/>
          </w:tcPr>
          <w:p>
            <w:r>
              <w:t>TAK od 3 kwietnia 2026 r.</w:t>
            </w:r>
          </w:p>
        </w:tc>
        <w:tc>
          <w:tcPr>
            <w:tcW w:type="dxa" w:w="1872"/>
          </w:tcPr>
          <w:p>
            <w:r>
              <w:t>TAK</w:t>
            </w:r>
          </w:p>
        </w:tc>
        <w:tc>
          <w:tcPr>
            <w:tcW w:type="dxa" w:w="1872"/>
          </w:tcPr>
          <w:p>
            <w:r>
              <w:t>⬛ brak decyzji ministra w stanie faktycznym — przesłanka niewypełniona</w:t>
            </w:r>
          </w:p>
        </w:tc>
      </w:tr>
      <w:tr>
        <w:tc>
          <w:tcPr>
            <w:tcW w:type="dxa" w:w="1872"/>
          </w:tcPr>
          <w:p>
            <w:r>
              <w:t>Odrzucenie oferty na podstawie rekomendacji</w:t>
            </w:r>
          </w:p>
        </w:tc>
        <w:tc>
          <w:tcPr>
            <w:tcW w:type="dxa" w:w="1872"/>
          </w:tcPr>
          <w:p>
            <w:r>
              <w:t>art. 226 ust. 1 pkt 17 PZP w zw. z art. 33 ust. 4 ustawy o KSC</w:t>
            </w:r>
          </w:p>
        </w:tc>
        <w:tc>
          <w:tcPr>
            <w:tcW w:type="dxa" w:w="1872"/>
          </w:tcPr>
          <w:p>
            <w:r>
              <w:t>TAK od 3 kwietnia 2026 r.</w:t>
            </w:r>
          </w:p>
        </w:tc>
        <w:tc>
          <w:tcPr>
            <w:tcW w:type="dxa" w:w="1872"/>
          </w:tcPr>
          <w:p>
            <w:r>
              <w:t>TAK</w:t>
            </w:r>
          </w:p>
        </w:tc>
        <w:tc>
          <w:tcPr>
            <w:tcW w:type="dxa" w:w="1872"/>
          </w:tcPr>
          <w:p>
            <w:r>
              <w:t>⬛ brak rekomendacji w stanie faktycznym; stosowanie rekomendacji Pełnomocnika z art. 67a ust. 5 jest dobrowolne</w:t>
            </w:r>
          </w:p>
        </w:tc>
      </w:tr>
      <w:tr>
        <w:tc>
          <w:tcPr>
            <w:tcW w:type="dxa" w:w="1872"/>
          </w:tcPr>
          <w:p>
            <w:r>
              <w:t>Obowiązek zamawiającego w zakresie łańcucha dostaw</w:t>
            </w:r>
          </w:p>
        </w:tc>
        <w:tc>
          <w:tcPr>
            <w:tcW w:type="dxa" w:w="1872"/>
          </w:tcPr>
          <w:p>
            <w:r>
              <w:t>art. 8 ust. 1 pkt 2 lit. e ustawy o KSC</w:t>
            </w:r>
          </w:p>
        </w:tc>
        <w:tc>
          <w:tcPr>
            <w:tcW w:type="dxa" w:w="1872"/>
          </w:tcPr>
          <w:p>
            <w:r>
              <w:t>TAK od 3 kwietnia 2026 r.</w:t>
            </w:r>
          </w:p>
        </w:tc>
        <w:tc>
          <w:tcPr>
            <w:tcW w:type="dxa" w:w="1872"/>
          </w:tcPr>
          <w:p>
            <w:r>
              <w:t>⬛ zależy od statusu metropolii</w:t>
            </w:r>
          </w:p>
        </w:tc>
        <w:tc>
          <w:tcPr>
            <w:tcW w:type="dxa" w:w="1872"/>
          </w:tcPr>
          <w:p>
            <w:r>
              <w:t>TAK</w:t>
            </w:r>
          </w:p>
        </w:tc>
      </w:tr>
      <w:tr>
        <w:tc>
          <w:tcPr>
            <w:tcW w:type="dxa" w:w="1872"/>
          </w:tcPr>
          <w:p>
            <w:r>
              <w:t>Status metropolii jako podmiotu kluczowego</w:t>
            </w:r>
          </w:p>
        </w:tc>
        <w:tc>
          <w:tcPr>
            <w:tcW w:type="dxa" w:w="1872"/>
          </w:tcPr>
          <w:p>
            <w:r>
              <w:t>art. 5 ust. 1 pkt 4 lit. d ustawy o KSC w zw. z załącznikiem nr 1</w:t>
            </w:r>
          </w:p>
        </w:tc>
        <w:tc>
          <w:tcPr>
            <w:tcW w:type="dxa" w:w="1872"/>
          </w:tcPr>
          <w:p>
            <w:r>
              <w:t>TAK</w:t>
            </w:r>
          </w:p>
        </w:tc>
        <w:tc>
          <w:tcPr>
            <w:tcW w:type="dxa" w:w="1872"/>
          </w:tcPr>
          <w:p>
            <w:r>
              <w:t>⬛ urząd gminy zatrudniający co najmniej 50 osób TAK; związek metropolitalny NIE — art. 9 pkt 2a ustawy o finansach publicznych pozostaje poza odesłaniem załącznika</w:t>
            </w:r>
          </w:p>
        </w:tc>
        <w:tc>
          <w:tcPr>
            <w:tcW w:type="dxa" w:w="1872"/>
          </w:tcPr>
          <w:p>
            <w:r>
              <w:t>—</w:t>
            </w:r>
          </w:p>
        </w:tc>
      </w:tr>
      <w:tr>
        <w:tc>
          <w:tcPr>
            <w:tcW w:type="dxa" w:w="1872"/>
          </w:tcPr>
          <w:p>
            <w:r>
              <w:t>Zgłoszenie incydentu u dostawcy chmury</w:t>
            </w:r>
          </w:p>
        </w:tc>
        <w:tc>
          <w:tcPr>
            <w:tcW w:type="dxa" w:w="1872"/>
          </w:tcPr>
          <w:p>
            <w:r>
              <w:t>art. 11 ust. 1 pkt 4 i 4a ustawy o KSC</w:t>
            </w:r>
          </w:p>
        </w:tc>
        <w:tc>
          <w:tcPr>
            <w:tcW w:type="dxa" w:w="1872"/>
          </w:tcPr>
          <w:p>
            <w:r>
              <w:t>TAK od 3 kwietnia 2026 r.</w:t>
            </w:r>
          </w:p>
        </w:tc>
        <w:tc>
          <w:tcPr>
            <w:tcW w:type="dxa" w:w="1872"/>
          </w:tcPr>
          <w:p>
            <w:r>
              <w:t>⬛ zależy od statusu metropolii</w:t>
            </w:r>
          </w:p>
        </w:tc>
        <w:tc>
          <w:tcPr>
            <w:tcW w:type="dxa" w:w="1872"/>
          </w:tcPr>
          <w:p>
            <w:r>
              <w:t>⬛ zależy od przekroczenia progów uznania incydentu za poważny</w:t>
            </w:r>
          </w:p>
        </w:tc>
      </w:tr>
      <w:tr>
        <w:tc>
          <w:tcPr>
            <w:tcW w:type="dxa" w:w="1872"/>
          </w:tcPr>
          <w:p>
            <w:r>
              <w:t>Zakaz zawarcia umowy po wniesieniu odwołania</w:t>
            </w:r>
          </w:p>
        </w:tc>
        <w:tc>
          <w:tcPr>
            <w:tcW w:type="dxa" w:w="1872"/>
          </w:tcPr>
          <w:p>
            <w:r>
              <w:t>art. 577 PZP</w:t>
            </w:r>
          </w:p>
        </w:tc>
        <w:tc>
          <w:tcPr>
            <w:tcW w:type="dxa" w:w="1872"/>
          </w:tcPr>
          <w:p>
            <w:r>
              <w:t>TAK</w:t>
            </w:r>
          </w:p>
        </w:tc>
        <w:tc>
          <w:tcPr>
            <w:tcW w:type="dxa" w:w="1872"/>
          </w:tcPr>
          <w:p>
            <w:r>
              <w:t>TAK</w:t>
            </w:r>
          </w:p>
        </w:tc>
        <w:tc>
          <w:tcPr>
            <w:tcW w:type="dxa" w:w="1872"/>
          </w:tcPr>
          <w:p>
            <w:r>
              <w:t>TAK</w:t>
            </w:r>
          </w:p>
        </w:tc>
      </w:tr>
      <w:tr>
        <w:tc>
          <w:tcPr>
            <w:tcW w:type="dxa" w:w="1872"/>
          </w:tcPr>
          <w:p>
            <w:r>
              <w:t>Uchylenie zakazu zawarcia umowy</w:t>
            </w:r>
          </w:p>
        </w:tc>
        <w:tc>
          <w:tcPr>
            <w:tcW w:type="dxa" w:w="1872"/>
          </w:tcPr>
          <w:p>
            <w:r>
              <w:t>art. 578 ust. 2 pkt 1 PZP</w:t>
            </w:r>
          </w:p>
        </w:tc>
        <w:tc>
          <w:tcPr>
            <w:tcW w:type="dxa" w:w="1872"/>
          </w:tcPr>
          <w:p>
            <w:r>
              <w:t>TAK</w:t>
            </w:r>
          </w:p>
        </w:tc>
        <w:tc>
          <w:tcPr>
            <w:tcW w:type="dxa" w:w="1872"/>
          </w:tcPr>
          <w:p>
            <w:r>
              <w:t>TAK</w:t>
            </w:r>
          </w:p>
        </w:tc>
        <w:tc>
          <w:tcPr>
            <w:tcW w:type="dxa" w:w="1872"/>
          </w:tcPr>
          <w:p>
            <w:r>
              <w:t>TAK</w:t>
            </w:r>
          </w:p>
        </w:tc>
      </w:tr>
      <w:tr>
        <w:tc>
          <w:tcPr>
            <w:tcW w:type="dxa" w:w="1872"/>
          </w:tcPr>
          <w:p>
            <w:r>
              <w:t>Przenoszalność danych i wyjście od dostawcy</w:t>
            </w:r>
          </w:p>
        </w:tc>
        <w:tc>
          <w:tcPr>
            <w:tcW w:type="dxa" w:w="1872"/>
          </w:tcPr>
          <w:p>
            <w:r>
              <w:t>art. 23 i art. 25 rozporządzenia 2023/2854</w:t>
            </w:r>
          </w:p>
        </w:tc>
        <w:tc>
          <w:tcPr>
            <w:tcW w:type="dxa" w:w="1872"/>
          </w:tcPr>
          <w:p>
            <w:r>
              <w:t>TAK od 12 września 2025 r.</w:t>
            </w:r>
          </w:p>
        </w:tc>
        <w:tc>
          <w:tcPr>
            <w:tcW w:type="dxa" w:w="1872"/>
          </w:tcPr>
          <w:p>
            <w:r>
              <w:t>TAK — dostawca usługi przetwarzania danych</w:t>
            </w:r>
          </w:p>
        </w:tc>
        <w:tc>
          <w:tcPr>
            <w:tcW w:type="dxa" w:w="1872"/>
          </w:tcPr>
          <w:p>
            <w:r>
              <w:t>TAK</w:t>
            </w:r>
          </w:p>
        </w:tc>
      </w:tr>
    </w:tbl>
    <w:p>
      <w:pPr>
        <w:pStyle w:val="BodyText"/>
      </w:pPr>
      <w:r>
        <w:t>Sześć wyników „NIE” jest rozstrzygających i każdy przenosi zarzut na inną podstawę: z art. 241 ust. 1 i ust. 3 PZP na art. 240 ust. 2 PZP; z art. 226 ust. 1 pkt 5a PZP na art. 99 ust. 4 PZP; z art. 226 ust. 1 pkt 2 lit. b PZP na art. 122 PZP; z art. 455 ust. 1 PZP na art. 255 pkt 6 PZP; z art. 256 PZP na art. 255 pkt 6 PZP; z art. 18 ust. 3 zd. 2 PZP na bezwarunkową jawność informacji z art. 222 ust. 5 PZP. Dwa wyniki ⬛ o największym ciężarze to zakres przedmiotowy art. 4 ust. 1 rozporządzenia 2018/1807 i status podmiotowy metropolii w ustawie o KSC; oba rozstrzygam warunkowo w treści analizy.</w:t>
      </w:r>
    </w:p>
    <w:p>
      <w:pPr>
        <w:pStyle w:val="Heading2"/>
      </w:pPr>
      <w:r>
        <w:t>Analiza materialna według zagadnień</w:t>
      </w:r>
    </w:p>
    <w:p>
      <w:pPr>
        <w:pStyle w:val="Heading3"/>
      </w:pPr>
      <w:r>
        <w:t>Zagadnienie 1: czy kryterium jest związane z przedmiotem, mierzalne i niedyskryminacyjne</w:t>
      </w:r>
    </w:p>
    <w:p>
      <w:pPr>
        <w:pStyle w:val="FirstParagraph"/>
      </w:pPr>
      <w:r>
        <w:t>Zarzut trzeba rozłożyć na trzy pytania, ponieważ odpowiedzi na nie są różne, a odwołanie zbudowane na wszystkich trzech naraz przegrywa na pierwszym.</w:t>
      </w:r>
    </w:p>
    <w:p>
      <w:pPr>
        <w:pStyle w:val="BodyText"/>
      </w:pPr>
      <w:r>
        <w:t>Czy kryterium jest związane z przedmiotem. Jest. Art. 241 ust. 1 PZP wymaga związku, a ust. 2 definiuje go szeroko: kryteria dotyczą usług będących przedmiotem zamówienia „w dowolnych aspektach oraz w odniesieniu do dowolnych etapów ich cyklu życia”, nawet gdy nie są istotną cechą przedmiotu. Miejsce, w którym stoi infrastruktura przetwarzająca dane transportowe, świadczeniowe i zgłoszeniowe metropolii, jest aspektem sposobu świadczenia usługi. Nie działa również art. 241 ust. 3: przepis wyklucza kryteria dotyczące właściwości wykonawcy, wymieniając wiarygodność ekonomiczną, techniczną i finansową, a lokalizacja centrum danych opisuje świadczenie, nie podmiot. Odwołanie oparte na tych dwóch przepisach należy oddalić.</w:t>
      </w:r>
    </w:p>
    <w:p>
      <w:pPr>
        <w:pStyle w:val="BodyText"/>
      </w:pPr>
      <w:r>
        <w:t>Czy kryterium jest mierzalne. Nie jest, i tu leży cały ciężar sprawy. Art. 240 ust. 1 PZP nakazuje opisać kryteria w sposób jednoznaczny i zrozumiały, a ust. 2 stawia dwa odrębne wymogi: opis nie może pozostawiać zamawiającemu nieograniczonej swobody wyboru najkorzystniejszej oferty oraz musi umożliwiać weryfikację i porównanie poziomu oferowanego wykonania przedmiotu zamówienia na podstawie informacji przedstawianych w ofertach. Kryterium, które premiuje centra danych w Polsce, lecz nie podaje, ile punktów przypada za co, nie spełnia żadnego z nich. Naruszenie ma wpływ na wynik postępowania w rozumieniu art. 554 ust. 1 pkt 1 PZP, ponieważ dotyczy kryterium, na którym oparto wybór.</w:t>
      </w:r>
    </w:p>
    <w:p>
      <w:pPr>
        <w:pStyle w:val="BodyText"/>
      </w:pPr>
      <w:r>
        <w:t>Czy kryterium jest niedyskryminacyjne. Odpowiedź zależy od tego, jak wysoko postawi się poprzeczkę dowodową. Na gruncie krajowym wystarczy art. 16 pkt 1 i art. 99 ust. 4 PZP: opis przedmiotu zamówienia nie może utrudniać uczciwej konkurencji, w szczególności przez wskazanie pochodzenia lub szczególnego procesu charakteryzującego usługi konkretnego wykonawcy, jeżeli mogłoby to doprowadzić do uprzywilejowania lub wyeliminowania niektórych wykonawców. Premia za lokalizację krajową działa dokładnie tak wobec dostawców z pozostałych państw członkowskich. Na gruncie unijnym mocniejszym narzędziem jest art. 4 ust. 1 rozporządzenia 2018/1807, który zakazuje wymogów lokalizacji danych nieosobowych poza wypadkiem uzasadnienia względami bezpieczeństwa publicznego i proporcjonalności — ale wymaga wcześniejszego przejścia przez art. 3 pkt 5. To zamiatanie zakresu przedmiotowego pomija się najczęściej i najkosztowniej.</w:t>
      </w:r>
    </w:p>
    <w:p>
      <w:pPr>
        <w:pStyle w:val="BodyText"/>
      </w:pPr>
      <w:r>
        <w:t>⬛ Kazus nie podaje, czy zamawiający stosował kryterium „suwerenności technologicznej” także w innych postępowaniach, ani czy wartość zamówienia przekracza progi unijne. Rozstrzygnięcie warunkowe: przy jednorazowym użyciu kryterium zarzut opiera się wyłącznie na art. 240 ust. 2, art. 16 pkt 1 i art. 99 ust. 4 PZP, a rozporządzenie 2018/1807 zostaje jako argument wykładniczy o sile perswazyjnej, nie jako podstawa; przy wykazaniu praktyki powtarzalnej zarzut z art. 4 ust. 1 rozporządzenia staje się samodzielny, działa bezpośrednio i przerzuca na zamawiającego ciężar wykazania bezpieczeństwa publicznego w rozumieniu art. 52 TFUE oraz proporcjonalności. Przy wartości poniżej progów unijnych terminy na odwołanie skracają się z dziesięciu do pięciu dni (art. 515 ust. 1 pkt 2 i ust. 2 pkt 2 PZP) i to jest pierwsza rzecz do sprawdzenia, zanim zacznie się budować zarzuty.</w:t>
      </w:r>
    </w:p>
    <w:p>
      <w:pPr>
        <w:pStyle w:val="Heading3"/>
      </w:pPr>
      <w:r>
        <w:t>Zagadnienie 2: poleganie na zasobach grupy i udział podmiotów trzecich</w:t>
      </w:r>
    </w:p>
    <w:p>
      <w:pPr>
        <w:pStyle w:val="FirstParagraph"/>
      </w:pPr>
      <w:r>
        <w:t>Reguła i jej jedyny warunek. Art. 118 ust. 1 PZP pozwala polegać na zdolnościach technicznych lub zawodowych oraz sytuacji finansowej lub ekonomicznej podmiotów udostępniających zasoby „niezależnie od charakteru prawnego łączących go z nimi stosunków prawnych” — czyli powiązanie kapitałowe samo w sobie nie jest ani zaletą, ani wadą. Ograniczenie stoi w ust. 2 i dotyczy wyłącznie warunków opisujących wykształcenie, kwalifikacje zawodowe lub doświadczenie: polegać na cudzych zdolnościach wolno, „jeśli podmioty te wykonają roboty budowlane lub usługi, do realizacji których te zdolności są wymagane”. Referencja spółki z grupy, która nie będzie wykonywać niczego, nie potwierdza spełnienia warunku doświadczenia.</w:t>
      </w:r>
    </w:p>
    <w:p>
      <w:pPr>
        <w:pStyle w:val="BodyText"/>
      </w:pPr>
      <w:r>
        <w:t>Czym się to sprawdza. Art. 118 ust. 3 PZP wymaga złożenia wraz z ofertą zobowiązania podmiotu udostępniającego zasoby albo innego podmiotowego środka dowodowego, a ust. 4 określa, co takie zobowiązanie musi zawierać: zakres dostępnych zasobów, sposób i okres udostępnienia oraz — w pkt 3 — czy i w jakim zakresie podmiot udostępniający zrealizuje usługi, których dotyczą wskazane zdolności. Brak odpowiedzi na pkt 3 albo odpowiedź przecząca przy warunku doświadczenia jest wadą merytoryczną, nie brakiem formalnym. Art. 119 PZP nakazuje ponadto zbadać, czy wobec tego podmiotu nie zachodzą podstawy wykluczenia przewidziane wobec wykonawcy — w zamówieniu chmurowym to jest miejsce na sprawdzenie samego dostawcy chmury, jeżeli występuje w tej roli.</w:t>
      </w:r>
    </w:p>
    <w:p>
      <w:pPr>
        <w:pStyle w:val="BodyText"/>
      </w:pPr>
      <w:r>
        <w:t>Skutek i kolejność czynności. Art. 122 PZP jest bezwzględny co do sekwencji: jeżeli zdolności podmiotu udostępniającego nie potwierdzają spełnienia warunku, zamawiający „żąda”, aby wykonawca w wyznaczonym terminie zastąpił ten podmiot innym albo wykazał, że samodzielnie spełnia warunki. Odrzucenie oferty z art. 226 ust. 1 pkt 2 lit. b PZP przed wyczerpaniem tego trybu jest samo w sobie naruszeniem. Odwrotnie działa art. 123 PZP: po upływie terminu składania ofert nie wolno powołać się na zasoby podmiotu, na które wcześniej się nie powoływano — więc konsorcjum nie naprawi sytuacji, dodając nowy podmiot udostępniający w miejsce spółki z grupy, jeżeli zakres zdolności był inny.</w:t>
      </w:r>
    </w:p>
    <w:p>
      <w:pPr>
        <w:pStyle w:val="BodyText"/>
      </w:pPr>
      <w:r>
        <w:t>Podmioty trzecie po stronie wykonania. Dostawca globalnej chmury występuje w tym stanie faktycznym najczęściej nie jako podmiot udostępniający zasoby, lecz jako podwykonawca albo jako dalszy podmiot przetwarzający w rozumieniu art. 28 ust. 4 RODO. To rozróżnienie ma skutki: art. 121 PZP pozwala zastrzec obowiązek osobistego wykonania kluczowych zadań przez wykonawcę, a nowy art. 112 ust. 3 PZP nakazuje przy warunku zdolności technicznej lub zawodowej stosować poziomy zdolności określone w przepisach wykonawczych do ustawy o certyfikacji wykonawców zamówień publicznych, chyba że nie jest to możliwe albo poziomów nie określono, co zamawiający musi wskazać w dokumentach zamówienia. Pominięcie tego obowiązku bez wskazania podstawy jest samodzielną wadą warunków udziału.</w:t>
      </w:r>
    </w:p>
    <w:p>
      <w:pPr>
        <w:pStyle w:val="BodyText"/>
      </w:pPr>
      <w:r>
        <w:t>⬛ Kazus nie podaje, na który warunek udziału powołano referencje spółki z grupy, ani czy spółka ta ma wykonywać jakąkolwiek część zamówienia, ani czy złożono zobowiązanie z art. 118 ust. 3. Rozstrzygnięcie warunkowe: jeżeli referencje służyły warunkowi doświadczenia, a spółka nie wykonuje usług — zamawiający jest obowiązany wezwać z art. 122 PZP, a zaniechanie wezwania jest zaniechaniem czynności zaskarżalnym z art. 513 pkt 2 PZP; jeżeli referencje służyły warunkowi sytuacji ekonomicznej lub finansowej, ograniczenie z ust. 2 nie działa w ogóle, zarzut upada, a pozostaje jedynie odpowiedzialność solidarna podmiotu udostępniającego z art. 120 PZP.</w:t>
      </w:r>
    </w:p>
    <w:p>
      <w:pPr>
        <w:pStyle w:val="Heading3"/>
      </w:pPr>
      <w:r>
        <w:t>Zagadnienie 3: co może pozostać tajne wobec konkurenta i wobec Izby</w:t>
      </w:r>
    </w:p>
    <w:p>
      <w:pPr>
        <w:pStyle w:val="FirstParagraph"/>
      </w:pPr>
      <w:r>
        <w:t>Punkt wyjścia jest odwrotny niż w praktyce. Art. 18 ust. 1 PZP ustanawia jawność postępowania jako regułę, a ust. 2 pozwala ograniczyć dostęp „tylko w przypadkach określonych w ustawie”. Zastrzeżenie tajemnicy przedsiębiorstwa jest wyjątkiem, więc wykładnia rozszerzająca jest wykluczona.</w:t>
      </w:r>
    </w:p>
    <w:p>
      <w:pPr>
        <w:pStyle w:val="BodyText"/>
      </w:pPr>
      <w:r>
        <w:t>Dwa warunki, z których drugi decyduje. Art. 18 ust. 3 PZP nie ujawnia informacji stanowiących tajemnicę przedsiębiorstwa w rozumieniu ustawy o zwalczaniu nieuczciwej konkurencji, jeżeli wykonawca wraz z przekazaniem takich informacji zastrzegł, że nie mogą być udostępniane, „oraz wykazał, że zastrzeżone informacje stanowią tajemnicę przedsiębiorstwa”. Wykazanie jest odrębnym, materialnym obowiązkiem: trzeba przejść przez wszystkie trzy przesłanki art. 11 ust. 2 uznk — wartość gospodarcza informacji, brak powszechnej znajomości lub łatwej dostępności dla osób zwykle zajmujących się tym rodzajem informacji oraz podjęcie przy zachowaniu należytej staranności działań w celu utrzymania poufności. Ogólnikowe oświadczenie, że wyjaśnienia zawierają know-how, nie wypełnia żadnej z nich. „Znaczna część wyjaśnień utajniona” bez takiego wykazania oznacza, że zamawiający miał obowiązek te wyjaśnienia odtajnić, a jego zaniechanie jest samodzielną podstawą odwołania.</w:t>
      </w:r>
    </w:p>
    <w:p>
      <w:pPr>
        <w:pStyle w:val="BodyText"/>
      </w:pPr>
      <w:r>
        <w:t>Granica bezwzględna. Art. 18 ust. 3 zdanie drugie PZP wyłącza możliwość zastrzeżenia informacji, o których mowa w art. 222 ust. 5 — danych z otwarcia ofert. Żadne uzasadnienie tego nie odwróci. Osobno działa art. 74 ust. 2 pkt 1 PZP: oferty wraz z załącznikami udostępnia się niezwłocznie po otwarciu, nie później niż w terminie trzech dni, a pozostałe załączniki do protokołu — po wyborze najkorzystniejszej oferty albo unieważnieniu postępowania. Konkurent, który wnosi odwołanie po zawiadomieniu o wyborze, ma prawo do pełnego materiału z wyjątkiem tego, co skutecznie zastrzeżono.</w:t>
      </w:r>
    </w:p>
    <w:p>
      <w:pPr>
        <w:pStyle w:val="BodyText"/>
      </w:pPr>
      <w:r>
        <w:t>Wobec Izby tajemnica nie działa tak jak wobec konkurenta. Izba orzeka na podstawie stanu rzeczy ustalonego w toku postępowania odwoławczego (art. 552 ust. 1 PZP) i bada pełne akta postępowania, w tym materiał objęty skutecznym zastrzeżeniem. Odwołujący nie ma do niego dostępu, ale ma dostęp do rozstrzygnięcia o samej skuteczności zastrzeżenia — i to jest właściwy przedmiot zarzutu. Zarzut należy formułować jako zaniechanie odtajnienia, nie jako żądanie wglądu.</w:t>
      </w:r>
    </w:p>
    <w:p>
      <w:pPr>
        <w:pStyle w:val="BodyText"/>
      </w:pPr>
      <w:r>
        <w:t>⬛ Kazus nie podaje, czego dotyczyły utajnione wyjaśnienia — kalkulacji ceny, architektury rozwiązania czy referencji — ani czy konsorcjum przedstawiło uzasadnienie zastrzeżenia. Rozstrzygnięcie warunkowe: jeżeli utajniono wyjaśnienia dotyczące ceny, dodatkowo działa art. 224 ust. 5 PZP, który obarcza wykonawcę obowiązkiem wykazania, że oferta nie zawiera rażąco niskiej ceny, a wykonawca nie może jednocześnie ponosić tego ciężaru i uniemożliwiać jego weryfikacji; jeżeli utajniono referencje, zastrzeżenie jest niemal zawsze nieskuteczne, ponieważ nazwy zrealizowanych zamówień publicznych są z natury dostępne.</w:t>
      </w:r>
    </w:p>
    <w:p>
      <w:pPr>
        <w:pStyle w:val="Heading3"/>
      </w:pPr>
      <w:r>
        <w:t>Zagadnienie 4: nowe wymagania po wyborze oferty</w:t>
      </w:r>
    </w:p>
    <w:p>
      <w:pPr>
        <w:pStyle w:val="FirstParagraph"/>
      </w:pPr>
      <w:r>
        <w:t>Ustalenie negatywne otwierające zagadnienie. Reżim istotnej zmiany umowy nie działa. Art. 454 ust. 1 PZP mówi o „istotnej zmianie zawartej umowy”, art. 455 ust. 1 o dopuszczalności „zmiany umowy” — obie normy zakładają istniejącą umowę. Po wyborze oferty biegnie termin z art. 264 ust. 1 PZP, a po wniesieniu odwołania działa zakaz zawarcia umowy z art. 577 PZP. Argument konsorcjum, że nowe wymagania stanowią istotną zmianę zakresu i ceny, jest zbudowany na przepisie, który tego stanu nie obejmuje. To nie znaczy, że konsorcjum nie ma racji co do istoty — znaczy, że racji trzeba szukać w art. 16 pkt 1 PZP i w zakazie zmiany warunków zamówienia po otwarciu ofert, bo dopuszczenie takiej zmiany narusza równe traktowanie wobec wykonawców, którzy przy innych wymaganiach złożyliby oferty innej treści.</w:t>
      </w:r>
    </w:p>
    <w:p>
      <w:pPr>
        <w:pStyle w:val="BodyText"/>
      </w:pPr>
      <w:r>
        <w:t>Co zamawiający może zrobić naprawdę. Trzy drogi, każda z innym kosztem. Pierwsza: zawrzeć umowę zgodną z SWZ i wymusić lokalne zarządzanie kluczami oraz audyt na etapie wykonania w zakresie, w jakim wynikają one z przepisów powszechnie obowiązujących, a nie z nowego świadczenia. Druga: unieważnić postępowanie na podstawie art. 255 pkt 6 PZP, jeżeli wada kryterium oceny ofert jest niemożliwa do usunięcia i uniemożliwia zawarcie umowy niepodlegającej unieważnieniu — a wada nieopisanego kryterium, na którym oparto wybór, taka właśnie jest, bo nie da się jej naprawić inaczej niż powtórzeniem oceny według kryterium, którego w SWZ nie było. Trzecia: art. 255 pkt 5 PZP, czyli istotna zmiana okoliczności powodująca, że prowadzenie postępowania nie leży w interesie publicznym, czego nie można było wcześniej przewidzieć — incydent u dostawcy chmury po wyborze oferty jest kandydatem, ale przesłanka nieprzewidywalności jest w tym sektorze trudna do obronienia i tej drogi nie rekomenduję jako pierwszej.</w:t>
      </w:r>
    </w:p>
    <w:p>
      <w:pPr>
        <w:pStyle w:val="BodyText"/>
      </w:pPr>
      <w:r>
        <w:t>Czego nie wolno zrobić. Art. 256 PZP dopuszcza unieważnienie z powodu okoliczności czyniących dalsze prowadzenie postępowania nieuzasadnionym wyłącznie przed upływem terminu składania ofert. Po wyborze oferty przepis jest wyczerpany i powołanie się na niego jest samodzielnym naruszeniem. Nie wolno też negocjować nowych wymagań z jednym wykonawcą — to naruszenie art. 16 pkt 1 i 2 PZP, które przy zawarciu umowy otwiera drogę do art. 457 PZP.</w:t>
      </w:r>
    </w:p>
    <w:p>
      <w:pPr>
        <w:pStyle w:val="BodyText"/>
      </w:pPr>
      <w:r>
        <w:t>Prawo audytu osobno od zarządzania kluczami. Te dwa żądania mają różny status i łączenie ich w jeden pakiet szkodzi zamawiającemu. Prawo audytu istnieje z mocy art. 28 ust. 3 lit. h RODO w każdej umowie powierzenia i podmiot przetwarzający nie może go skutecznie wyłączyć ani uzależnić od dodatkowego wynagrodzenia w sposób czyniący je iluzorycznym; art. 28 ust. 3 lit. a RODO nakazuje ponadto przetwarzanie wyłącznie na udokumentowane polecenie administratora, co dotyczy również przekazywania danych do państwa trzeciego. Lokalne zarządzanie kluczami jest natomiast środkiem technicznym, a art. 32 ust. 1 RODO nie narzuca żadnego konkretnego rozwiązania — nakazuje wdrożyć środki odpowiadające ryzyku, wymieniając szyfrowanie jedynie przykładowo. Podobnie art. 8 ust. 1 pkt 2 lit. k ustawy o KSC wymaga polityk i procedur stosowania kryptografii, nie określonej architektury kluczy. Żądanie zarządzania kluczami po stronie zamawiającego jest zatem uzasadnione wynikiem oszacowania ryzyka, a nie samym brzmieniem przepisu.</w:t>
      </w:r>
    </w:p>
    <w:p>
      <w:pPr>
        <w:pStyle w:val="BodyText"/>
      </w:pPr>
      <w:r>
        <w:t>⬛ Kazus nie podaje, czy SWZ zawierała postanowienia o zasadach wprowadzania zmian w rozumieniu art. 455 ust. 1 pkt 1 PZP, ani jaka jest wartość zamówienia. Rozstrzygnięcie warunkowe: jeżeli SWZ zawierała jasne, precyzyjne i jednoznaczne postanowienia przewidujące rozszerzenie wymagań bezpieczeństwa, zmiana będzie dopuszczalna po zawarciu umowy bez nowego postępowania i cały spór przenosi się na wykładnię tych postanowień; jeżeli takich postanowień nie było, po zawarciu umowy pozostaje wyłącznie art. 455 ust. 1 pkt 4 lub art. 455 ust. 2 PZP z limitem dziesięciu procent wartości pierwotnej dla usług.</w:t>
      </w:r>
    </w:p>
    <w:p>
      <w:pPr>
        <w:pStyle w:val="Heading3"/>
      </w:pPr>
      <w:r>
        <w:t>Zagadnienie 5: cyberbezpieczeństwo, RODO, ciągłość usług i środek tymczasowy</w:t>
      </w:r>
    </w:p>
    <w:p>
      <w:pPr>
        <w:pStyle w:val="FirstParagraph"/>
      </w:pPr>
      <w:r>
        <w:t>Trzy reżimy bezpieczeństwa i trzy różne adresaty. Ustawa o KSC po nowelizacji wdrażającej dyrektywę 2022/2555 nakłada obowiązki na zamawiającego jako podmiot kluczowy lub ważny (art. 8), osobno na dostawców usług chmurowych (art. 8b ust. 1, przez odesłanie do rozporządzenia wykonawczego 2024/2690), a mechanizm dostawcy wysokiego ryzyka z art. 67b adresuje do ministra właściwego do spraw informatyzacji. Zamawiający nie ma kompetencji, którą próbuje sobie przypisać kryterium „suwerenności technologicznej”.</w:t>
      </w:r>
    </w:p>
    <w:p>
      <w:pPr>
        <w:pStyle w:val="BodyText"/>
      </w:pPr>
      <w:r>
        <w:t>Łańcuch dostaw jest obowiązkiem zamawiającego, nie kryterium oceny ofert. Art. 8 ust. 1 pkt 2 lit. e ustawy o KSC nakazuje podmiotowi kluczowemu lub ważnemu wdrożyć środki zapewniające „bezpieczeństwo i ciągłość łańcucha dostaw produktów ICT, usług ICT i procesów ICT, od których zależy świadczenie usługi, z uwzględnieniem związków pomiędzy bezpośrednim dostawcą sprzętu lub oprogramowania a podmiotem kluczowym lub podmiotem ważnym”, a ust. 2 wymienia, co przy tym uwzględnić: podatności związane z dostawcą, ogólną jakość jego produktów, wyniki skoordynowanej oceny bezpieczeństwa Grupy Współpracy z art. 22 ust. 1 dyrektywy 2022/2555 oraz wyniki postępowania z art. 67b. To jest właściwa podstawa dla troski zamawiającego — i jest to podstawa dotycząca jego własnego systemu zarządzania bezpieczeństwem informacji, realizowana przez wymagania w opisie przedmiotu zamówienia i przez postanowienia umowne, nie przez punktowanie kraju lokalizacji serwerów.</w:t>
      </w:r>
    </w:p>
    <w:p>
      <w:pPr>
        <w:pStyle w:val="BodyText"/>
      </w:pPr>
      <w:r>
        <w:t>Odrzucenie oferty z powodu łańcucha dostaw ma zamknięty katalog. Od 3 kwietnia 2026 r. art. 226 ust. 1 pkt 19 PZP nakazuje odrzucić ofertę obejmującą produkt ICT, którego typ określono w decyzji o uznaniu dostawcy za dostawcę wysokiego ryzyka z art. 67b ust. 15 ustawy o KSC, albo usługę lub proces ICT określone w tej decyzji; pkt 17 w nowym brzmieniu obejmuje produkty, usługi i procesy wskazane w rekomendacji z art. 33 ust. 4 tej ustawy jako mające negatywny wpływ na podstawowy interes bezpieczeństwa państwa. Art. 67c ust. 4 dodaje zakaz nabywania takich rozwiązań w trybie PZP. Poza tymi trzema sytuacjami zamawiający nie ma podstawy, by odrzucić ofertę za korzystanie z globalnej chmury. Rekomendacje Pełnomocnika z art. 67a mają status odrębny — art. 67a ust. 5 stanowi wprost, że ich stosowanie jest dobrowolne, więc nie mogą być źródłem obowiązku ani podstawą odrzucenia.</w:t>
      </w:r>
    </w:p>
    <w:p>
      <w:pPr>
        <w:pStyle w:val="BodyText"/>
      </w:pPr>
      <w:r>
        <w:t>Incydent u dostawcy i obowiązki zamawiającego. Art. 11 ust. 1 pkt 4 i 4a ustawy o KSC wymaga zgłoszenia wczesnego ostrzeżenia o incydencie poważnym niezwłocznie, nie później niż w ciągu dwudziestu czterech godzin od wykrycia, i samego zgłoszenia w ciągu siedemdziesięciu dwóch godzin — do właściwego CSIRT sektorowego, a sprawozdania końcowego w ciągu miesiąca (pkt 4c). Art. 11 ust. 2b nakazuje poinformować użytkowników usług o incydencie poważnym, jeżeli ma on niekorzystny wpływ na świadczenie tych usług. Progi uznania incydentu za poważny określa rozporządzenie Rady Ministrów wydane na podstawie art. 11 ust. 4, z wyłączeniem podmiotów, dla których progi określiła Komisja aktem wykonawczym. Incydent u dostawcy chmury uruchamia te obowiązki po stronie zamawiającego wtedy i tylko wtedy, gdy dotyka jego własnej usługi — a przy obecnym, jeszcze nieuruchomionym systemie nie dotyka.</w:t>
      </w:r>
    </w:p>
    <w:p>
      <w:pPr>
        <w:pStyle w:val="BodyText"/>
      </w:pPr>
      <w:r>
        <w:t>Ciągłość usług przeciwko utrwaleniu niezweryfikowanego łańcucha dostaw. To jest jedyne miejsce, w którym argument o przerwie w usługach ma przewidzianą ustawą drogę: art. 578 ust. 2 pkt 1 PZP pozwala Izbie uchylić zakaz zawarcia umowy, jeżeli niezawarcie umowy mogłoby spowodować negatywne skutki dla interesu publicznego przewyższające korzyści związane z koniecznością ochrony wszystkich interesów, wobec których zachodzi prawdopodobieństwo uszczerbku. Izba rozstrzyga na posiedzeniu niejawnym w terminie pięciu dni, postanowieniem, na które nie przysługuje skarga (art. 578 ust. 4). Test jest jawnie porównawczy, więc podatność obecnego systemu trzeba zestawić z ryzykiem utrwalenia niezweryfikowanego łańcucha dostaw — i to drugie ryzyko jest tym mocniejsze, im słabiej opisano wymagania bezpieczeństwa w SWZ.</w:t>
      </w:r>
    </w:p>
    <w:p>
      <w:pPr>
        <w:pStyle w:val="BodyText"/>
      </w:pPr>
      <w:r>
        <w:t>Przenoszalność danych jest zabezpieczeniem po stronie umowy, nie po stronie kryterium. Art. 23 rozporządzenia 2023/2854 nakazuje dostawcom usług przetwarzania danych stosować środki z art. 25, 26, 27, 29 i 30, aby umożliwić klientom zmianę usługi na usługę tego samego typu u innego dostawcy lub przeniesienie do lokalnej infrastruktury ICT, oraz usuwać przeszkody przedkomercyjne, handlowe, techniczne, umowne i organizacyjne. Art. 25 wymaga jasnego określenia praw klienta i obowiązków dostawcy w umowie zawartej na piśmie. Zamawiający, który martwi się o przenoszalność, ma zatem gotowy standard ustawowy do wpisania w projektowane postanowienia umowy — a wykonawca, który go kwestionuje, kwestionuje przepis bezpośrednio stosowany od 12 września 2025 r. ⚠️ [NIEWERYFIKOWANE U ŹRÓDŁA] Reżim opłat za zmianę dostawcy z art. 29 tego rozporządzenia (obniżone opłaty w okresie przejściowym, docelowo ich zniesienie) nie został potwierdzony pełnym tekstem u źródła — próba dwukanałowa: curl do eur-lex.europa.eu HTTP 202 z zerową treścią, web_fetch bez treści renderowanej. Brzmienie art. 23 i art. 25 odzyskano ze snippetu indeksu EUR-Lex.</w:t>
      </w:r>
    </w:p>
    <w:p>
      <w:pPr>
        <w:pStyle w:val="BodyText"/>
      </w:pPr>
      <w:r>
        <w:t>⬛ Kazus nie podaje statusu prawnego „metropolii”, charakteru incydentu ani tego, czy dane osobowe mieszkańców są przekazywane poza Europejski Obszar Gospodarczy. Rozstrzygnięcie warunkowe co do statusu: jeżeli chodzi o miasto, którego urząd zatrudnia na 1 stycznia co najmniej pięćdziesiąt osób w przeliczeniu na pełne etaty, jest to podmiot kluczowy z art. 5 ust. 1 pkt 4 lit. d ustawy o KSC w związku z załącznikiem nr 1, sektor „Podmioty publiczne”, pkt 4, i stosuje art. 8 ust. 1 w pełni; jeżeli chodzi o związek metropolitalny, ten wypada z załącznika nr 1, ponieważ załącznik odsyła do art. 9 pkt 1 oraz pkt 3, 5–6, 8 i 9 ustawy o finansach publicznych, a związki metropolitalne wymieniono odrębnie w art. 9 pkt 2a — wtedy trzeba badać jego jednostki budżetowe pod kątem załącznika nr 2 i podmiot stosuje nie art. 8 ust. 1, lecz załącznik nr 4 do ustawy (art. 8 ust. 3). Rozstrzygnięcie warunkowe co do transferu: przy przekazywaniu danych poza EOG konieczna jest odrębna podstawa z rozdziału V RODO, a art. 28 ust. 3 lit. a RODO wymaga, by przekazanie następowało na udokumentowane polecenie administratora — czego kryterium lokalizacyjne w SWZ nie zastępuje.</w:t>
      </w:r>
    </w:p>
    <w:p>
      <w:pPr>
        <w:pStyle w:val="Heading2"/>
      </w:pPr>
      <w:r>
        <w:t>Macierz argumentów</w:t>
      </w:r>
    </w:p>
    <w:tbl>
      <w:tblPr>
        <w:tblW w:type="auto" w:w="0"/>
        <w:tblLook w:firstColumn="1" w:firstRow="1" w:lastColumn="0" w:lastRow="0" w:noHBand="0" w:noVBand="1" w:val="04A0"/>
      </w:tblPr>
      <w:tblGrid>
        <w:gridCol w:w="3120"/>
        <w:gridCol w:w="3120"/>
        <w:gridCol w:w="3120"/>
      </w:tblGrid>
      <w:tr>
        <w:tc>
          <w:tcPr>
            <w:tcW w:type="dxa" w:w="3120"/>
          </w:tcPr>
          <w:p>
            <w:r>
              <w:t>Zagadnienie</w:t>
            </w:r>
          </w:p>
        </w:tc>
        <w:tc>
          <w:tcPr>
            <w:tcW w:type="dxa" w:w="3120"/>
          </w:tcPr>
          <w:p>
            <w:r>
              <w:t>Argument konkurenta i zamawiającego</w:t>
            </w:r>
          </w:p>
        </w:tc>
        <w:tc>
          <w:tcPr>
            <w:tcW w:type="dxa" w:w="3120"/>
          </w:tcPr>
          <w:p>
            <w:r>
              <w:t>Argument konsorcjum i dostawcy chmury</w:t>
            </w:r>
          </w:p>
        </w:tc>
      </w:tr>
      <w:tr>
        <w:tc>
          <w:tcPr>
            <w:tcW w:type="dxa" w:w="3120"/>
          </w:tcPr>
          <w:p>
            <w:r>
              <w:t>Związek kryterium z przedmiotem</w:t>
            </w:r>
          </w:p>
        </w:tc>
        <w:tc>
          <w:tcPr>
            <w:tcW w:type="dxa" w:w="3120"/>
          </w:tcPr>
          <w:p>
            <w:r>
              <w:t>Kryterium premiuje cechę wykonawcy, nie usługi, więc narusza art. 241 ust. 3 PZP</w:t>
            </w:r>
          </w:p>
        </w:tc>
        <w:tc>
          <w:tcPr>
            <w:tcW w:type="dxa" w:w="3120"/>
          </w:tcPr>
          <w:p>
            <w:r>
              <w:t>Art. 241 ust. 2 PZP obejmuje dowolne aspekty i etapy cyklu życia usługi, a miejsce przetwarzania jest takim aspektem</w:t>
            </w:r>
          </w:p>
        </w:tc>
      </w:tr>
      <w:tr>
        <w:tc>
          <w:tcPr>
            <w:tcW w:type="dxa" w:w="3120"/>
          </w:tcPr>
          <w:p>
            <w:r>
              <w:t>Mierzalność kryterium</w:t>
            </w:r>
          </w:p>
        </w:tc>
        <w:tc>
          <w:tcPr>
            <w:tcW w:type="dxa" w:w="3120"/>
          </w:tcPr>
          <w:p>
            <w:r>
              <w:t>Brak opisu oceny narusza art. 240 ust. 2 PZP i uniemożliwia porównanie ofert</w:t>
            </w:r>
          </w:p>
        </w:tc>
        <w:tc>
          <w:tcPr>
            <w:tcW w:type="dxa" w:w="3120"/>
          </w:tcPr>
          <w:p>
            <w:r>
              <w:t>Zarzut przysługiwał wobec treści dokumentów zamówienia i wygasł w terminie z art. 515 ust. 2 PZP</w:t>
            </w:r>
          </w:p>
        </w:tc>
      </w:tr>
      <w:tr>
        <w:tc>
          <w:tcPr>
            <w:tcW w:type="dxa" w:w="3120"/>
          </w:tcPr>
          <w:p>
            <w:r>
              <w:t>Dyskryminacja</w:t>
            </w:r>
          </w:p>
        </w:tc>
        <w:tc>
          <w:tcPr>
            <w:tcW w:type="dxa" w:w="3120"/>
          </w:tcPr>
          <w:p>
            <w:r>
              <w:t>Premia za lokalizację krajową utrudnia uczciwą konkurencję wbrew art. 16 pkt 1 i art. 99 ust. 4 PZP</w:t>
            </w:r>
          </w:p>
        </w:tc>
        <w:tc>
          <w:tcPr>
            <w:tcW w:type="dxa" w:w="3120"/>
          </w:tcPr>
          <w:p>
            <w:r>
              <w:t>Zamawiający realizuje własny obowiązek z art. 8 ust. 1 pkt 2 lit. e ustawy o KSC, a kryterium nie wyklucza nikogo</w:t>
            </w:r>
          </w:p>
        </w:tc>
      </w:tr>
      <w:tr>
        <w:tc>
          <w:tcPr>
            <w:tcW w:type="dxa" w:w="3120"/>
          </w:tcPr>
          <w:p>
            <w:r>
              <w:t>Prawo unijne</w:t>
            </w:r>
          </w:p>
        </w:tc>
        <w:tc>
          <w:tcPr>
            <w:tcW w:type="dxa" w:w="3120"/>
          </w:tcPr>
          <w:p>
            <w:r>
              <w:t>Art. 4 ust. 1 rozporządzenia 2018/1807 zakazuje wymogów lokalizacji danych poza względami bezpieczeństwa publicznego</w:t>
            </w:r>
          </w:p>
        </w:tc>
        <w:tc>
          <w:tcPr>
            <w:tcW w:type="dxa" w:w="3120"/>
          </w:tcPr>
          <w:p>
            <w:r>
              <w:t>Art. 3 pkt 5 tego rozporządzenia obejmuje przepisy i praktyki powszechne, a nie pojedyncze kryterium w jednej SWZ</w:t>
            </w:r>
          </w:p>
        </w:tc>
      </w:tr>
      <w:tr>
        <w:tc>
          <w:tcPr>
            <w:tcW w:type="dxa" w:w="3120"/>
          </w:tcPr>
          <w:p>
            <w:r>
              <w:t>Referencje grupy</w:t>
            </w:r>
          </w:p>
        </w:tc>
        <w:tc>
          <w:tcPr>
            <w:tcW w:type="dxa" w:w="3120"/>
          </w:tcPr>
          <w:p>
            <w:r>
              <w:t>Art. 118 ust. 2 PZP wymaga, aby podmiot udostępniający doświadczenie wykonał usługi, których ono dotyczy</w:t>
            </w:r>
          </w:p>
        </w:tc>
        <w:tc>
          <w:tcPr>
            <w:tcW w:type="dxa" w:w="3120"/>
          </w:tcPr>
          <w:p>
            <w:r>
              <w:t>Warunek dotyczył sytuacji ekonomicznej, do której ograniczenie z ust. 2 nie ma zastosowania, a odpowiedzialność zapewnia art. 120 PZP</w:t>
            </w:r>
          </w:p>
        </w:tc>
      </w:tr>
      <w:tr>
        <w:tc>
          <w:tcPr>
            <w:tcW w:type="dxa" w:w="3120"/>
          </w:tcPr>
          <w:p>
            <w:r>
              <w:t>Skutek braku zasobu</w:t>
            </w:r>
          </w:p>
        </w:tc>
        <w:tc>
          <w:tcPr>
            <w:tcW w:type="dxa" w:w="3120"/>
          </w:tcPr>
          <w:p>
            <w:r>
              <w:t>Oferta podlega odrzuceniu z art. 226 ust. 1 pkt 2 lit. b PZP</w:t>
            </w:r>
          </w:p>
        </w:tc>
        <w:tc>
          <w:tcPr>
            <w:tcW w:type="dxa" w:w="3120"/>
          </w:tcPr>
          <w:p>
            <w:r>
              <w:t>Zamawiający ma najpierw obowiązek wezwać do zastąpienia podmiotu z art. 122 PZP; odrzucenie bez wezwania jest przedwczesne</w:t>
            </w:r>
          </w:p>
        </w:tc>
      </w:tr>
      <w:tr>
        <w:tc>
          <w:tcPr>
            <w:tcW w:type="dxa" w:w="3120"/>
          </w:tcPr>
          <w:p>
            <w:r>
              <w:t>Utajnienie wyjaśnień</w:t>
            </w:r>
          </w:p>
        </w:tc>
        <w:tc>
          <w:tcPr>
            <w:tcW w:type="dxa" w:w="3120"/>
          </w:tcPr>
          <w:p>
            <w:r>
              <w:t>Zastrzeżenie bez wykazania przesłanek art. 11 ust. 2 uznk jest bezskuteczne, a zaniechanie odtajnienia narusza art. 18 ust. 1 i 3 PZP</w:t>
            </w:r>
          </w:p>
        </w:tc>
        <w:tc>
          <w:tcPr>
            <w:tcW w:type="dxa" w:w="3120"/>
          </w:tcPr>
          <w:p>
            <w:r>
              <w:t>Kalkulacja cenowa i architektura rozwiązania mają wartość gospodarczą, a poufność zabezpieczono należycie</w:t>
            </w:r>
          </w:p>
        </w:tc>
      </w:tr>
      <w:tr>
        <w:tc>
          <w:tcPr>
            <w:tcW w:type="dxa" w:w="3120"/>
          </w:tcPr>
          <w:p>
            <w:r>
              <w:t>Cena</w:t>
            </w:r>
          </w:p>
        </w:tc>
        <w:tc>
          <w:tcPr>
            <w:tcW w:type="dxa" w:w="3120"/>
          </w:tcPr>
          <w:p>
            <w:r>
              <w:t>Konieczne wezwanie z art. 224 ust. 1 PZP, a ciężar wykazania spoczywa na wykonawcy zgodnie z ust. 5</w:t>
            </w:r>
          </w:p>
        </w:tc>
        <w:tc>
          <w:tcPr>
            <w:tcW w:type="dxa" w:w="3120"/>
          </w:tcPr>
          <w:p>
            <w:r>
              <w:t>Wyjaśnienia złożono i są wystarczające; niższa cena wynika ze skali globalnej chmury, co mieści się w art. 224 ust. 3 pkt 2</w:t>
            </w:r>
          </w:p>
        </w:tc>
      </w:tr>
      <w:tr>
        <w:tc>
          <w:tcPr>
            <w:tcW w:type="dxa" w:w="3120"/>
          </w:tcPr>
          <w:p>
            <w:r>
              <w:t>Nowe wymagania</w:t>
            </w:r>
          </w:p>
        </w:tc>
        <w:tc>
          <w:tcPr>
            <w:tcW w:type="dxa" w:w="3120"/>
          </w:tcPr>
          <w:p>
            <w:r>
              <w:t>Zamawiający może uzupełnić wymagania bezpieczeństwa, bo obowiązek wynika z przepisów, nie z jego woli</w:t>
            </w:r>
          </w:p>
        </w:tc>
        <w:tc>
          <w:tcPr>
            <w:tcW w:type="dxa" w:w="3120"/>
          </w:tcPr>
          <w:p>
            <w:r>
              <w:t>Dodanie zarządzania kluczami i audytu po wyborze oferty narusza równe traktowanie z art. 16 pkt 1 PZP i zmienia warunki po otwarciu ofert</w:t>
            </w:r>
          </w:p>
        </w:tc>
      </w:tr>
      <w:tr>
        <w:tc>
          <w:tcPr>
            <w:tcW w:type="dxa" w:w="3120"/>
          </w:tcPr>
          <w:p>
            <w:r>
              <w:t>Podstawa zmiany</w:t>
            </w:r>
          </w:p>
        </w:tc>
        <w:tc>
          <w:tcPr>
            <w:tcW w:type="dxa" w:w="3120"/>
          </w:tcPr>
          <w:p>
            <w:r>
              <w:t>Zmiana mieści się w art. 455 ust. 1 pkt 1 PZP, jeżeli przewidziano ją w dokumentach zamówienia</w:t>
            </w:r>
          </w:p>
        </w:tc>
        <w:tc>
          <w:tcPr>
            <w:tcW w:type="dxa" w:w="3120"/>
          </w:tcPr>
          <w:p>
            <w:r>
              <w:t>Reżim art. 454–455 PZP dotyczy zawartej umowy; przed jej zawarciem jedyną drogą jest unieważnienie postępowania</w:t>
            </w:r>
          </w:p>
        </w:tc>
      </w:tr>
      <w:tr>
        <w:tc>
          <w:tcPr>
            <w:tcW w:type="dxa" w:w="3120"/>
          </w:tcPr>
          <w:p>
            <w:r>
              <w:t>Audyt</w:t>
            </w:r>
          </w:p>
        </w:tc>
        <w:tc>
          <w:tcPr>
            <w:tcW w:type="dxa" w:w="3120"/>
          </w:tcPr>
          <w:p>
            <w:r>
              <w:t>Prawo audytu wynika wprost z art. 28 ust. 3 lit. h RODO i nie jest nowym świadczeniem podlegającym wycenie</w:t>
            </w:r>
          </w:p>
        </w:tc>
        <w:tc>
          <w:tcPr>
            <w:tcW w:type="dxa" w:w="3120"/>
          </w:tcPr>
          <w:p>
            <w:r>
              <w:t>Natychmiastowość audytu i jego zakres wykraczają poza standard umowy powierzenia i wymagają kosztownej gotowości operacyjnej</w:t>
            </w:r>
          </w:p>
        </w:tc>
      </w:tr>
      <w:tr>
        <w:tc>
          <w:tcPr>
            <w:tcW w:type="dxa" w:w="3120"/>
          </w:tcPr>
          <w:p>
            <w:r>
              <w:t>Łańcuch dostaw</w:t>
            </w:r>
          </w:p>
        </w:tc>
        <w:tc>
          <w:tcPr>
            <w:tcW w:type="dxa" w:w="3120"/>
          </w:tcPr>
          <w:p>
            <w:r>
              <w:t>Niezweryfikowany łańcuch dostaw uzasadnia wstrzymanie zawarcia umowy do czasu wyroku Izby</w:t>
            </w:r>
          </w:p>
        </w:tc>
        <w:tc>
          <w:tcPr>
            <w:tcW w:type="dxa" w:w="3120"/>
          </w:tcPr>
          <w:p>
            <w:r>
              <w:t>Odrzucenie oferty za korzystanie z globalnej chmury wymaga decyzji z art. 67b ust. 15 ustawy o KSC, a takiej decyzji nie ma</w:t>
            </w:r>
          </w:p>
        </w:tc>
      </w:tr>
      <w:tr>
        <w:tc>
          <w:tcPr>
            <w:tcW w:type="dxa" w:w="3120"/>
          </w:tcPr>
          <w:p>
            <w:r>
              <w:t>Ciągłość usług</w:t>
            </w:r>
          </w:p>
        </w:tc>
        <w:tc>
          <w:tcPr>
            <w:tcW w:type="dxa" w:w="3120"/>
          </w:tcPr>
          <w:p>
            <w:r>
              <w:t>Podatność obecnego systemu i ryzyko przerwy uzasadniają wniosek z art. 578 ust. 1 PZP</w:t>
            </w:r>
          </w:p>
        </w:tc>
        <w:tc>
          <w:tcPr>
            <w:tcW w:type="dxa" w:w="3120"/>
          </w:tcPr>
          <w:p>
            <w:r>
              <w:t>Uchylenie zakazu utrwali wybór dokonany według wadliwego kryterium i zamknie realną ochronę prawną</w:t>
            </w:r>
          </w:p>
        </w:tc>
      </w:tr>
      <w:tr>
        <w:tc>
          <w:tcPr>
            <w:tcW w:type="dxa" w:w="3120"/>
          </w:tcPr>
          <w:p>
            <w:r>
              <w:t>Przenoszalność</w:t>
            </w:r>
          </w:p>
        </w:tc>
        <w:tc>
          <w:tcPr>
            <w:tcW w:type="dxa" w:w="3120"/>
          </w:tcPr>
          <w:p>
            <w:r>
              <w:t>Art. 23 i art. 25 rozporządzenia 2023/2854 nakazują usunięcie przeszkód w zmianie dostawcy i opisanie ich w umowie</w:t>
            </w:r>
          </w:p>
        </w:tc>
        <w:tc>
          <w:tcPr>
            <w:tcW w:type="dxa" w:w="3120"/>
          </w:tcPr>
          <w:p>
            <w:r>
              <w:t>Obowiązki te obciążają dostawcę usługi przetwarzania danych z mocy prawa i nie wymagają odrębnej wyceny w ofercie</w:t>
            </w:r>
          </w:p>
        </w:tc>
      </w:tr>
    </w:tbl>
    <w:p>
      <w:pPr>
        <w:pStyle w:val="Heading2"/>
      </w:pPr>
      <w:r>
        <w:t>Braki faktyczne i dowody rozstrzygające</w:t>
      </w:r>
    </w:p>
    <w:tbl>
      <w:tblPr>
        <w:tblW w:type="auto" w:w="0"/>
        <w:tblLook w:firstColumn="1" w:firstRow="1" w:lastColumn="0" w:lastRow="0" w:noHBand="0" w:noVBand="1" w:val="04A0"/>
      </w:tblPr>
      <w:tblGrid>
        <w:gridCol w:w="3120"/>
        <w:gridCol w:w="3120"/>
        <w:gridCol w:w="3120"/>
      </w:tblGrid>
      <w:tr>
        <w:tc>
          <w:tcPr>
            <w:tcW w:type="dxa" w:w="3120"/>
          </w:tcPr>
          <w:p>
            <w:r>
              <w:t>Brak</w:t>
            </w:r>
          </w:p>
        </w:tc>
        <w:tc>
          <w:tcPr>
            <w:tcW w:type="dxa" w:w="3120"/>
          </w:tcPr>
          <w:p>
            <w:r>
              <w:t>Dlaczego rozstrzyga</w:t>
            </w:r>
          </w:p>
        </w:tc>
        <w:tc>
          <w:tcPr>
            <w:tcW w:type="dxa" w:w="3120"/>
          </w:tcPr>
          <w:p>
            <w:r>
              <w:t>Dowód, który go usuwa</w:t>
            </w:r>
          </w:p>
        </w:tc>
      </w:tr>
      <w:tr>
        <w:tc>
          <w:tcPr>
            <w:tcW w:type="dxa" w:w="3120"/>
          </w:tcPr>
          <w:p>
            <w:r>
              <w:t>Wartość zamówienia wobec progów unijnych</w:t>
            </w:r>
          </w:p>
        </w:tc>
        <w:tc>
          <w:tcPr>
            <w:tcW w:type="dxa" w:w="3120"/>
          </w:tcPr>
          <w:p>
            <w:r>
              <w:t>Przesądza terminy na odwołanie z art. 515 PZP oraz stosowanie art. 226 ust. 1 pkt 5a PZP</w:t>
            </w:r>
          </w:p>
        </w:tc>
        <w:tc>
          <w:tcPr>
            <w:tcW w:type="dxa" w:w="3120"/>
          </w:tcPr>
          <w:p>
            <w:r>
              <w:t>Protokół postępowania, ustalenie wartości zamówienia, ogłoszenie w Dz. Urz. UE albo w BZP</w:t>
            </w:r>
          </w:p>
        </w:tc>
      </w:tr>
      <w:tr>
        <w:tc>
          <w:tcPr>
            <w:tcW w:type="dxa" w:w="3120"/>
          </w:tcPr>
          <w:p>
            <w:r>
              <w:t>Data wszczęcia postępowania wobec 3 kwietnia 2026 r.</w:t>
            </w:r>
          </w:p>
        </w:tc>
        <w:tc>
          <w:tcPr>
            <w:tcW w:type="dxa" w:w="3120"/>
          </w:tcPr>
          <w:p>
            <w:r>
              <w:t>Przesądza, czy istniały art. 226 ust. 1 pkt 19 PZP i nowe brzmienie pkt 17</w:t>
            </w:r>
          </w:p>
        </w:tc>
        <w:tc>
          <w:tcPr>
            <w:tcW w:type="dxa" w:w="3120"/>
          </w:tcPr>
          <w:p>
            <w:r>
              <w:t>Ogłoszenie o zamówieniu z datą publikacji, protokół, SWZ z datą zamieszczenia</w:t>
            </w:r>
          </w:p>
        </w:tc>
      </w:tr>
      <w:tr>
        <w:tc>
          <w:tcPr>
            <w:tcW w:type="dxa" w:w="3120"/>
          </w:tcPr>
          <w:p>
            <w:r>
              <w:t>Pełne brzmienie kryterium „suwerenności technologicznej” i jego waga punktowa</w:t>
            </w:r>
          </w:p>
        </w:tc>
        <w:tc>
          <w:tcPr>
            <w:tcW w:type="dxa" w:w="3120"/>
          </w:tcPr>
          <w:p>
            <w:r>
              <w:t>Rdzeń zarzutu z art. 240 ust. 2 PZP oraz oceny wpływu na wynik z art. 554 ust. 1 pkt 1 PZP</w:t>
            </w:r>
          </w:p>
        </w:tc>
        <w:tc>
          <w:tcPr>
            <w:tcW w:type="dxa" w:w="3120"/>
          </w:tcPr>
          <w:p>
            <w:r>
              <w:t>SWZ, wyjaśnienia treści SWZ, karty oceny ofert, uzasadnienie wyboru</w:t>
            </w:r>
          </w:p>
        </w:tc>
      </w:tr>
      <w:tr>
        <w:tc>
          <w:tcPr>
            <w:tcW w:type="dxa" w:w="3120"/>
          </w:tcPr>
          <w:p>
            <w:r>
              <w:t>Czy zamawiający stosował to kryterium w innych postępowaniach</w:t>
            </w:r>
          </w:p>
        </w:tc>
        <w:tc>
          <w:tcPr>
            <w:tcW w:type="dxa" w:w="3120"/>
          </w:tcPr>
          <w:p>
            <w:r>
              <w:t>Warunek uznania go za powszechną i spójną praktykę administracyjną z art. 3 pkt 5 rozporządzenia 2018/1807</w:t>
            </w:r>
          </w:p>
        </w:tc>
        <w:tc>
          <w:tcPr>
            <w:tcW w:type="dxa" w:w="3120"/>
          </w:tcPr>
          <w:p>
            <w:r>
              <w:t>Ogłoszenia i SWZ z wcześniejszych postępowań tego zamawiającego, dokumenty polityki zakupowej</w:t>
            </w:r>
          </w:p>
        </w:tc>
      </w:tr>
      <w:tr>
        <w:tc>
          <w:tcPr>
            <w:tcW w:type="dxa" w:w="3120"/>
          </w:tcPr>
          <w:p>
            <w:r>
              <w:t>Data zawiadomienia o wyborze i sposób jego przekazania</w:t>
            </w:r>
          </w:p>
        </w:tc>
        <w:tc>
          <w:tcPr>
            <w:tcW w:type="dxa" w:w="3120"/>
          </w:tcPr>
          <w:p>
            <w:r>
              <w:t>Początek biegu terminu z art. 515 ust. 1 PZP i terminu z art. 264 ust. 1 PZP</w:t>
            </w:r>
          </w:p>
        </w:tc>
        <w:tc>
          <w:tcPr>
            <w:tcW w:type="dxa" w:w="3120"/>
          </w:tcPr>
          <w:p>
            <w:r>
              <w:t>Zawiadomienie z potwierdzeniem wysyłki środkami komunikacji elektronicznej</w:t>
            </w:r>
          </w:p>
        </w:tc>
      </w:tr>
      <w:tr>
        <w:tc>
          <w:tcPr>
            <w:tcW w:type="dxa" w:w="3120"/>
          </w:tcPr>
          <w:p>
            <w:r>
              <w:t>Który warunek udziału potwierdzały referencje spółki z grupy</w:t>
            </w:r>
          </w:p>
        </w:tc>
        <w:tc>
          <w:tcPr>
            <w:tcW w:type="dxa" w:w="3120"/>
          </w:tcPr>
          <w:p>
            <w:r>
              <w:t>Przesądza, czy działa ograniczenie z art. 118 ust. 2 PZP, czy tylko art. 118 ust. 1</w:t>
            </w:r>
          </w:p>
        </w:tc>
        <w:tc>
          <w:tcPr>
            <w:tcW w:type="dxa" w:w="3120"/>
          </w:tcPr>
          <w:p>
            <w:r>
              <w:t>SWZ w części o warunkach udziału, wykaz usług, zobowiązanie z art. 118 ust. 3 PZP</w:t>
            </w:r>
          </w:p>
        </w:tc>
      </w:tr>
      <w:tr>
        <w:tc>
          <w:tcPr>
            <w:tcW w:type="dxa" w:w="3120"/>
          </w:tcPr>
          <w:p>
            <w:r>
              <w:t>Czy spółka z grupy wykona jakąkolwiek część zamówienia</w:t>
            </w:r>
          </w:p>
        </w:tc>
        <w:tc>
          <w:tcPr>
            <w:tcW w:type="dxa" w:w="3120"/>
          </w:tcPr>
          <w:p>
            <w:r>
              <w:t>Jedyna przesłanka dopuszczalności powołania się na cudze doświadczenie</w:t>
            </w:r>
          </w:p>
        </w:tc>
        <w:tc>
          <w:tcPr>
            <w:tcW w:type="dxa" w:w="3120"/>
          </w:tcPr>
          <w:p>
            <w:r>
              <w:t>Zobowiązanie podmiotu udostępniającego zasoby z elementami z art. 118 ust. 4 pkt 3 PZP, umowa konsorcjum, oświadczenie o podwykonawstwie</w:t>
            </w:r>
          </w:p>
        </w:tc>
      </w:tr>
      <w:tr>
        <w:tc>
          <w:tcPr>
            <w:tcW w:type="dxa" w:w="3120"/>
          </w:tcPr>
          <w:p>
            <w:r>
              <w:t>Czy zamawiający wezwał do zastąpienia podmiotu udostępniającego zasoby</w:t>
            </w:r>
          </w:p>
        </w:tc>
        <w:tc>
          <w:tcPr>
            <w:tcW w:type="dxa" w:w="3120"/>
          </w:tcPr>
          <w:p>
            <w:r>
              <w:t>Warunek dopuszczalności odrzucenia oferty i przedmiot ewentualnego zarzutu zaniechania z art. 513 pkt 2 PZP</w:t>
            </w:r>
          </w:p>
        </w:tc>
        <w:tc>
          <w:tcPr>
            <w:tcW w:type="dxa" w:w="3120"/>
          </w:tcPr>
          <w:p>
            <w:r>
              <w:t>Korespondencja z wykonawcą, protokół postępowania wraz z załącznikami</w:t>
            </w:r>
          </w:p>
        </w:tc>
      </w:tr>
      <w:tr>
        <w:tc>
          <w:tcPr>
            <w:tcW w:type="dxa" w:w="3120"/>
          </w:tcPr>
          <w:p>
            <w:r>
              <w:t>Treść uzasadnienia zastrzeżenia tajemnicy przedsiębiorstwa</w:t>
            </w:r>
          </w:p>
        </w:tc>
        <w:tc>
          <w:tcPr>
            <w:tcW w:type="dxa" w:w="3120"/>
          </w:tcPr>
          <w:p>
            <w:r>
              <w:t>Warunek skuteczności zastrzeżenia z art. 18 ust. 3 PZP i przesłanek art. 11 ust. 2 uznk</w:t>
            </w:r>
          </w:p>
        </w:tc>
        <w:tc>
          <w:tcPr>
            <w:tcW w:type="dxa" w:w="3120"/>
          </w:tcPr>
          <w:p>
            <w:r>
              <w:t>Pismo wykonawcy zastrzegające informacje, wyjaśnienia, decyzja zamawiającego o odtajnieniu albo jej brak</w:t>
            </w:r>
          </w:p>
        </w:tc>
      </w:tr>
      <w:tr>
        <w:tc>
          <w:tcPr>
            <w:tcW w:type="dxa" w:w="3120"/>
          </w:tcPr>
          <w:p>
            <w:r>
              <w:t>Relacja ceny oferty do wartości zamówienia i do średniej ofert</w:t>
            </w:r>
          </w:p>
        </w:tc>
        <w:tc>
          <w:tcPr>
            <w:tcW w:type="dxa" w:w="3120"/>
          </w:tcPr>
          <w:p>
            <w:r>
              <w:t>Uruchamia albo wyłącza obowiązek wezwania z art. 224 ust. 2 pkt 1 PZP</w:t>
            </w:r>
          </w:p>
        </w:tc>
        <w:tc>
          <w:tcPr>
            <w:tcW w:type="dxa" w:w="3120"/>
          </w:tcPr>
          <w:p>
            <w:r>
              <w:t>Ustalenie wartości zamówienia, informacja z otwarcia ofert z art. 222 ust. 5 PZP</w:t>
            </w:r>
          </w:p>
        </w:tc>
      </w:tr>
      <w:tr>
        <w:tc>
          <w:tcPr>
            <w:tcW w:type="dxa" w:w="3120"/>
          </w:tcPr>
          <w:p>
            <w:r>
              <w:t>Czy SWZ przewidywała zasady zmiany umowy w zakresie wymagań bezpieczeństwa</w:t>
            </w:r>
          </w:p>
        </w:tc>
        <w:tc>
          <w:tcPr>
            <w:tcW w:type="dxa" w:w="3120"/>
          </w:tcPr>
          <w:p>
            <w:r>
              <w:t>Przesądza dopuszczalność zmiany po zawarciu umowy na podstawie art. 455 ust. 1 pkt 1 PZP</w:t>
            </w:r>
          </w:p>
        </w:tc>
        <w:tc>
          <w:tcPr>
            <w:tcW w:type="dxa" w:w="3120"/>
          </w:tcPr>
          <w:p>
            <w:r>
              <w:t>Projektowane postanowienia umowy, SWZ, wyjaśnienia treści SWZ</w:t>
            </w:r>
          </w:p>
        </w:tc>
      </w:tr>
      <w:tr>
        <w:tc>
          <w:tcPr>
            <w:tcW w:type="dxa" w:w="3120"/>
          </w:tcPr>
          <w:p>
            <w:r>
              <w:t>Status prawny „metropolii”: gmina czy związek metropolitalny</w:t>
            </w:r>
          </w:p>
        </w:tc>
        <w:tc>
          <w:tcPr>
            <w:tcW w:type="dxa" w:w="3120"/>
          </w:tcPr>
          <w:p>
            <w:r>
              <w:t>Przesądza między podmiotem kluczowym z załącznika nr 1 a reżimem załącznika nr 2 i art. 8 ust. 3 ustawy o KSC</w:t>
            </w:r>
          </w:p>
        </w:tc>
        <w:tc>
          <w:tcPr>
            <w:tcW w:type="dxa" w:w="3120"/>
          </w:tcPr>
          <w:p>
            <w:r>
              <w:t>Statut jednostki, uchwała o utworzeniu, dane o zatrudnieniu w urzędzie na 1 stycznia w przeliczeniu na pełne etaty</w:t>
            </w:r>
          </w:p>
        </w:tc>
      </w:tr>
      <w:tr>
        <w:tc>
          <w:tcPr>
            <w:tcW w:type="dxa" w:w="3120"/>
          </w:tcPr>
          <w:p>
            <w:r>
              <w:t>Charakter i skutki incydentu u dostawcy chmury</w:t>
            </w:r>
          </w:p>
        </w:tc>
        <w:tc>
          <w:tcPr>
            <w:tcW w:type="dxa" w:w="3120"/>
          </w:tcPr>
          <w:p>
            <w:r>
              <w:t>Warunek kwalifikacji jako incydentu poważnego i obowiązków z art. 11 ust. 1 pkt 4 i 4a ustawy o KSC</w:t>
            </w:r>
          </w:p>
        </w:tc>
        <w:tc>
          <w:tcPr>
            <w:tcW w:type="dxa" w:w="3120"/>
          </w:tcPr>
          <w:p>
            <w:r>
              <w:t>Zgłoszenie dostawcy, raport powłamaniowy, korespondencja z CSIRT, dane o wpływie na usługi</w:t>
            </w:r>
          </w:p>
        </w:tc>
      </w:tr>
      <w:tr>
        <w:tc>
          <w:tcPr>
            <w:tcW w:type="dxa" w:w="3120"/>
          </w:tcPr>
          <w:p>
            <w:r>
              <w:t>Czy wydano decyzję z art. 67b ust. 15 ustawy o KSC albo rekomendację z art. 33 ust. 4</w:t>
            </w:r>
          </w:p>
        </w:tc>
        <w:tc>
          <w:tcPr>
            <w:tcW w:type="dxa" w:w="3120"/>
          </w:tcPr>
          <w:p>
            <w:r>
              <w:t>Jedyna droga do odrzucenia oferty z art. 226 ust. 1 pkt 19 albo pkt 17 PZP</w:t>
            </w:r>
          </w:p>
        </w:tc>
        <w:tc>
          <w:tcPr>
            <w:tcW w:type="dxa" w:w="3120"/>
          </w:tcPr>
          <w:p>
            <w:r>
              <w:t>Monitor Polski, BIP ministra właściwego do spraw informatyzacji, BIP Pełnomocnika</w:t>
            </w:r>
          </w:p>
        </w:tc>
      </w:tr>
      <w:tr>
        <w:tc>
          <w:tcPr>
            <w:tcW w:type="dxa" w:w="3120"/>
          </w:tcPr>
          <w:p>
            <w:r>
              <w:t>Czy platforma przekazuje dane osobowe poza Europejski Obszar Gospodarczy</w:t>
            </w:r>
          </w:p>
        </w:tc>
        <w:tc>
          <w:tcPr>
            <w:tcW w:type="dxa" w:w="3120"/>
          </w:tcPr>
          <w:p>
            <w:r>
              <w:t>Warunek stosowania rozdziału V RODO i oceny art. 28 ust. 3 lit. a RODO</w:t>
            </w:r>
          </w:p>
        </w:tc>
        <w:tc>
          <w:tcPr>
            <w:tcW w:type="dxa" w:w="3120"/>
          </w:tcPr>
          <w:p>
            <w:r>
              <w:t>Umowa powierzenia, lista podprocesorów, dokumentacja lokalizacji przetwarzania, ocena skutków dla ochrony danych</w:t>
            </w:r>
          </w:p>
        </w:tc>
      </w:tr>
      <w:tr>
        <w:tc>
          <w:tcPr>
            <w:tcW w:type="dxa" w:w="3120"/>
          </w:tcPr>
          <w:p>
            <w:r>
              <w:t>Czy przeprowadzono ocenę skutków dla ochrony danych i oszacowanie ryzyka</w:t>
            </w:r>
          </w:p>
        </w:tc>
        <w:tc>
          <w:tcPr>
            <w:tcW w:type="dxa" w:w="3120"/>
          </w:tcPr>
          <w:p>
            <w:r>
              <w:t>Warunek uzasadnienia żądania lokalnego zarządzania kluczami jako środka z art. 32 ust. 1 RODO</w:t>
            </w:r>
          </w:p>
        </w:tc>
        <w:tc>
          <w:tcPr>
            <w:tcW w:type="dxa" w:w="3120"/>
          </w:tcPr>
          <w:p>
            <w:r>
              <w:t>Dokumentacja oceny skutków, rejestr czynności przetwarzania, analiza ryzyka w systemie zarządzania bezpieczeństwem informacji</w:t>
            </w:r>
          </w:p>
        </w:tc>
      </w:tr>
    </w:tbl>
    <w:p>
      <w:pPr>
        <w:pStyle w:val="Heading2"/>
      </w:pPr>
      <w:r>
        <w:t>Proponowane rozstrzygnięcie</w:t>
      </w:r>
    </w:p>
    <w:p>
      <w:pPr>
        <w:pStyle w:val="FirstParagraph"/>
      </w:pPr>
      <w:r>
        <w:t>W zakresie kryterium oceny ofert: nie budować zarzutu na braku związku z przedmiotem zamówienia, ponieważ art. 241 ust. 2 PZP ten związek uznaje, a art. 241 ust. 3 nie obejmuje lokalizacji infrastruktury. Zarzut oprzeć na art. 240 ust. 2 PZP — kryterium bez opisu sposobu oceny pozostawia nieograniczoną swobodę wyboru i uniemożliwia porównanie ofert — oraz uzupełniająco na art. 16 pkt 1 i art. 99 ust. 4 PZP. Wniosek: nakazanie unieważnienia czynności wyboru i powtórzenia oceny ofert na podstawie art. 554 ust. 3 pkt 1 lit. a i b PZP, a przy uznaniu wady za nieusuwalną — nakazanie unieważnienia postępowania. Sprawdzić w pierwszej kolejności, czy zarzut wobec samego kryterium nie wygasł w terminie z art. 515 ust. 2 PZP; jeżeli wygasł, kierować go wobec czynności oceny, a nie wobec treści SWZ.</w:t>
      </w:r>
    </w:p>
    <w:p>
      <w:pPr>
        <w:pStyle w:val="BodyText"/>
      </w:pPr>
      <w:r>
        <w:t>W zakresie prawa unijnego: powołać art. 4 ust. 1 rozporządzenia 2018/1807 dopiero po ustaleniu, czy kryterium jest elementem powszechnej i spójnej praktyki administracyjnej w rozumieniu art. 3 pkt 5. Przy braku takiego ustalenia używać go jako argumentu wykładniczego wzmacniającego art. 99 ust. 4 PZP, z jawnym zaznaczeniem, że nie jest to samodzielna podstawa. Przy ustaleniu przeciwnym zarzut postawić samodzielnie i przenieść na zamawiającego ciężar wykazania względów bezpieczeństwa publicznego w rozumieniu art. 52 TFUE oraz proporcjonalności, przy czym motyw 13 rozporządzenia wprost obejmuje jego zakresem praktyki administracyjne w dziedzinie zamówień publicznych.</w:t>
      </w:r>
    </w:p>
    <w:p>
      <w:pPr>
        <w:pStyle w:val="BodyText"/>
      </w:pPr>
      <w:r>
        <w:t>W zakresie referencji grupy: zacząć od ustalenia, którego warunku udziału dotyczyły, ponieważ przy warunku sytuacji ekonomicznej lub finansowej zarzut upada u podstaw. Przy warunku doświadczenia żądać nie odrzucenia oferty, lecz nakazania zamawiającemu wezwania z art. 122 PZP, a odrzucenia dopiero jako żądania ewentualnego. Podstawą zarzutu jest art. 118 ust. 2 w związku z art. 118 ust. 4 pkt 3 PZP; sformułowanie żądania od razu jako odrzucenia daje Izbie łatwy powód do oddalenia.</w:t>
      </w:r>
    </w:p>
    <w:p>
      <w:pPr>
        <w:pStyle w:val="BodyText"/>
      </w:pPr>
      <w:r>
        <w:t>W zakresie jawności: żądać nakazania odtajnienia wyjaśnień, wskazując, że art. 18 ust. 3 PZP wymaga wykazania, a nie zastrzeżenia, i że wykazanie musi objąć wszystkie trzy przesłanki art. 11 ust. 2 ustawy o zwalczaniu nieuczciwej konkurencji. Odrębnie i bezwarunkowo żądać udostępnienia informacji z art. 222 ust. 5 PZP, których zastrzec nie można. Nie formułować żądania wglądu do materiału objętego skutecznym zastrzeżeniem — Izba i tak bada pełne akta na podstawie art. 552 ust. 1 PZP, a takie żądanie osłabia zarzut właściwy.</w:t>
      </w:r>
    </w:p>
    <w:p>
      <w:pPr>
        <w:pStyle w:val="BodyText"/>
      </w:pPr>
      <w:r>
        <w:t>W zakresie nowych wymagań: nie prowadzić sporu w kategoriach istotnej zmiany umowy, ponieważ art. 454 i art. 455 PZP dotyczą umowy zawartej, a tej nie ma. Zamawiającemu doradzić rozdzielenie żądań: prawo audytu wprowadzić jako obowiązek istniejący z mocy art. 28 ust. 3 lit. h RODO, bez wyceny; lokalne zarządzanie kluczami — albo uzasadnić wynikiem oszacowania ryzyka z art. 32 ust. 1 RODO i art. 8 ust. 1 pkt 2 lit. k ustawy o KSC i wprowadzić jako element wykonania, albo, jeżeli wykracza poza opis przedmiotu zamówienia, przyjąć konsekwencję i unieważnić postępowanie na podstawie art. 255 pkt 6 PZP. Nie powoływać art. 256 PZP, który po upływie terminu składania ofert jest niedostępny.</w:t>
      </w:r>
    </w:p>
    <w:p>
      <w:pPr>
        <w:pStyle w:val="BodyText"/>
      </w:pPr>
      <w:r>
        <w:t>W zakresie łańcucha dostaw: nie stawiać tezy, że korzystanie z globalnej chmury uzasadnia odrzucenie oferty, ponieważ katalog z art. 226 ust. 1 pkt 17 i 19 PZP jest zamknięty i wymaga aktu ministra albo rekomendacji, których w stanie faktycznym nie ma. Troskę o łańcuch dostaw przenieść do opisu przedmiotu zamówienia i do projektowanych postanowień umowy, opierając ją na art. 8 ust. 1 pkt 2 lit. e i art. 8 ust. 2 ustawy o KSC oraz na obowiązkach dostawcy chmury z art. 8b ust. 1 tej ustawy w związku z rozporządzeniem wykonawczym 2024/2690. Przenoszalność danych zabezpieczyć postanowieniami odzwierciedlającymi art. 23 i art. 25 rozporządzenia 2023/2854, a nie punktacją za lokalizację serwerów.</w:t>
      </w:r>
    </w:p>
    <w:p>
      <w:pPr>
        <w:pStyle w:val="BodyText"/>
      </w:pPr>
      <w:r>
        <w:t>W zakresie środka tymczasowego: wniosek zamawiającego o uchylenie zakazu zawarcia umowy z art. 578 ust. 1 PZP jest dopuszczalny, ale w tym układzie ryzykowny. Test z ust. 2 pkt 1 jest porównawczy, a zamawiający musiałby wykazać, że skutki przerwy w usługach przewyższają skutki utrwalenia wyboru dokonanego według kryterium, którego sposobu oceny nie opisano. Rekomenduję zamiast tego wniosek o rozpoznanie odwołania w trybie przyspieszonym i równoległe uruchomienie zamówienia pomostowego na utrzymanie obecnego systemu w zakresie usunięcia podatności — czyli rozdzielenie pilnej potrzeby bezpieczeństwa od strategicznego zamówienia platformy, których łączenie jest źródłem całego sporu.</w:t>
      </w:r>
    </w:p>
    <w:p>
      <w:pPr>
        <w:pStyle w:val="Heading2"/>
      </w:pPr>
      <w:r>
        <w:t>Bramka środka naprawczego (REM-GATE) — PL-05</w:t>
      </w:r>
    </w:p>
    <w:p>
      <w:pPr>
        <w:pStyle w:val="FirstParagraph"/>
      </w:pPr>
      <w:r>
        <w:t>REM-0 próby: 8 powołań aktów, 8 prób, 7 odzyskanych u źródła, 1 porażka dwukanałowa. Rejestr ELI wydał metadane wraz z listami tekstów jednolitych, dzięki czemu numery pozycji dla PZP, ustawy o KSC, ustawy o zwalczaniu nieuczciwej konkurencji i ustawy o finansach publicznych ustalono z rejestru, a nie z pamięci modelu. EUR-Lex odmówił kanałowi kodu (HTTP 202 z zerową treścią, Imperva), lecz kanał web_fetch wydał pełny tekst rozporządzenia 2018/1807 — co jest czwartym w tym systemie potwierdzeniem, że porażka jednego kanału nie dowodzi niczego o drugim. Rozporządzenie 2023/2854 zawiodło w obu kanałach; art. 23 i art. 25 odzyskano ze snippetu indeksu EUR-Lex, art. 29 pozostaje ⚠️ [NIEWERYFIKOWANE U ŹRÓDŁA]. Brzmienie art. 28 ust. 3 lit. h i art. 32 ust. 1 RODO potwierdzono materiałami organu nadzorczego i dwoma niezależnymi źródłami tekstu.</w:t>
      </w:r>
    </w:p>
    <w:p>
      <w:pPr>
        <w:pStyle w:val="BodyText"/>
      </w:pPr>
      <w:r>
        <w:t>REM-1 oddalenia: 6 oddalonych, każde sparowane z alternatywą rozwiniętą na tę samą głębokość — zarzut braku związku kryterium z przedmiotem (art. 241 ust. 1 i 3 PZP) sparowany z art. 240 ust. 2 PZP; zarzut oparty na pochodzeniu wykonawcy (art. 226 ust. 1 pkt 5a PZP) sparowany z art. 99 ust. 4 PZP; żądanie odrzucenia oferty za referencje grupy sparowane z wezwaniem z art. 122 PZP; spór o istotną zmianę umowy (art. 455 PZP) sparowany z art. 255 pkt 6 PZP; unieważnienie z art. 256 PZP sparowane z art. 255 pkt 6 PZP; odrzucenie oferty za globalną chmurę sparowane z wymaganiami umownymi opartymi na art. 8 ust. 1 pkt 2 lit. e ustawy o KSC. Żadne oddalenie nie zostaje bez drogi zastępczej.</w:t>
      </w:r>
    </w:p>
    <w:p>
      <w:pPr>
        <w:pStyle w:val="BodyText"/>
      </w:pPr>
      <w:r>
        <w:t>REM-2 braki: 13 pozycji ⬛, 13 rozstrzygnięć warunkowych, 0 blokad dopuszczalności. Najbliżej blokady jest data wszczęcia postępowania względem 3 kwietnia 2026 r., i nią nie jest, ponieważ obie gałęzie prowadzą do istniejącej drogi — przed tą datą pozostaje art. 226 ust. 1 pkt 16 PZP i wymagania umowne, po niej dochodzą pkt 17 i 19. Zupełny brak dat w kazusie nie blokuje analizy, ale przenosi ciężar na rejestr braków, który z tego powodu jest w tym arkuszu dłuższy niż analiza jednego zagadnienia.</w:t>
      </w:r>
    </w:p>
    <w:p>
      <w:pPr>
        <w:pStyle w:val="BodyText"/>
      </w:pPr>
      <w:r>
        <w:t>REM-3 instrumenty o niższej mocy: trzy pozycje przedstawiono z jawnym oznaczeniem mocy wiążącej, argumentując je w pełni. Rekomendacje Pełnomocnika z art. 67a ustawy o KSC — stosowanie dobrowolne z mocy ust. 5, więc nie mogą być podstawą odrzucenia oferty ani warunku udziału, co jest ustaleniem negatywnym o realnym ciężarze. Motyw 13 rozporządzenia 2018/1807 — nie jest przepisem, ale rozstrzyga kierunek wykładni art. 3 pkt 5 w części dotyczącej zamówień publicznych i jako taki został rozwinięty, nie wspomniany. Rozporządzenie wykonawcze 2024/2690 — wiążące, lecz adresowane do dostawców, nie do zamawiającego, więc działa przez postanowienia umowne, a nie bezpośrednio w postępowaniu.</w:t>
      </w:r>
    </w:p>
    <w:p>
      <w:pPr>
        <w:pStyle w:val="BodyText"/>
      </w:pPr>
      <w:r>
        <w:t>REM-4 pokrycie: kryteria oceny ofert — PEŁNA; poleganie na zasobach podmiotów trzecich — PEŁNA; jawność i tajemnica przedsiębiorstwa — PEŁNA; zmiana wymagań po wyborze oferty — PEŁNA; cyberbezpieczeństwo i status podmiotowy zamawiającego — PEŁNA; RODO i przenoszalność danych — CIENKA i deklaruję to wprost. Cienkość dotyczy trzech punktów: podstawy przekazywania danych poza Europejski Obszar Gospodarczy w rozdziale V RODO, której nie rozwinięto poza wskazaniem obowiązku; obowiązku oceny skutków dla ochrony danych z art. 35 RODO, którego przesłanek nie przeprowadzono; oraz reżimu opłat za zmianę dostawcy z art. 29 rozporządzenia 2023/2854, nieodzyskanego u źródła.</w:t>
      </w:r>
    </w:p>
    <w:p>
      <w:pPr>
        <w:pStyle w:val="Heading2"/>
      </w:pPr>
      <w:r>
        <w:t>Zweryfikowane pozycje źródłowe (PL-05)</w:t>
      </w:r>
    </w:p>
    <w:p>
      <w:pPr>
        <w:pStyle w:val="FirstParagraph"/>
      </w:pPr>
      <w:r>
        <w:t>Ustawa z dnia 11 września 2019 r. — Prawo zamówień publicznych, tekst jednolity Dz.U. 2026 poz. 793 (obwieszczenie z 27 maja 2026 r., stan prawny na 25 maja 2026 r., numer pozycji ustalony z listy tekstów jednolitych w rejestrze ELI ze statusem „obowiązujący”) — sprawdzono art. 16, art. 16a, art. 16b, art. 18, art. 74, art. 99, art. 112, art. 118–123, art. 224, art. 226, art. 240–243, art. 255–257, art. 264, art. 454–455, art. 505, art. 513, art. 515, art. 552–554, art. 577–579. ✅ [VER: api.sejm.gov.pl/eli, curl 200, pełny tekst PDF, RZĄD 1, 2026-09-07]</w:t>
      </w:r>
    </w:p>
    <w:p>
      <w:pPr>
        <w:pStyle w:val="BodyText"/>
      </w:pPr>
      <w:r>
        <w:t>Ustawa z dnia 5 lipca 2018 r. o krajowym systemie cyberbezpieczeństwa, tekst jednolity Dz.U. 2026 poz. 20 ze zmianą Dz.U. 2026 poz. 252 — sprawdzono art. 4, art. 5, art. 8, art. 8a, art. 8b, art. 11, art. 33, art. 67a–67e oraz załączniki nr 1, 2 i 3. ⚑ Tekst jednolity uwzględnia zmiany ogłoszone przed 23 grudnia 2025 r. i nie obejmuje nowelizacji wdrażającej dyrektywę 2022/2555, która weszła w życie 3 kwietnia 2026 r.; brzmienie ustalono przez zestawienie obu pozycji. ✅ [VER: api.sejm.gov.pl/eli, curl 200, pełne teksty PDF obu pozycji, RZĄD 1, 2026-09-07]</w:t>
      </w:r>
    </w:p>
    <w:p>
      <w:pPr>
        <w:pStyle w:val="BodyText"/>
      </w:pPr>
      <w:r>
        <w:t>Ustawa z dnia 23 stycznia 2026 r. o zmianie ustawy o krajowym systemie cyberbezpieczeństwa oraz niektórych innych ustaw, Dz.U. 2026 poz. 252, wejście w życie 3 kwietnia 2026 r. — sprawdzono art. 1 pkt 8, 10, 16, 17, 19, 34 i 75 oraz art. 17 zmieniający Prawo zamówień publicznych. ✅ [VER: api.sejm.gov.pl/eli, curl 200, pełny tekst PDF, RZĄD 1, 2026-09-07]</w:t>
      </w:r>
    </w:p>
    <w:p>
      <w:pPr>
        <w:pStyle w:val="BodyText"/>
      </w:pPr>
      <w:r>
        <w:t>Ustawa z dnia 16 kwietnia 1993 r. o zwalczaniu nieuczciwej konkurencji, tekst jednolity Dz.U. 2026 poz. 85 — sprawdzono art. 11. ✅ [VER: api.sejm.gov.pl/eli, curl 200, pełny tekst PDF, RZĄD 1, 2026-09-07]</w:t>
      </w:r>
    </w:p>
    <w:p>
      <w:pPr>
        <w:pStyle w:val="BodyText"/>
      </w:pPr>
      <w:r>
        <w:t>Ustawa z dnia 27 sierpnia 2009 r. o finansach publicznych, tekst jednolity Dz.U. 2025 poz. 1483 — sprawdzono art. 9, w szczególności pkt 1, 2, 2a oraz 3, 5–6, 8 i 9, do których odsyła załącznik nr 1 do ustawy o krajowym systemie cyberbezpieczeństwa. ✅ [VER: api.sejm.gov.pl/eli, curl 200, pełny tekst PDF, RZĄD 1, 2026-09-07]</w:t>
      </w:r>
    </w:p>
    <w:p>
      <w:pPr>
        <w:pStyle w:val="BodyText"/>
      </w:pPr>
      <w:r>
        <w:t>Rozporządzenie Parlamentu Europejskiego i Rady (UE) 2018/1807 z dnia 14 listopada 2018 r. w sprawie ram swobodnego przepływu danych nieosobowych w Unii Europejskiej, Dz. Urz. UE L 303 z 28.11.2018, s. 59 — sprawdzono art. 1–5 oraz motywy 13, 18 i 19. ⚑ Kanał kodu odmówił (curl, HTTP 202, zero bajtów); pełny tekst odzyskany kanałem web_fetch. ✅ [VER: eur-lex.europa.eu, web_fetch, pełny tekst polskiej wersji językowej, RZĄD 1, 2026-09-07]</w:t>
      </w:r>
    </w:p>
    <w:p>
      <w:pPr>
        <w:pStyle w:val="BodyText"/>
      </w:pPr>
      <w:r>
        <w:t>Rozporządzenie Parlamentu Europejskiego i Rady (UE) 2016/679 (RODO) — sprawdzono art. 28 ust. 3 lit. a i h oraz art. 32 ust. 1. ⚑ Brzmienie potwierdzone materiałami Prezesa Urzędu Ochrony Danych Osobowych oraz dwoma niezależnymi źródłami tekstu ujednoliconego; pełny tekst u wydawcy nieosiągalny w tej sesji. ✅ [VER: uodo.gov.pl oraz dwa niezależne źródła tekstu, RZĄD 1 dla stanowiska organu i RZĄD 2B dla brzmienia, 2026-09-07]</w:t>
      </w:r>
    </w:p>
    <w:p>
      <w:pPr>
        <w:pStyle w:val="BodyText"/>
      </w:pPr>
      <w:r>
        <w:t>Rozporządzenie Parlamentu Europejskiego i Rady (UE) 2023/2854 (akt w sprawie danych), stosowane od 12 września 2025 r. — art. 23 i art. 25 odzyskane ze snippetu indeksu EUR-Lex. ⚠️ [NIEWERYFIKOWANE U ŹRÓDŁA] art. 29 (opłaty z tytułu zmiany dostawcy) — próba dwukanałowa nieudana: curl do eur-lex.europa.eu HTTP 202 z zerową treścią; web_fetch bez treści renderowanej dla dwóch wariantów adresu.</w:t>
      </w:r>
    </w:p>
    <w:p>
      <w:pPr>
        <w:pStyle w:val="BodyText"/>
      </w:pPr>
      <w:r>
        <w:t>Nie przypisano jednostkom redakcyjnym i przedstawiono jako standard doktrynalny: teza, że wada kryterium oceny ofert, na którym oparto wybór, jest wadą niemożliwą do usunięcia w rozumieniu art. 255 pkt 6 PZP, gdy naprawa wymagałaby oceny według kryterium nieujętego w SWZ; oraz teza, że wycena prawa audytu wynikającego z art. 28 ust. 3 lit. h RODO jako odrębnego świadczenia jest żądaniem zapłaty za wykonanie obowiązku ustawowego. Obie wymagają potwierdzenia orzecznictwem Izby przed powołaniem w piśmie procesowym.</w:t>
      </w:r>
    </w:p>
    <w:p>
      <w:pPr>
        <w:pStyle w:val="Heading1"/>
      </w:pPr>
      <w:r>
        <w:t>Nota do partii 13</w:t>
      </w:r>
    </w:p>
    <w:p>
      <w:pPr>
        <w:pStyle w:val="FirstParagraph"/>
      </w:pPr>
      <w:r>
        <w:t>Trzy obserwacje.</w:t>
      </w:r>
    </w:p>
    <w:p>
      <w:pPr>
        <w:pStyle w:val="BodyText"/>
      </w:pPr>
      <w:r>
        <w:t>Przepis, po który sięga się pierwszy, chroni drugą stronę. Kryterium premiujące krajowe centra danych wygląda na podręcznikowy przykład kryterium oderwanego od przedmiotu zamówienia, a art. 241 ust. 2 PZP definiuje związek tak szeroko — dowolne aspekty, dowolne etapy cyklu życia, nawet elementy nieistotne — że odwołanie zbudowane na art. 241 przegrywa, a zamawiający wychodzi z niego wzmocniony. Wada jest realna i leży o jeden artykuł wcześniej, w wymogu opisania sposobu oceny.</w:t>
      </w:r>
    </w:p>
    <w:p>
      <w:pPr>
        <w:pStyle w:val="BodyText"/>
      </w:pPr>
      <w:r>
        <w:t>Rozporządzenie unijne o chwytliwym tytule ma zakres węższy niż tytuł. „Zakaz wymogów lokalizacji danych” brzmi jak gotowa odpowiedź na kryterium suwerennościowe, dopóki nie przeczyta się definicji z art. 3 pkt 5, która obejmuje przepisy i powszechne, spójne praktyki administracyjne, a nie pojedynczą specyfikację. Przepis nie znika — zmienia się to, co trzeba udowodnić, zanim się go powoła, i kto ponosi ciężar dowodu. Powołanie go bez tego ustalenia jest błędem tej samej klasy co powołanie normy w nieaktualnym brzmieniu.</w:t>
      </w:r>
    </w:p>
    <w:p>
      <w:pPr>
        <w:pStyle w:val="BodyText"/>
      </w:pPr>
      <w:r>
        <w:t>Tekst jednolity bywa nieaktualny w dniu, w którym się go pobiera. Tekst jednolity ustawy o krajowym systemie cyberbezpieczeństwa ogłoszono 9 stycznia 2026 r., a już 2 marca 2026 r. ogłoszono nowelizację wdrażającą dyrektywę NIS 2, która weszła w życie 3 kwietnia 2026 r., przebudowała katalog podmiotów, dodała art. 67a–67e i przez art. 17 wprowadziła nową podstawę odrzucenia oferty do Prawa zamówień publicznych. Kto w tej sprawie oprze się na samym tekście jednolitym, przeoczy zarówno jedyną legalną drogę do odrzucenia oferty z powodu łańcucha dostaw, jak i to, że tej drogi w stanie faktycznym nikt nie otworzył.</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2026-09-07T16:40:17Z</dcterms:created>
  <dcterms:modified xsi:type="dcterms:W3CDTF">2026-09-07T16:40:17Z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12: PL-03</vt:lpwstr>
  </property>
</Properties>
</file>