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Bank</w:t>
      </w:r>
      <w:r>
        <w:t xml:space="preserve"> </w:t>
      </w:r>
      <w:r>
        <w:t xml:space="preserve">kazusów</w:t>
      </w:r>
      <w:r>
        <w:t xml:space="preserve"> </w:t>
      </w:r>
      <w:r>
        <w:t xml:space="preserve">wieloaspektowych</w:t>
      </w:r>
      <w:r>
        <w:t xml:space="preserve"> </w:t>
      </w:r>
      <w:r>
        <w:t xml:space="preserve">—</w:t>
      </w:r>
      <w:r>
        <w:t xml:space="preserve"> </w:t>
      </w:r>
      <w:r>
        <w:t xml:space="preserve">arkusz</w:t>
      </w:r>
      <w:r>
        <w:t xml:space="preserve"> </w:t>
      </w:r>
      <w:r>
        <w:t xml:space="preserve">odpowiedzi</w:t>
      </w:r>
    </w:p>
    <w:p>
      <w:pPr>
        <w:pStyle w:val="Subtitle"/>
      </w:pPr>
      <w:r>
        <w:t xml:space="preserve">Partia</w:t>
      </w:r>
      <w:r>
        <w:t xml:space="preserve"> </w:t>
      </w:r>
      <w:r>
        <w:t xml:space="preserve">14:</w:t>
      </w:r>
      <w:r>
        <w:t xml:space="preserve"> </w:t>
      </w:r>
      <w:r>
        <w:t xml:space="preserve">PL-07</w:t>
      </w:r>
      <w:r>
        <w:t xml:space="preserve"> </w:t>
      </w:r>
      <w:r>
        <w:t xml:space="preserve">(zamknięcie</w:t>
      </w:r>
      <w:r>
        <w:t xml:space="preserve"> </w:t>
      </w:r>
      <w:r>
        <w:t xml:space="preserve">banku</w:t>
      </w:r>
      <w:r>
        <w:t xml:space="preserve"> </w:t>
      </w:r>
      <w:r>
        <w:t xml:space="preserve">kazusów)</w:t>
      </w:r>
    </w:p>
    <w:bookmarkStart w:id="20" w:name="metryka-arkusza"/>
    <w:p>
      <w:pPr>
        <w:pStyle w:val="Heading1"/>
      </w:pPr>
      <w:r>
        <w:t xml:space="preserve">Metryka arkusza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Pozycja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Treść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Zakres partii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Opus 5 (Anthropic)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Tryb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prawny v3.41, fasada</w:t>
            </w:r>
            <w:r>
              <w:t xml:space="preserve"> </w:t>
            </w:r>
            <w:r>
              <w:rPr>
                <w:rStyle w:val="VerbatimChar"/>
              </w:rPr>
              <w:t xml:space="preserve">prawo-polskie-v2</w:t>
            </w:r>
            <w:r>
              <w:t xml:space="preserve">, PRIMARY DR-11, SECONDARY DR-02 i DR-01; bramki CN-GATE i REM-GATE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Weryfikacja źródeł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ELI Sejmu (curl, RZĄD 1) — Kodeks wyborczy Dz.U. 2025 poz. 365, prawo autorskie Dz.U. 2025 poz. 24, Kodeks cywilny Dz.U. 2026 poz. 795; Cellar Urzędu Publikacji UE (curl, RZĄD 1) — akt o usługach cyfrowych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sporządzenia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września 2026 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Uwaga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 zamyka bank kazusów</w:t>
            </w:r>
          </w:p>
        </w:tc>
      </w:tr>
    </w:tbl>
    <w:bookmarkEnd w:id="20"/>
    <w:bookmarkStart w:id="34" w:name="pl-07-deepfake-w-wyborach-samorządowych"/>
    <w:p>
      <w:pPr>
        <w:pStyle w:val="Heading1"/>
      </w:pPr>
      <w:r>
        <w:t xml:space="preserve">PL-07 Deepfake w wyborach samorządowych</w:t>
      </w:r>
    </w:p>
    <w:bookmarkStart w:id="21" w:name="teza-wstępna"/>
    <w:p>
      <w:pPr>
        <w:pStyle w:val="Heading2"/>
      </w:pPr>
      <w:r>
        <w:t xml:space="preserve">Teza wstępna</w:t>
      </w:r>
    </w:p>
    <w:p>
      <w:pPr>
        <w:pStyle w:val="FirstParagraph"/>
      </w:pPr>
      <w:r>
        <w:t xml:space="preserve">Kazus wygląda na spór o deepfake, a rozstrzyga się na trzech definicjach, z których każda przesądza, przeciwko komu i czym można działać w ciągu pozostałych godzin.</w:t>
      </w:r>
    </w:p>
    <w:p>
      <w:pPr>
        <w:pStyle w:val="BodyText"/>
      </w:pPr>
      <w:r>
        <w:t xml:space="preserve">Pierwsza. Art. 109 § 1 Kodeksu wyborczego stanowi, że materiałem wyborczym jest „każdy</w:t>
      </w:r>
      <w:r>
        <w:t xml:space="preserve"> </w:t>
      </w:r>
      <w:r>
        <w:rPr>
          <w:bCs/>
          <w:b/>
        </w:rPr>
        <w:t xml:space="preserve">pochodzący od komitetu wyborczego</w:t>
      </w:r>
      <w:r>
        <w:t xml:space="preserve"> </w:t>
      </w:r>
      <w:r>
        <w:t xml:space="preserve">upubliczniony i utrwalony przekaz informacji mający związek z zarządzonymi wyborami”. Film sponsorowany przez fundację formalnie niezależną od komitetu nie pochodzi od komitetu, więc materiałem wyborczym nie jest. Człon „materiały wyborcze” w art. 111 § 1 wobec fundacji nie działa.</w:t>
      </w:r>
    </w:p>
    <w:p>
      <w:pPr>
        <w:pStyle w:val="BodyText"/>
      </w:pPr>
      <w:r>
        <w:t xml:space="preserve">Druga, i ona ratuje wniosek. Art. 111 § 1 obejmuje nie tylko materiały wyborcze, lecz także „wypowiedzi lub inne formy prowadzonej agitacji wyborczej”. Art. 105 § 1 definiuje agitację jako publiczne nakłanianie lub zachęcanie do głosowania w określony sposób, a art. 106 § 1 stanowi, że agitację może prowadzić każdy komitet wyborczy</w:t>
      </w:r>
      <w:r>
        <w:t xml:space="preserve"> </w:t>
      </w:r>
      <w:r>
        <w:rPr>
          <w:bCs/>
          <w:b/>
        </w:rPr>
        <w:t xml:space="preserve">i każdy wyborca</w:t>
      </w:r>
      <w:r>
        <w:t xml:space="preserve">. Krąg podmiotów prowadzących agitację jest więc szeroki i obejmuje fundację oraz kontrkandydata. Wobec kontrkandydata, który udostępnił film z własnym komentarzem, tryb działa najmocniej i najprościej — jego udostępnienie jest jego własną wypowiedzią agitacyjną, niezależnie od tego, kto film wytworzył.</w:t>
      </w:r>
    </w:p>
    <w:p>
      <w:pPr>
        <w:pStyle w:val="BodyText"/>
      </w:pPr>
      <w:r>
        <w:t xml:space="preserve">Trzecia. Art. 81 ust. 2 pkt 1 ustawy o prawie autorskim zwalnia z obowiązku uzyskania zezwolenia przy rozpowszechnianiu wizerunku osoby powszechnie znanej, „jeżeli wizerunek</w:t>
      </w:r>
      <w:r>
        <w:t xml:space="preserve"> </w:t>
      </w:r>
      <w:r>
        <w:rPr>
          <w:bCs/>
          <w:b/>
        </w:rPr>
        <w:t xml:space="preserve">wykonano</w:t>
      </w:r>
      <w:r>
        <w:t xml:space="preserve"> </w:t>
      </w:r>
      <w:r>
        <w:t xml:space="preserve">w związku z pełnieniem przez nią funkcji publicznych”. Przesłanka odnosi się do okoliczności wykonania wizerunku. Wizerunek syntetyczny nie został wykonany w żadnych okolicznościach — został wygenerowany, a przedstawiona scena nie miała miejsca. Wyjątek nie może więc obejmować części syntetycznej, choć obejmuje wykorzystany fragment prawdziwego wywiadu. Film rozpada się prawnie na dwie części o różnym reżimie i tak trzeba go opisać we wniosku.</w:t>
      </w:r>
    </w:p>
    <w:p>
      <w:pPr>
        <w:pStyle w:val="BodyText"/>
      </w:pPr>
      <w:r>
        <w:t xml:space="preserve">Ustalenie porządkujące. Do ciszy wyborczej pozostały godziny, a art. 111 § 2 przewiduje rozpoznanie wniosku w ciągu 24 godzin, § 3 — zażalenie w ciągu 24 godzin rozpoznawane w ciągu kolejnych 24. Tryb wyborczy jest zatem jedynym narzędziem działającym w dostępnym czasie; roszczenia o dobra osobiste z Kodeksu cywilnego, choć merytorycznie mocniejsze, w tej perspektywie czasowej nie zdążą.</w:t>
      </w:r>
    </w:p>
    <w:bookmarkEnd w:id="21"/>
    <w:bookmarkStart w:id="22" w:name="cn-gate"/>
    <w:p>
      <w:pPr>
        <w:pStyle w:val="Heading2"/>
      </w:pPr>
      <w:r>
        <w:t xml:space="preserve">CN-GATE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Oś sporu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 centralna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Podmiot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Przedmiot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Film jako materiał wyborczy fundacji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109 § 1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— przekaz nie pochodzi od komitetu wyborczego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Film jako agitacja wyborcza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105 § 1 w zw. z art. 106 § 1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— agitację prowadzi każdy wyborca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Udostępnienie przez kontrkandydata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111 § 1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— własna wypowiedź agitacyjna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Wizerunek — część prawdziwa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81 ust. 2 pkt 1 pr. aut.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— wyjątek działa, zezwolenie zbędne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Wizerunek — część syntetyczna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81 ust. 1 pr. aut.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— brak wizerunku „wykonanego”, więc wyjątek nie działa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Prawa do wywiadu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81 pr. aut.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— uprawnionym z prawa autorskiego jest producent wywiadu, nie 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Dobra osobiste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23 i 24 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— cześć i dobre imię; głos jako dobro nienazwane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Zgłoszenie do platformy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16 ust. 1 aktu o usługach cyfrowych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— dostawca usług hostingu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Repozytorium reklam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39 ust. 1–2 aktu o usługach cyfrowych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⬛ obowiązek dotyczy wyłącznie bardzo dużych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</w:tr>
    </w:tbl>
    <w:p>
      <w:pPr>
        <w:pStyle w:val="BodyText"/>
      </w:pPr>
      <w:r>
        <w:t xml:space="preserve">Trzy wyniki „NIE” są rozstrzygające: przenoszą podstawę wobec fundacji z materiału wyborczego na agitację, dzielą film na dwie części o różnym reżimie wizerunkowym i usuwają z pisma Leny roszczenie autorskie, które jej nie przysługuje.</w:t>
      </w:r>
    </w:p>
    <w:bookmarkEnd w:id="22"/>
    <w:bookmarkStart w:id="28" w:name="analiza-według-zagadnień"/>
    <w:p>
      <w:pPr>
        <w:pStyle w:val="Heading2"/>
      </w:pPr>
      <w:r>
        <w:t xml:space="preserve">Analiza według zagadnień</w:t>
      </w:r>
    </w:p>
    <w:bookmarkStart w:id="23" w:name="tryb-wyborczy-i-krąg-adresatów"/>
    <w:p>
      <w:pPr>
        <w:pStyle w:val="Heading3"/>
      </w:pPr>
      <w:r>
        <w:t xml:space="preserve">Tryb wyborczy i krąg adresatów</w:t>
      </w:r>
    </w:p>
    <w:p>
      <w:pPr>
        <w:pStyle w:val="FirstParagraph"/>
      </w:pPr>
      <w:r>
        <w:t xml:space="preserve">Art. 111 § 1 przyznaje legitymację kandydatowi lub pełnomocnikowi wyborczemu zainteresowanego komitetu i pozwala żądać zakazu rozpowszechniania nieprawdziwych informacji, przepadku materiałów, sprostowania, publikacji odpowiedzi, przeproszenia oraz wpłaty do 100 000 zł na rzecz organizacji pożytku publicznego. Katalog jest zamknięty i nie obejmuje żądania usunięcia treści przez platformę — to jest granica trybu, którą trzeba znać przed sformułowaniem wniosku.</w:t>
      </w:r>
    </w:p>
    <w:p>
      <w:pPr>
        <w:pStyle w:val="BodyText"/>
      </w:pPr>
      <w:r>
        <w:t xml:space="preserve">Wobec kontrkandydata podstawa jest najpewniejsza: udostępnienie filmu z komentarzem „mieszkańcy mają prawo wiedzieć” jest jego własną wypowiedzią agitacyjną zawierającą informację nieprawdziwą, jeżeli treść filmu jest nieprawdziwa. Komentarz nie neutralizuje przekazu — przeciwnie, nadaje mu walor wiarygodności.</w:t>
      </w:r>
    </w:p>
    <w:p>
      <w:pPr>
        <w:pStyle w:val="BodyText"/>
      </w:pPr>
      <w:r>
        <w:t xml:space="preserve">Wobec fundacji podstawą jest człon agitacyjny, nie materiałowy. Wniosek musi to wprost artykułować, bo kwalifikacja jako materiału wyborczego zostanie skutecznie zwalczona przez art. 109 § 1.</w:t>
      </w:r>
    </w:p>
    <w:p>
      <w:pPr>
        <w:pStyle w:val="BodyText"/>
      </w:pPr>
      <w:r>
        <w:t xml:space="preserve">Wobec platformy tryb z art. 111 nie działa — platforma nie prowadzi agitacji. Właściwym narzędziem jest zgłoszenie z art. 16 ust. 1 aktu o usługach cyfrowych.</w:t>
      </w:r>
    </w:p>
    <w:p>
      <w:pPr>
        <w:pStyle w:val="BodyText"/>
      </w:pPr>
      <w:r>
        <w:t xml:space="preserve">⬛ Kazus nie podaje, czy fundacja jest wyborcą w rozumieniu art. 106 § 1, czy osobą prawną. Rozstrzygnięcie warunkowe: przy wątpliwości podstawę wobec fundacji budować subsydiarnie, a główny ciężar wniosku kierować przeciwko kontrkandydatowi, wobec którego przesłanki są bezsporne.</w:t>
      </w:r>
    </w:p>
    <w:bookmarkEnd w:id="23"/>
    <w:bookmarkStart w:id="24" w:name="koordynacja"/>
    <w:p>
      <w:pPr>
        <w:pStyle w:val="Heading3"/>
      </w:pPr>
      <w:r>
        <w:t xml:space="preserve">Koordynacja</w:t>
      </w:r>
    </w:p>
    <w:p>
      <w:pPr>
        <w:pStyle w:val="FirstParagraph"/>
      </w:pPr>
      <w:r>
        <w:t xml:space="preserve">Wspólna agencja i wspólny panel reklamowy są poszlakami, nie dowodem. Ustalenie koordynacji wymaga wykazania przepływu informacji lub środków, a nie samej tożsamości wykonawcy. Materiał dostępny w dostępnym czasie: dane z repozytorium reklam, faktury agencji, dane o parametrach kierowania reklamy. Ostatni element jest najmocniejszy — identyczne lub komplementarne parametry ukierunkowania dwóch kampanii wskazują na wspólne planowanie skuteczniej niż tożsamość wykonawcy.</w:t>
      </w:r>
    </w:p>
    <w:p>
      <w:pPr>
        <w:pStyle w:val="BodyText"/>
      </w:pPr>
      <w:r>
        <w:t xml:space="preserve">Znaczenie prawne koordynacji jest podwójne: przesądza o odpowiedzialności komitetu kontrkandydata za wydatki fundacji w reżimie finansowania kampanii oraz o solidarnym charakterze odpowiedzialności za naruszenie dóbr osobistych. ⬛ Kazus nie podaje danych z repozytorium ani umów z agencją.</w:t>
      </w:r>
    </w:p>
    <w:bookmarkEnd w:id="24"/>
    <w:bookmarkStart w:id="25" w:name="dobra-osobiste-wizerunek-głos-i-utwór"/>
    <w:p>
      <w:pPr>
        <w:pStyle w:val="Heading3"/>
      </w:pPr>
      <w:r>
        <w:t xml:space="preserve">Dobra osobiste, wizerunek, głos i utwór</w:t>
      </w:r>
    </w:p>
    <w:p>
      <w:pPr>
        <w:pStyle w:val="FirstParagraph"/>
      </w:pPr>
      <w:r>
        <w:t xml:space="preserve">Cztery różne dobra i cztery różne reżimy — łączenie ich w jedno roszczenie osłabia wszystkie.</w:t>
      </w:r>
    </w:p>
    <w:p>
      <w:pPr>
        <w:pStyle w:val="BodyText"/>
      </w:pPr>
      <w:r>
        <w:t xml:space="preserve">Cześć i dobre imię. Art. 23 KC wymienia je wprost, a art. 24 daje żądanie zaniechania, usunięcia skutków i zadośćuczynienia. Zarzut przyjęcia korzyści w zamian za zmianę planu jest zarzutem korupcyjnym i godzi w cześć w stopniu najwyższym. To jest oś najmocniejsza merytorycznie.</w:t>
      </w:r>
    </w:p>
    <w:p>
      <w:pPr>
        <w:pStyle w:val="BodyText"/>
      </w:pPr>
      <w:r>
        <w:t xml:space="preserve">Wizerunek. Art. 81 ust. 1 wymaga zezwolenia na rozpowszechnianie wizerunku. Wyjątek z ust. 2 pkt 1 dotyczy osoby powszechnie znanej, gdy wizerunek wykonano w związku z pełnieniem funkcji publicznych — Lena jako kandydatka jest osobą powszechnie znaną, więc wobec autentycznego fragmentu wywiadu wyjątek działa i roszczenie wizerunkowe co do tej części upada. Co do części syntetycznej wyjątek nie działa, bo nie istnieje wizerunek „wykonany” w jakichkolwiek okolicznościach. Rozdzielenie to trzeba przeprowadzić samodzielnie, zanim zrobi to przeciwnik.</w:t>
      </w:r>
    </w:p>
    <w:p>
      <w:pPr>
        <w:pStyle w:val="BodyText"/>
      </w:pPr>
      <w:r>
        <w:t xml:space="preserve">Głos. Nie jest wymieniony w art. 23 KC, ale katalog jest otwarty („w szczególności”). Ochrona głosu syntetyzowanego wymaga zatem argumentacji konstrukcyjnej, a nie powołania jednostki — i tak należy ją oznaczyć.</w:t>
      </w:r>
    </w:p>
    <w:p>
      <w:pPr>
        <w:pStyle w:val="BodyText"/>
      </w:pPr>
      <w:r>
        <w:t xml:space="preserve">Utwór. Prawdziwy wywiad jest utworem, ale uprawnionym z praw autorskich jest jego twórca lub producent, nie Lena. Roszczenie autorskie z tytułu wykorzystania wywiadu jej nie przysługuje i umieszczenie go w pozwie jest błędem, który osłabi wiarygodność pozostałych żądań. Właściwym ruchem jest zawiadomienie uprawnionego, który ma własną drogę.</w:t>
      </w:r>
    </w:p>
    <w:bookmarkEnd w:id="25"/>
    <w:bookmarkStart w:id="26" w:name="obowiązki-platformy"/>
    <w:p>
      <w:pPr>
        <w:pStyle w:val="Heading3"/>
      </w:pPr>
      <w:r>
        <w:t xml:space="preserve">Obowiązki platformy</w:t>
      </w:r>
    </w:p>
    <w:p>
      <w:pPr>
        <w:pStyle w:val="FirstParagraph"/>
      </w:pPr>
      <w:r>
        <w:t xml:space="preserve">Art. 16 ust. 1 aktu o usługach cyfrowych nakazuje dostawcom usług hostingu wdrożyć mechanizmy umożliwiające każdemu zgłoszenie obecności informacji, które zgłaszający uważa za nielegalne treści. Oznaczenie treści jako spornej nie jest rozpatrzeniem zgłoszenia — jest środkiem informacyjnym. Prawidłowo sformułowane zgłoszenie, wskazujące podstawę nielegalności i lokalizację treści, przenosi na platformę wiedzę o treści i uruchamia jej obowiązki; dalsze utrzymywanie treści po takim zgłoszeniu jest już decyzją, a nie zaniechaniem.</w:t>
      </w:r>
    </w:p>
    <w:p>
      <w:pPr>
        <w:pStyle w:val="BodyText"/>
      </w:pPr>
      <w:r>
        <w:t xml:space="preserve">Art. 39 ust. 1 nakłada obowiązek prowadzenia publicznego repozytorium reklam wyłącznie na dostawców bardzo dużych platform i bardzo dużych wyszukiwarek. ⬛ Kazus nie podaje statusu platformy — bez wskazania, że jest ona bardzo dużą platformą, zarzut niekompletności repozytorium nie ma adresata. Jeżeli status jest spełniony, ust. 2 wymaga podania między innymi osoby, w imieniu której reklama jest prezentowana (lit. b), oraz — jeżeli jest to inna osoba — osoby, która za reklamę zapłaciła (lit. c), a także parametrów ukierunkowania (lit. e). Niepełne dane sponsora dotyczą dokładnie lit. b i c. Ustęp 1 in fine formułuje jednak standard jako obowiązek dołożenia rozsądnych starań o prawdziwość i kompletność informacji, a nie gwarancję rezultatu — zarzut trzeba więc budować na zaniechaniu starań, nie na samym fakcie niekompletności.</w:t>
      </w:r>
    </w:p>
    <w:p>
      <w:pPr>
        <w:pStyle w:val="BodyText"/>
      </w:pPr>
      <w:r>
        <w:t xml:space="preserve">Odrębnie i pilnie: repozytorium przechowuje informacje przez cały okres prezentowania reklamy i rok po ostatnim jej zaprezentowaniu. Dane o parametrach kierowania są zatem dostępne, ale ich zabezpieczenie należy zgłosić natychmiast, ponieważ ust. 3 przewiduje usunięcie informacji z lit. a–c z repozytorium, jeżeli platforma sama usunie reklamę jako nielegalną. Żądanie usunięcia i żądanie zachowania dowodu są tu w napięciu i trzeba je zgłosić razem.</w:t>
      </w:r>
    </w:p>
    <w:bookmarkEnd w:id="26"/>
    <w:bookmarkStart w:id="27" w:name="standard-dowodu-i-środek-w-trybie-pilnym"/>
    <w:p>
      <w:pPr>
        <w:pStyle w:val="Heading3"/>
      </w:pPr>
      <w:r>
        <w:t xml:space="preserve">Standard dowodu i środek w trybie pilnym</w:t>
      </w:r>
    </w:p>
    <w:p>
      <w:pPr>
        <w:pStyle w:val="FirstParagraph"/>
      </w:pPr>
      <w:r>
        <w:t xml:space="preserve">Materiał dowodowy jest niepełny: prywatny ekspert wykrywa ślady syntezy bez pliku źródłowego, drugi wskazuje na artefakty kompresji. W trybie 24-godzinnym nie da się przeprowadzić dowodu z opinii biegłego, a sąd orzeka na podstawie uprawdopodobnienia.</w:t>
      </w:r>
    </w:p>
    <w:p>
      <w:pPr>
        <w:pStyle w:val="BodyText"/>
      </w:pPr>
      <w:r>
        <w:t xml:space="preserve">Konstrukcja wniosku powinna zatem przenosić ciężar na okoliczności, które da się wykazać dokumentem: brak jakiegokolwiek zapisu spotkania, którego film dotyczy; kalendarz Leny; oświadczenie dewelopera; niepełne dane sponsora w repozytorium. Wykazanie, że przedstawione zdarzenie nie mogło mieć miejsca, jest łatwiejsze i szybsze niż wykazanie, że film jest syntetyczny.</w:t>
      </w:r>
    </w:p>
    <w:p>
      <w:pPr>
        <w:pStyle w:val="BodyText"/>
      </w:pPr>
      <w:r>
        <w:t xml:space="preserve">Środek: zakaz rozpowszechniania z art. 111 § 1 pkt 1 wobec kontrkandydata i fundacji, nakazanie sprostowania z pkt 3 oraz przeproszenia z pkt 5, z terminem publikacji wynikającym z § 4. Nie żądać przepadku materiałów z pkt 2 wobec treści cyfrowej krążącej w komunikatorach — środek jest wobec niej bezprzedmiotowy, a jego zgłoszenie osłabia wniosek. Równolegle, poza trybem wyborczym: zgłoszenie do platformy z art. 16 ust. 1 wraz z żądaniem zabezpieczenia danych reklamowych oraz zabezpieczenie dowodu w postaci kopii filmu z metadanymi.</w:t>
      </w:r>
    </w:p>
    <w:bookmarkEnd w:id="27"/>
    <w:bookmarkEnd w:id="28"/>
    <w:bookmarkStart w:id="29" w:name="macierz-argumentów"/>
    <w:p>
      <w:pPr>
        <w:pStyle w:val="Heading2"/>
      </w:pPr>
      <w:r>
        <w:t xml:space="preserve">Macierz argumentów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Zagadnienie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 Leny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 kontrkandydata i fundacji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Podstawa trybu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 i jego udostępnienie są agitacją wyborczą (art. 105 § 1, art. 106 §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 nie jest materiałem wyborczym, bo nie pochodzi od komitetu (art. 109 §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Udostępnienie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Komentarz nadaje przekazowi walor wiarygodności i jest własną wypowiedzią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Udostępnienie z komentarzem to udział w debacie publicznej, a nie twierdzenie o faktach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Wizerunek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Część syntetyczna nie jest wizerunkiem „wykonanym”, więc wyjątek nie działa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Lena jest osobą powszechnie znaną, a materiał dotyczy pełnienia funkcji publicznych (art. 81 ust. 2 pkt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Utwór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Roszczenie autorskie do wywiadu przysługuje producentowi, nie kandydatce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Koordynacja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Wspólna agencja i wspólny panel wskazują na wspólne planowanie kampanii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Tożsamość wykonawcy nie dowodzi przepływu informacji ani środków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Oznaczenie treści nie jest rozpatrzeniem zgłoszenia z art. 16 ust.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Obowiązek repozytorium dotyczy wyłącznie bardzo dużych platform, a standard to rozsądne starania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Dowód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Wystarczy uprawdopodobnienie, że przedstawione zdarzenie nie miało miejsca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Dwie sprzeczne opinie prywatne nie uprawdopodabniają syntezy</w:t>
            </w:r>
          </w:p>
        </w:tc>
      </w:tr>
    </w:tbl>
    <w:bookmarkEnd w:id="29"/>
    <w:bookmarkStart w:id="30" w:name="braki-faktyczne-i-dowody-rozstrzygające"/>
    <w:p>
      <w:pPr>
        <w:pStyle w:val="Heading2"/>
      </w:pPr>
      <w:r>
        <w:t xml:space="preserve">Braki faktyczne i dowody rozstrzygające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Dlaczego rozstrzyga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Dowód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platformy jako bardzo dużej platformy internetowej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Warunek zastosowania art. 39 aktu o usługach cyfrowych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Wykaz oznaczeń Komisji Europejskiej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prawny fundacji jako wyborcy albo osoby prawnej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Warunek zastosowania art. 106 § 1 KW wobec niej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KRS, statut, dokumenty rejestrowe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Dane z repozytorium reklam: sponsor, płatnik, parametry kierowania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Rdzeń ustalenia koordynacji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Wydruk repozytorium z datą, wniosek do platformy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Umowy i faktury agencji obsługującej oba podmioty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Dowód przepływu środków i wspólnego planowania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Umowy, faktury, korespondencja, dane panelu reklamowego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Plik źródłowy filmu z metadanymi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Warunek rzetelnej opinii o syntezie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Zabezpieczenie od platformy, kopie z komunikatorów z metadanymi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Zapis lub brak zapisu spotkania, którego film dotyczy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Umożliwia dowodzenie negatywne, szybsze niż dowód syntezy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Kalendarz, rejestr wejść, oświadczenie dewelopera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Treść i data zgłoszenia do platformy oraz odpowiedzi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Przesądza moment powstania wiedzy platformy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Potwierdzenie zgłoszenia, korespondencja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Rozliczenia komitetu kontrkandydata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Warunek zarzutu w reżimie finansowania kampanii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Sprawozdanie finansowe komitetu, dokumentacja wydatków</w:t>
            </w:r>
          </w:p>
        </w:tc>
      </w:tr>
    </w:tbl>
    <w:bookmarkEnd w:id="30"/>
    <w:bookmarkStart w:id="31" w:name="proponowane-rozstrzygnięcie"/>
    <w:p>
      <w:pPr>
        <w:pStyle w:val="Heading2"/>
      </w:pPr>
      <w:r>
        <w:t xml:space="preserve">Proponowane rozstrzygnięcie</w:t>
      </w:r>
    </w:p>
    <w:p>
      <w:pPr>
        <w:pStyle w:val="FirstParagraph"/>
      </w:pPr>
      <w:r>
        <w:t xml:space="preserve">W trybie wyborczym: wniosek z art. 111 § 1 pkt 1, 3 i 5 skierowany przede wszystkim przeciwko kontrkandydatowi, którego udostępnienie z komentarzem jest bezspornie własną wypowiedzią agitacyjną, oraz subsydiarnie przeciwko fundacji przez człon agitacyjny, z wyraźnym zastrzeżeniem, że nie powołuje się kwalifikacji materiału wyborczego. Nie żądać przepadku z pkt 2. Wniosek oprzeć na uprawdopodobnieniu nieprawdziwości przedstawionego zdarzenia, a nie na dowodzie syntezy.</w:t>
      </w:r>
    </w:p>
    <w:p>
      <w:pPr>
        <w:pStyle w:val="BodyText"/>
      </w:pPr>
      <w:r>
        <w:t xml:space="preserve">Poza trybem wyborczym: zgłoszenie z art. 16 ust. 1 aktu o usługach cyfrowych z jednoczesnym żądaniem zachowania danych reklamowych, ponieważ usunięcie reklamy jako nielegalnej powoduje usunięcie z repozytorium informacji o sponsorze i płatniku. Roszczenia z art. 24 KC przygotować równolegle, ze świadomością, że ich rozpoznanie nastąpi po wyborach — ich funkcją jest naprawienie skutków, nie zapobieżenie im.</w:t>
      </w:r>
    </w:p>
    <w:p>
      <w:pPr>
        <w:pStyle w:val="BodyText"/>
      </w:pPr>
      <w:r>
        <w:t xml:space="preserve">W zakresie wizerunku: żądanie ograniczyć do części syntetycznej, uzasadniając to brakiem wizerunku wykonanego w okolicznościach objętych wyjątkiem. Roszczenia autorskiego do wywiadu nie zgłaszać; zawiadomić uprawnionego.</w:t>
      </w:r>
    </w:p>
    <w:p>
      <w:pPr>
        <w:pStyle w:val="BodyText"/>
      </w:pPr>
      <w:r>
        <w:t xml:space="preserve">W zakresie koordynacji: nie budować wniosku wyborczego na koordynacji, bo jej wykazanie w 24 godzinach jest nierealne. Zabezpieczyć materiał i wykorzystać go w postępowaniu o finansowanie kampanii oraz w sprawie cywilnej.</w:t>
      </w:r>
    </w:p>
    <w:bookmarkEnd w:id="31"/>
    <w:bookmarkStart w:id="32" w:name="rem-gate-pl-07"/>
    <w:p>
      <w:pPr>
        <w:pStyle w:val="Heading2"/>
      </w:pPr>
      <w:r>
        <w:t xml:space="preserve">REM-GATE — PL-07</w:t>
      </w:r>
    </w:p>
    <w:p>
      <w:pPr>
        <w:pStyle w:val="FirstParagraph"/>
      </w:pPr>
      <w:r>
        <w:t xml:space="preserve">REM-0: 4 powołania, 4 próby, 4 odzyskane, 0 porażek.</w:t>
      </w:r>
    </w:p>
    <w:p>
      <w:pPr>
        <w:pStyle w:val="BodyText"/>
      </w:pPr>
      <w:r>
        <w:t xml:space="preserve">REM-1: 3 oddalone (kwalifikacja filmu jako materiału wyborczego; roszczenie wizerunkowe co do części autentycznej; roszczenie autorskie do wywiadu), 3 sparowane alternatywy (człon agitacyjny art. 111 § 1; roszczenie wizerunkowe ograniczone do części syntetycznej; zawiadomienie uprawnionego z praw do wywiadu). Sprawdzony i odrzucony środek: przepadek materiałów z art. 111 § 1 pkt 2 — bezprzedmiotowy wobec treści cyfrowej.</w:t>
      </w:r>
    </w:p>
    <w:p>
      <w:pPr>
        <w:pStyle w:val="BodyText"/>
      </w:pPr>
      <w:r>
        <w:t xml:space="preserve">REM-2: 8 pozycji ⬛, 8 rozstrzygnięć warunkowych, 0 blokad.</w:t>
      </w:r>
    </w:p>
    <w:p>
      <w:pPr>
        <w:pStyle w:val="BodyText"/>
      </w:pPr>
      <w:r>
        <w:t xml:space="preserve">REM-3: ochrona głosu jako dobra osobistego opiera się na otwartości katalogu z art. 23 KC, a nie na wskazanej jednostce — oznaczone jako argumentacja konstrukcyjna.</w:t>
      </w:r>
    </w:p>
    <w:p>
      <w:pPr>
        <w:pStyle w:val="BodyText"/>
      </w:pPr>
      <w:r>
        <w:t xml:space="preserve">REM-4 pokrycie: tryb wyborczy, dobra osobiste i wizerunek, obowiązki platformy, standard dowodu — PEŁNA. Reżim finansowania kampanii wyborczej i odpowiedzialność komitetu za wydatki podmiotów trzecich — CIENKA i deklaruję to wprost: weryfikowałem art. 105, 106, 109 i 111 Kodeksu wyborczego, a przepisów o finansowaniu kampanii w tej partii nie sprawdzałem.</w:t>
      </w:r>
    </w:p>
    <w:bookmarkEnd w:id="32"/>
    <w:bookmarkStart w:id="33" w:name="zweryfikowane-pozycje-źródłowe-pl-07"/>
    <w:p>
      <w:pPr>
        <w:pStyle w:val="Heading2"/>
      </w:pPr>
      <w:r>
        <w:t xml:space="preserve">Zweryfikowane pozycje źródłowe (PL-07)</w:t>
      </w:r>
    </w:p>
    <w:p>
      <w:pPr>
        <w:pStyle w:val="FirstParagraph"/>
      </w:pPr>
      <w:r>
        <w:t xml:space="preserve">Ustawa z dnia 5 stycznia 2011 r. — Kodeks wyborczy, t.j. Dz.U. 2025 poz. 365 — sprawdzono art. 105 § 1–2, art. 106 § 1–3, art. 109 § 1–3, art. 111 § 1 pkt 1–6 oraz § 2–5. ✅ [VER: api.sejm.gov.pl/eli, curl 200, RZĄD 1, 2026-09-06]</w:t>
      </w:r>
    </w:p>
    <w:p>
      <w:pPr>
        <w:pStyle w:val="BodyText"/>
      </w:pPr>
      <w:r>
        <w:t xml:space="preserve">Ustawa z dnia 4 lutego 1994 r. o prawie autorskim i prawach pokrewnych, t.j. Dz.U. 2025 poz. 24 — sprawdzono art. 81 ust. 1–2 oraz art. 82. ✅ [VER: api.sejm.gov.pl/eli, curl 200, RZĄD 1, 2026-09-06]</w:t>
      </w:r>
    </w:p>
    <w:p>
      <w:pPr>
        <w:pStyle w:val="BodyText"/>
      </w:pPr>
      <w:r>
        <w:t xml:space="preserve">Ustawa z dnia 23 kwietnia 1964 r. — Kodeks cywilny, t.j. Dz.U. 2026 poz. 795 — sprawdzono art. 23 i art. 24. ✅ [VER: api.sejm.gov.pl/eli, curl 200, RZĄD 1, 2026-09-06]</w:t>
      </w:r>
    </w:p>
    <w:p>
      <w:pPr>
        <w:pStyle w:val="BodyText"/>
      </w:pPr>
      <w:r>
        <w:t xml:space="preserve">Rozporządzenie (UE) 2022/2065 (akt o usługach cyfrowych), CELEX 32022R2065 — sprawdzono art. 16 ust. 1 oraz art. 39 ust. 1–3. ✅ [VER: publications.europa.eu, curl 200, pełny tekst polski, RZĄD 1, 2026-09-06]</w:t>
      </w:r>
    </w:p>
    <w:p>
      <w:pPr>
        <w:pStyle w:val="BodyText"/>
      </w:pPr>
      <w:r>
        <w:t xml:space="preserve">Nie przypisano jednostkom redakcyjnym: ochrona głosu jako dobra osobistego; standard uprawdopodobnienia w postępowaniu z art. 111 Kodeksu wyborczego; przesłanki odpowiedzialności komitetu za wydatki podmiotów trzecich; wymogi prawidłowego zgłoszenia w rozumieniu aktu o usługach cyfrowych. Wymagają samodzielnego potwierdzenia.</w:t>
      </w:r>
    </w:p>
    <w:bookmarkEnd w:id="33"/>
    <w:bookmarkEnd w:id="34"/>
    <w:bookmarkStart w:id="35" w:name="nota-końcowa-do-banku-kazusów"/>
    <w:p>
      <w:pPr>
        <w:pStyle w:val="Heading1"/>
      </w:pPr>
      <w:r>
        <w:t xml:space="preserve">Nota końcowa do banku kazusów</w:t>
      </w:r>
    </w:p>
    <w:p>
      <w:pPr>
        <w:pStyle w:val="FirstParagraph"/>
      </w:pPr>
      <w:r>
        <w:t xml:space="preserve">Bank jest zamknięty. Wzorzec, który powtórzył się w czternastu partiach, jest jeden: rozstrzyga zakres normy, nie jej treść. Nagłówek katalogu w art. 8 Statutu Rzymskiego, czas teraźniejszy w definicji kraju pochodzenia, zamknięty katalog dziedzin w ustawie o sygnalistach, słowo „wykonano” w art. 81 prawa autorskiego, zwrot „pochodzący od komitetu wyborczego” w art. 109 Kodeksu wyborczego — każde z tych ustaleń wymagało przeczytania jednostki do końca i żadnego nie da się odtworzyć ze znajomości instytucji.</w:t>
      </w:r>
    </w:p>
    <w:p>
      <w:pPr>
        <w:pStyle w:val="BodyText"/>
      </w:pPr>
      <w:r>
        <w:t xml:space="preserve">Drugi wzorzec: przepis, po który sięga obrona, bywa przepisem, który ją pogrąża. Art. 483 § 3 KSH w PL-06 nie chroni prezesa, tylko dostarcza miary, której nie spełnił. Art. 86 aktu o sztucznej inteligencji w PL-01 uruchamia się dokładnie wtedy, gdy pracodawca skutecznie dowiedzie, że decyzję podjął człowiek.</w:t>
      </w:r>
    </w:p>
    <w:p>
      <w:pPr>
        <w:pStyle w:val="BodyText"/>
      </w:pPr>
      <w:r>
        <w:t xml:space="preserve">Trzeci: oddalenie zarzutu na przesłance nie zwalnia z konstruowania środka. W każdej partii oddalonym osiom towarzyszyła sparowana alternatywa rozwinięta na tę samą głębokość — i to w tym drugim zestawie leży wartość odpowiedzi, nie w pierwszym.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kazusów wieloaspektowych — arkusz odpowiedzi</dc:title>
  <dc:creator/>
  <cp:keywords/>
  <dcterms:created xsi:type="dcterms:W3CDTF">2026-09-07T21:18:55Z</dcterms:created>
  <dcterms:modified xsi:type="dcterms:W3CDTF">2026-09-07T21:18:55Z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Partia 14: PL-07 (zamknięcie banku kazusów)</vt:lpwstr>
  </property>
</Properties>
</file>