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8:</w:t>
      </w:r>
      <w:r>
        <w:t xml:space="preserve"> </w:t>
      </w:r>
      <w:r>
        <w:t xml:space="preserve">K-05</w:t>
      </w:r>
      <w:r>
        <w:t xml:space="preserve"> </w:t>
      </w:r>
      <w:r>
        <w:t xml:space="preserve">–</w:t>
      </w:r>
      <w:r>
        <w:t xml:space="preserve"> </w:t>
      </w:r>
      <w:r>
        <w:t xml:space="preserve">K-06</w:t>
      </w:r>
      <w:r>
        <w:t xml:space="preserve"> </w:t>
      </w:r>
      <w:r>
        <w:t xml:space="preserve">(część</w:t>
      </w:r>
      <w:r>
        <w:t xml:space="preserve"> </w:t>
      </w:r>
      <w:r>
        <w:t xml:space="preserve">międzynarodowa)</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K-05, K-06</w:t>
            </w:r>
          </w:p>
        </w:tc>
      </w:tr>
      <w:tr>
        <w:tc>
          <w:tcPr/>
          <w:p>
            <w:pPr>
              <w:pStyle w:val="Compact"/>
              <w:jc w:val="left"/>
            </w:pPr>
            <w:r>
              <w:t xml:space="preserve">Model</w:t>
            </w:r>
          </w:p>
        </w:tc>
        <w:tc>
          <w:tcPr/>
          <w:p>
            <w:pPr>
              <w:pStyle w:val="Compact"/>
              <w:jc w:val="left"/>
            </w:pPr>
            <w:r>
              <w:t xml:space="preserve">Claude Opus 5 (Anthropic)</w:t>
            </w:r>
          </w:p>
        </w:tc>
      </w:tr>
      <w:tr>
        <w:tc>
          <w:tcPr/>
          <w:p>
            <w:pPr>
              <w:pStyle w:val="Compact"/>
              <w:jc w:val="left"/>
            </w:pPr>
            <w:r>
              <w:t xml:space="preserve">Tryb</w:t>
            </w:r>
          </w:p>
        </w:tc>
        <w:tc>
          <w:tcPr/>
          <w:p>
            <w:pPr>
              <w:pStyle w:val="Compact"/>
              <w:jc w:val="left"/>
            </w:pPr>
            <w:r>
              <w:t xml:space="preserve">Ze skillami — router prawny v3.41, ścieżka UP-5, PRIMARY DR-14; bramki MG-1, MG-2, CN-GATE, REM-GATE</w:t>
            </w:r>
          </w:p>
        </w:tc>
      </w:tr>
      <w:tr>
        <w:tc>
          <w:tcPr/>
          <w:p>
            <w:pPr>
              <w:pStyle w:val="Compact"/>
              <w:jc w:val="left"/>
            </w:pPr>
            <w:r>
              <w:t xml:space="preserve">Weryfikacja źródeł</w:t>
            </w:r>
          </w:p>
        </w:tc>
        <w:tc>
          <w:tcPr/>
          <w:p>
            <w:pPr>
              <w:pStyle w:val="Compact"/>
              <w:jc w:val="left"/>
            </w:pPr>
            <w:r>
              <w:t xml:space="preserve">Depozytariusz UNTS (curl, RZĄD 1) — CISG i CITES; UNOOSA, zbiór ST/SPACE (curl, RZĄD 1) — cztery traktaty kosmiczne; legal.un.org (curl, RZĄD 1) — artykuły KPM. Regulamin arbitrażowy — RZĄD 2A po udokumentowanej porażce obu kanałów</w:t>
            </w:r>
          </w:p>
        </w:tc>
      </w:tr>
      <w:tr>
        <w:tc>
          <w:tcPr/>
          <w:p>
            <w:pPr>
              <w:pStyle w:val="Compact"/>
              <w:jc w:val="left"/>
            </w:pPr>
            <w:r>
              <w:t xml:space="preserve">Data sporządzenia</w:t>
            </w:r>
          </w:p>
        </w:tc>
        <w:tc>
          <w:tcPr/>
          <w:p>
            <w:pPr>
              <w:pStyle w:val="Compact"/>
              <w:jc w:val="left"/>
            </w:pPr>
            <w:r>
              <w:t xml:space="preserve">6 września 2026 r.</w:t>
            </w:r>
          </w:p>
        </w:tc>
      </w:tr>
      <w:tr>
        <w:tc>
          <w:tcPr/>
          <w:p>
            <w:pPr>
              <w:pStyle w:val="Compact"/>
              <w:jc w:val="left"/>
            </w:pPr>
            <w:r>
              <w:t xml:space="preserve">Uwaga</w:t>
            </w:r>
          </w:p>
        </w:tc>
        <w:tc>
          <w:tcPr/>
          <w:p>
            <w:pPr>
              <w:pStyle w:val="Compact"/>
              <w:jc w:val="left"/>
            </w:pPr>
            <w:r>
              <w:t xml:space="preserve">Po tej partii do wykonania pozostaje K-07</w:t>
            </w:r>
          </w:p>
        </w:tc>
      </w:tr>
    </w:tbl>
    <w:bookmarkEnd w:id="20"/>
    <w:bookmarkStart w:id="36" w:name="X9f243d11ba947a94338daacb98d88868fc62979"/>
    <w:p>
      <w:pPr>
        <w:pStyle w:val="Heading1"/>
      </w:pPr>
      <w:r>
        <w:t xml:space="preserve">K-05 Orchis Worldwide przeciwko Darwin Natural Food</w:t>
      </w:r>
    </w:p>
    <w:bookmarkStart w:id="21" w:name="teza-wstępna"/>
    <w:p>
      <w:pPr>
        <w:pStyle w:val="Heading2"/>
      </w:pPr>
      <w:r>
        <w:t xml:space="preserve">Teza wstępna</w:t>
      </w:r>
    </w:p>
    <w:p>
      <w:pPr>
        <w:pStyle w:val="FirstParagraph"/>
      </w:pPr>
      <w:r>
        <w:t xml:space="preserve">Kazus wygląda na spór o zwolnienie z odpowiedzialności przy zmianie regulacyjnej, a rozstrzyga się na tym, do którego załącznika konwencji waszyngtońskiej o handlu gatunkami zagrożonymi trafił gatunek. Różnica między załącznikiem II a I nie jest różnicą stopnia, lecz różnicą rodzaju. Przy załączniku II przywóz wymaga uprzedniego przedstawienia zezwolenia wywozowego albo świadectwa powrotnego wywozu (art. IV ust. 4), a zezwolenie wywozowe wydaje się po spełnieniu trzech przesłanek merytorycznych — przeszkoda jest proceduralna i usuwalna. Przy załączniku I przywóz wymaga uprzedniego uzyskania i przedstawienia zezwolenia przywozowego (art. III ust. 3), a to zezwolenie wydaje się tylko wtedy, gdy organ administracyjny państwa przywozu upewni się, że okaz nie będzie użyty głównie w celach komercyjnych (art. III ust. 3 lit. c). Dostawa dużej partii surowca do linii żywności funkcjonalnej jest użyciem w celach komercyjnych z definicji. Przy załączniku I przeszkoda jest zatem nieusuwalna — a propozycja sprzedawcy, czyli opóźnienie i alternatywna trasa dostawy, jest prawnie bezprzedmiotowa, bo trasa nie zmienia celu użycia.</w:t>
      </w:r>
    </w:p>
    <w:p>
      <w:pPr>
        <w:pStyle w:val="BodyText"/>
      </w:pPr>
      <w:r>
        <w:t xml:space="preserve">Drugie ustalenie porządkujące dotyczy przewidywalności i przesądza zagadnienie czwarte w sposób niekorzystny dla sprzedawcy. Art. XV ust. 1 lit. a konwencji nakazuje przekazać tekst proponowanej zmiany załącznika Sekretariatowi co najmniej 150 dni przed posiedzeniem Konferencji Stron, a Sekretariat komunikuje odpowiedzi wszystkim Stronom nie później niż 30 dni przed posiedzeniem; zmiana wchodzi w życie 90 dni po posiedzeniu (lit. c). Proces jest więc jawny i rozciągnięty na blisko osiem miesięcy. Zawodowy handlowiec surowcem roślinnym objętym reżimem ochrony gatunków działa w otoczeniu, którego kalendarz regulacyjny jest publiczny — a art. 79 ust. 1 konwencji o umowach międzynarodowej sprzedaży towarów wymaga wykazania, że nie można było rozsądnie oczekiwać wzięcia przeszkody pod uwagę w chwili zawarcia umowy.</w:t>
      </w:r>
    </w:p>
    <w:p>
      <w:pPr>
        <w:pStyle w:val="BodyText"/>
      </w:pPr>
      <w:r>
        <w:t xml:space="preserve">Trzecie: reżim zmiany załączników jest indywidualny. Zmiana wiąże wszystkie Strony z wyjątkiem tych, które w ciągu 90 dni złożą zastrzeżenie w formie pisemnej notyfikacji do Rządu depozytariusza; do czasu wycofania zastrzeżenia Strona jest traktowana jak państwo niebędące stroną konwencji w odniesieniu do handlu danym gatunkiem (art. XV ust. 3, art. XXIII ust. 3). Przepis może więc istnieć w tekście i nie wiązać państwa wywozu albo państwa przywozu.</w:t>
      </w:r>
    </w:p>
    <w:bookmarkEnd w:id="21"/>
    <w:bookmarkStart w:id="22" w:name="mapa-jurysdykcji-źródeł-i-kompetencji"/>
    <w:p>
      <w:pPr>
        <w:pStyle w:val="Heading2"/>
      </w:pPr>
      <w:r>
        <w:t xml:space="preserve">Mapa jurysdykcji, źródeł i kompetencji</w:t>
      </w:r>
    </w:p>
    <w:p>
      <w:pPr>
        <w:pStyle w:val="FirstParagraph"/>
      </w:pPr>
      <w:r>
        <w:t xml:space="preserve">Fora i ich zakres. Trybunał arbitrażowy rozstrzyga meritum oraz wnioski o zabezpieczenie kosztów i o zakres ujawnienia. Wniosek o wyłączenie arbitra rozpoznaje organ instytucji arbitrażowej, nie sam trybunał. Sąd siedziby arbitrażu sprawuje kontrolę nad wyrokiem w postępowaniu o uchylenie i to on, a nie trybunał, orzeka ostatecznie o skutkach ewentualnej wadliwości składu. ⬛ Kazus nie podaje siedziby arbitrażu, a od niej zależy prawo właściwe dla postępowania i zakres kontroli sądowej.</w:t>
      </w:r>
    </w:p>
    <w:p>
      <w:pPr>
        <w:pStyle w:val="BodyText"/>
      </w:pPr>
      <w:r>
        <w:t xml:space="preserve">Cztery warstwy, których nie wolno łączyć. Wersja regulaminu proceduralnego, wnioski proceduralne rozpoznawane na jej podstawie, meritum sporu sprzedażowego oraz wysokość szkody to cztery odrębne pytania. W szczególności: zwolnienie sprzedawcy z odpowiedzialności na podstawie art. 79 konwencji sprzedażowej nie przesądza o skuteczności rozwiązania umowy przez kupującego, a skuteczność rozwiązania nie przesądza o sposobie liczenia odszkodowania. Trzy różne przepisy, trzy różne zestawy przesłanek.</w:t>
      </w:r>
    </w:p>
    <w:p>
      <w:pPr>
        <w:pStyle w:val="BodyText"/>
      </w:pPr>
      <w:r>
        <w:t xml:space="preserve">Reżimy i ich moc. Konwencja sprzedażowa i konwencja o handlu gatunkami zagrożonymi wiążą państwa, a nie strony umowy; ta pierwsza działa jednak jako prawo materialne umowy, jeżeli spełnione są warunki jej zastosowania. Regulamin arbitrażowy nie jest źródłem prawa powszechnie obowiązującego — jest zbiorem reguł włączonych do umowy przez odesłanie, i to przesądza sposób rozstrzygania sporu o jego wersję.</w:t>
      </w:r>
    </w:p>
    <w:bookmarkEnd w:id="22"/>
    <w:bookmarkStart w:id="23" w:name="bramki-weryfikacyjne-mg-1-mg-2-cn-gate"/>
    <w:p>
      <w:pPr>
        <w:pStyle w:val="Heading2"/>
      </w:pPr>
      <w:r>
        <w:t xml:space="preserve">Bramki weryfikacyjne (MG-1, MG-2, CN-GATE)</w:t>
      </w:r>
    </w:p>
    <w:p>
      <w:pPr>
        <w:pStyle w:val="FirstParagraph"/>
      </w:pPr>
      <w:r>
        <w:t xml:space="preserve">MG-1 — ratyfikacja, zakres czasowy i podmiotowy. ⬛ Kazus nie podaje, czy państwa siedzib handlowych obu stron są stronami konwencji sprzedażowej ani czy złożyły zastrzeżenia modyfikujące jej zastosowanie; przy braku związania obu stron zastosowanie konwencji zależy od reguł kolizyjnych i od treści umowy. ⬛ Nie podaje, czy państwo wywozu i państwo przywozu są stronami konwencji o handlu gatunkami zagrożonymi. ⬛ Nie podaje, czy którekolwiek z nich złożyło zastrzeżenie do zmiany załącznika w trybie art. XV ust. 3 — a zastrzeżenie po stronie państwa wywozu albo przywozu zmienia sytuację diametralnie, bo Strona zastrzegająca jest w handlu tym gatunkiem traktowana jak państwo niebędące stroną. ⬛ Nie podaje daty zawarcia umowy wobec daty przekazania propozycji zmiany Sekretariatowi ani wobec upływu 90 dni od posiedzenia. ⬛ Nie podaje siedziby arbitrażu.</w:t>
      </w:r>
    </w:p>
    <w:p>
      <w:pPr>
        <w:pStyle w:val="BodyText"/>
      </w:pPr>
      <w:r>
        <w:t xml:space="preserve">Retroakcja: umowę zawarto przed wejściem zmiany w życie, a jej skutki mają nastąpić po. Nie jest to jednak problem nieretroakcji traktatu — zmiana działa na przyszłość i nie ingeruje w umowę wstecz. Problemem jest wyłącznie rozkład ryzyka zmiany prawa między stronami umowy, a to jest kwestia konwencji sprzedażowej i treści kontraktu.</w:t>
      </w:r>
    </w:p>
    <w:p>
      <w:pPr>
        <w:pStyle w:val="BodyText"/>
      </w:pPr>
      <w:r>
        <w:t xml:space="preserve">MG-2 — wykładnia i krawędzie jednostek.</w:t>
      </w:r>
    </w:p>
    <w:p>
      <w:pPr>
        <w:pStyle w:val="BodyText"/>
      </w:pPr>
      <w:r>
        <w:t xml:space="preserve">S1 definicje: 1 trafienie rozstrzygające. Art. III ust. 3 lit. c konwencji o handlu gatunkami zagrożonymi — przesłanka „nie do wykorzystania głównie w celach komercyjnych” jako warunek zezwolenia przywozowego przy załączniku I. Jest to przesłanka jakościowa dotycząca celu, a nie przynależności rodzajowej okazu; przesądza o tym, czy przeszkoda jest przezwyciężalna.</w:t>
      </w:r>
    </w:p>
    <w:p>
      <w:pPr>
        <w:pStyle w:val="BodyText"/>
      </w:pPr>
      <w:r>
        <w:t xml:space="preserve">S2 krawędzie: 3 trafienia. Art. XV ust. 3 — zastrzeżenie do zmiany załącznika, składane w ciągu 90 dni, ze skutkiem traktowania Strony jak państwa niebędącego stroną; jednostka położona po dwóch obszernych ustępach proceduralnych i przez to czytana jako element procedury głosowania, a nie jako reguła zakresu podmiotowego. Art. XXIII ust. 1–3 — reżim zastrzeżeń szczególnych, umieszczony na końcu konwencji, poza częścią o handlu. Art. 80 konwencji sprzedażowej — strona nie może powoływać się na niewykonanie przez drugą stronę w zakresie, w jakim to niewykonanie zostało spowodowane jej własnym działaniem lub zaniechaniem; jednostka domykająca sekcję o zwolnieniach, systematycznie pomijana obok art. 79, a mogąca rozstrzygnąć sprawę bez wchodzenia w art. 79 wcale.</w:t>
      </w:r>
    </w:p>
    <w:p>
      <w:pPr>
        <w:pStyle w:val="BodyText"/>
      </w:pPr>
      <w:r>
        <w:t xml:space="preserve">S3 instrumenty i jednostki powiązane: 2 trafienia. Art. XV ust. 1 lit. a i c konwencji o handlu gatunkami zagrożonymi jako miernik przewidywalności zmiany — kalendarz 150 dni, 30 dni i 90 dni. Art. 73 konwencji sprzedażowej jako reżim właściwy dla umów o dostawę partiami, zamiast odruchowo powoływanego art. 49.</w:t>
      </w:r>
    </w:p>
    <w:p>
      <w:pPr>
        <w:pStyle w:val="BodyText"/>
      </w:pPr>
      <w:r>
        <w:t xml:space="preserve">S4 nowelizacje i reguły temporalne: 1 trafienie. Reguła zakresu zastosowania regulaminu arbitrażowego — sprawdzona w tekście źródłowym dla tego konkretnego systemu, nie założona z analogii do innych instytucji.</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CN-1 czas</w:t>
            </w:r>
          </w:p>
        </w:tc>
        <w:tc>
          <w:tcPr/>
          <w:p>
            <w:pPr>
              <w:pStyle w:val="Compact"/>
              <w:jc w:val="left"/>
            </w:pPr>
            <w:r>
              <w:t xml:space="preserve">CN-2 podmiot</w:t>
            </w:r>
          </w:p>
        </w:tc>
        <w:tc>
          <w:tcPr/>
          <w:p>
            <w:pPr>
              <w:pStyle w:val="Compact"/>
              <w:jc w:val="left"/>
            </w:pPr>
            <w:r>
              <w:t xml:space="preserve">CN-3 przedmiot</w:t>
            </w:r>
          </w:p>
        </w:tc>
      </w:tr>
      <w:tr>
        <w:tc>
          <w:tcPr/>
          <w:p>
            <w:pPr>
              <w:pStyle w:val="Compact"/>
              <w:jc w:val="left"/>
            </w:pPr>
            <w:r>
              <w:t xml:space="preserve">Wersja regulaminu</w:t>
            </w:r>
          </w:p>
        </w:tc>
        <w:tc>
          <w:tcPr/>
          <w:p>
            <w:pPr>
              <w:pStyle w:val="Compact"/>
              <w:jc w:val="left"/>
            </w:pPr>
            <w:r>
              <w:t xml:space="preserve">reguła zakresu zastosowania regulaminu</w:t>
            </w:r>
          </w:p>
        </w:tc>
        <w:tc>
          <w:tcPr/>
          <w:p>
            <w:pPr>
              <w:pStyle w:val="Compact"/>
              <w:jc w:val="left"/>
            </w:pPr>
            <w:r>
              <w:t xml:space="preserve">⬛ data wszczęcia wobec daty wejścia w życie wersji</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Zakres ujawnienia finansowania</w:t>
            </w:r>
          </w:p>
        </w:tc>
        <w:tc>
          <w:tcPr/>
          <w:p>
            <w:pPr>
              <w:pStyle w:val="Compact"/>
              <w:jc w:val="left"/>
            </w:pPr>
            <w:r>
              <w:t xml:space="preserve">postanowienia regulaminu o ujawnieniu i o konflikcie interesów</w:t>
            </w:r>
          </w:p>
        </w:tc>
        <w:tc>
          <w:tcPr/>
          <w:p>
            <w:pPr>
              <w:pStyle w:val="Compact"/>
              <w:jc w:val="left"/>
            </w:pPr>
            <w:r>
              <w:t xml:space="preserve">⬛ zależy od wersji</w:t>
            </w:r>
          </w:p>
        </w:tc>
        <w:tc>
          <w:tcPr/>
          <w:p>
            <w:pPr>
              <w:pStyle w:val="Compact"/>
              <w:jc w:val="left"/>
            </w:pPr>
            <w:r>
              <w:t xml:space="preserve">TAK</w:t>
            </w:r>
          </w:p>
        </w:tc>
        <w:tc>
          <w:tcPr/>
          <w:p>
            <w:pPr>
              <w:pStyle w:val="Compact"/>
              <w:jc w:val="left"/>
            </w:pPr>
            <w:r>
              <w:t xml:space="preserve">warunkowo — cel ujawnienia wyznacza zakres</w:t>
            </w:r>
          </w:p>
        </w:tc>
      </w:tr>
      <w:tr>
        <w:tc>
          <w:tcPr/>
          <w:p>
            <w:pPr>
              <w:pStyle w:val="Compact"/>
              <w:jc w:val="left"/>
            </w:pPr>
            <w:r>
              <w:t xml:space="preserve">Zabezpieczenie kosztów</w:t>
            </w:r>
          </w:p>
        </w:tc>
        <w:tc>
          <w:tcPr/>
          <w:p>
            <w:pPr>
              <w:pStyle w:val="Compact"/>
              <w:jc w:val="left"/>
            </w:pPr>
            <w:r>
              <w:t xml:space="preserve">postanowienia regulaminu o zabezpieczeniu kosztów</w:t>
            </w:r>
          </w:p>
        </w:tc>
        <w:tc>
          <w:tcPr/>
          <w:p>
            <w:pPr>
              <w:pStyle w:val="Compact"/>
              <w:jc w:val="left"/>
            </w:pPr>
            <w:r>
              <w:t xml:space="preserve">⬛ zależy od wersji</w:t>
            </w:r>
          </w:p>
        </w:tc>
        <w:tc>
          <w:tcPr/>
          <w:p>
            <w:pPr>
              <w:pStyle w:val="Compact"/>
              <w:jc w:val="left"/>
            </w:pPr>
            <w:r>
              <w:t xml:space="preserve">TAK</w:t>
            </w:r>
          </w:p>
        </w:tc>
        <w:tc>
          <w:tcPr/>
          <w:p>
            <w:pPr>
              <w:pStyle w:val="Compact"/>
              <w:jc w:val="left"/>
            </w:pPr>
            <w:r>
              <w:t xml:space="preserve">⬛ brak danych o sytuacji finansowej kupującego</w:t>
            </w:r>
          </w:p>
        </w:tc>
      </w:tr>
      <w:tr>
        <w:tc>
          <w:tcPr/>
          <w:p>
            <w:pPr>
              <w:pStyle w:val="Compact"/>
              <w:jc w:val="left"/>
            </w:pPr>
            <w:r>
              <w:t xml:space="preserve">Wyłączenie arbitra</w:t>
            </w:r>
          </w:p>
        </w:tc>
        <w:tc>
          <w:tcPr/>
          <w:p>
            <w:pPr>
              <w:pStyle w:val="Compact"/>
              <w:jc w:val="left"/>
            </w:pPr>
            <w:r>
              <w:t xml:space="preserve">postanowienia regulaminu o wyzwaniu arbitra</w:t>
            </w:r>
          </w:p>
        </w:tc>
        <w:tc>
          <w:tcPr/>
          <w:p>
            <w:pPr>
              <w:pStyle w:val="Compact"/>
              <w:jc w:val="left"/>
            </w:pPr>
            <w:r>
              <w:t xml:space="preserve">⬛ zależy od wersji</w:t>
            </w:r>
          </w:p>
        </w:tc>
        <w:tc>
          <w:tcPr/>
          <w:p>
            <w:pPr>
              <w:pStyle w:val="Compact"/>
              <w:jc w:val="left"/>
            </w:pPr>
            <w:r>
              <w:t xml:space="preserve">TAK</w:t>
            </w:r>
          </w:p>
        </w:tc>
        <w:tc>
          <w:tcPr/>
          <w:p>
            <w:pPr>
              <w:pStyle w:val="Compact"/>
              <w:jc w:val="left"/>
            </w:pPr>
            <w:r>
              <w:t xml:space="preserve">⬛ nieokreślony charakter relacji</w:t>
            </w:r>
          </w:p>
        </w:tc>
      </w:tr>
      <w:tr>
        <w:tc>
          <w:tcPr/>
          <w:p>
            <w:pPr>
              <w:pStyle w:val="Compact"/>
              <w:jc w:val="left"/>
            </w:pPr>
            <w:r>
              <w:t xml:space="preserve">Zwolnienie sprzedawcy</w:t>
            </w:r>
          </w:p>
        </w:tc>
        <w:tc>
          <w:tcPr/>
          <w:p>
            <w:pPr>
              <w:pStyle w:val="Compact"/>
              <w:jc w:val="left"/>
            </w:pPr>
            <w:r>
              <w:t xml:space="preserve">art. 79 ust. 1 konwencji sprzedażowej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zależy od załącznika i od daty zawarcia umowy</w:t>
            </w:r>
          </w:p>
        </w:tc>
      </w:tr>
      <w:tr>
        <w:tc>
          <w:tcPr/>
          <w:p>
            <w:pPr>
              <w:pStyle w:val="Compact"/>
              <w:jc w:val="left"/>
            </w:pPr>
            <w:r>
              <w:t xml:space="preserve">Rozkład obowiązku uzyskania zezwoleń</w:t>
            </w:r>
          </w:p>
        </w:tc>
        <w:tc>
          <w:tcPr/>
          <w:p>
            <w:pPr>
              <w:pStyle w:val="Compact"/>
              <w:jc w:val="left"/>
            </w:pPr>
            <w:r>
              <w:t xml:space="preserve">brak reguły domyślnej w konwencji sprzedażowej</w:t>
            </w:r>
          </w:p>
        </w:tc>
        <w:tc>
          <w:tcPr/>
          <w:p>
            <w:pPr>
              <w:pStyle w:val="Compact"/>
              <w:jc w:val="left"/>
            </w:pPr>
            <w:r>
              <w:t xml:space="preserve">—</w:t>
            </w:r>
          </w:p>
        </w:tc>
        <w:tc>
          <w:tcPr/>
          <w:p>
            <w:pPr>
              <w:pStyle w:val="Compact"/>
              <w:jc w:val="left"/>
            </w:pPr>
            <w:r>
              <w:t xml:space="preserve">—</w:t>
            </w:r>
          </w:p>
        </w:tc>
        <w:tc>
          <w:tcPr/>
          <w:p>
            <w:pPr>
              <w:pStyle w:val="Compact"/>
              <w:jc w:val="left"/>
            </w:pPr>
            <w:r>
              <w:t xml:space="preserve">⬛ wynika z umowy, zwyczaju lub praktyki stron</w:t>
            </w:r>
          </w:p>
        </w:tc>
      </w:tr>
      <w:tr>
        <w:tc>
          <w:tcPr/>
          <w:p>
            <w:pPr>
              <w:pStyle w:val="Compact"/>
              <w:jc w:val="left"/>
            </w:pPr>
            <w:r>
              <w:t xml:space="preserve">Skuteczność rozwiązania</w:t>
            </w:r>
          </w:p>
        </w:tc>
        <w:tc>
          <w:tcPr/>
          <w:p>
            <w:pPr>
              <w:pStyle w:val="Compact"/>
              <w:jc w:val="left"/>
            </w:pPr>
            <w:r>
              <w:t xml:space="preserve">art. 73 konwencji sprzedażowej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dostawa w kilku transzach</w:t>
            </w:r>
          </w:p>
        </w:tc>
      </w:tr>
      <w:tr>
        <w:tc>
          <w:tcPr/>
          <w:p>
            <w:pPr>
              <w:pStyle w:val="Compact"/>
              <w:jc w:val="left"/>
            </w:pPr>
            <w:r>
              <w:t xml:space="preserve">Rozwiązanie całości umowy</w:t>
            </w:r>
          </w:p>
        </w:tc>
        <w:tc>
          <w:tcPr/>
          <w:p>
            <w:pPr>
              <w:pStyle w:val="Compact"/>
              <w:jc w:val="left"/>
            </w:pPr>
            <w:r>
              <w:t xml:space="preserve">art. 49 konwencji sprzedażowej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art. 49 dotyczy umowy o jednorazową dostawę; przy dostawie partiami reżimem właściwym jest art. 73</w:t>
            </w:r>
          </w:p>
        </w:tc>
      </w:tr>
      <w:tr>
        <w:tc>
          <w:tcPr/>
          <w:p>
            <w:pPr>
              <w:pStyle w:val="Compact"/>
              <w:jc w:val="left"/>
            </w:pPr>
            <w:r>
              <w:t xml:space="preserve">Odszkodowanie</w:t>
            </w:r>
          </w:p>
        </w:tc>
        <w:tc>
          <w:tcPr/>
          <w:p>
            <w:pPr>
              <w:pStyle w:val="Compact"/>
              <w:jc w:val="left"/>
            </w:pPr>
            <w:r>
              <w:t xml:space="preserve">art. 75 konwencji sprzedażowej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warunkowo — tylko w zakresie skutecznego rozwiązania</w:t>
            </w:r>
          </w:p>
        </w:tc>
      </w:tr>
    </w:tbl>
    <w:p>
      <w:pPr>
        <w:pStyle w:val="BodyText"/>
      </w:pPr>
      <w:r>
        <w:t xml:space="preserve">Jeden wynik „NIE” jest rozstrzygający i przenosi oś rozwiązania umowy z art. 49 na art. 73. Sześć ⬛ przechodzi do REM-GATE jako rozstrzygnięcia warunkowe.</w:t>
      </w:r>
    </w:p>
    <w:bookmarkEnd w:id="23"/>
    <w:bookmarkStart w:id="30" w:name="analiza-materialna-według-zagadnień"/>
    <w:p>
      <w:pPr>
        <w:pStyle w:val="Heading2"/>
      </w:pPr>
      <w:r>
        <w:t xml:space="preserve">Analiza materialna według zagadnień</w:t>
      </w:r>
    </w:p>
    <w:bookmarkStart w:id="24" w:name="X359e9b222a3d040eb8a3f0c7af67d98a2a2daeb"/>
    <w:p>
      <w:pPr>
        <w:pStyle w:val="Heading3"/>
      </w:pPr>
      <w:r>
        <w:t xml:space="preserve">Zagadnienie 1: która wersja regulaminu i według jakiej reguły temporalnej</w:t>
      </w:r>
    </w:p>
    <w:p>
      <w:pPr>
        <w:pStyle w:val="FirstParagraph"/>
      </w:pPr>
      <w:r>
        <w:t xml:space="preserve">Reguła nie jest uniwersalna i nie wolno jej przyjąć przez analogię. Systemy proceduralne tego samego rodzaju wskazują różne chwile miarodajne: jedne wiążą wersję regulaminu z chwilą wyrażenia zgody na arbitraż, inne z chwilą faktycznego wszczęcia postępowania. Kierunek trzeba odczytać z tekstu źródłowego dla konkretnej instytucji.</w:t>
      </w:r>
    </w:p>
    <w:p>
      <w:pPr>
        <w:pStyle w:val="BodyText"/>
      </w:pPr>
      <w:r>
        <w:t xml:space="preserve">W tym systemie reguła zakresu zastosowania stanowi, że regulamin wchodzi w życie z określoną datą i — o ile strony nie postanowiły inaczej — stosuje się do każdego postępowania arbitrażowego wszczętego w tej dacie lub później. ⚠️ [RZĄD 2A — baza odtwarzająca tekst regulaminu; kanał RZĘDU 1 niedostępny: siac.org.sg — curl 403 na dwóch ścieżkach, web_fetch odmowa z detekcją bota. Pomiar 2026-09-06] Punktem odniesienia jest zatem chwila wszczęcia postępowania, nie chwila zawarcia umowy. Znacznik dotyczy statusu powołania i nie osłabia wywodu.</w:t>
      </w:r>
    </w:p>
    <w:p>
      <w:pPr>
        <w:pStyle w:val="BodyText"/>
      </w:pPr>
      <w:r>
        <w:t xml:space="preserve">Konstrukcja tej reguły ma dwa człony i drugi jest tym, o który spór się toczy. Człon pierwszy to domniemanie: klauzula odsyłająca do regulaminu instytucji bez wskazania wersji odsyła do wersji obowiązującej w chwili wszczęcia, ponieważ regulamin zawiera głównie postanowienia proceduralne, a strony nie zamrażają procedury w chwili podpisania. Człon drugi to obalalność: domniemanie ustępuje, jeżeli z brzmienia klauzuli albo umowy wynika zamiar stron związania wersją z chwili zawarcia — typowo przez zwrot „w brzmieniu obowiązującym w dniu zawarcia umowy”. Kazus podaje, że klauzula nie wskazywała jednoznacznie wersji. ⬛ Nie podaje jej dosłownego brzmienia, a to jest brak przesądzający.</w:t>
      </w:r>
    </w:p>
    <w:p>
      <w:pPr>
        <w:pStyle w:val="BodyText"/>
      </w:pPr>
      <w:r>
        <w:t xml:space="preserve">Rozstrzygnięcie warunkowe. Jeżeli klauzula odsyła do regulaminu bez zastrzeżenia wersji — stosuje się wersję z chwili wszczęcia postępowania, ze wszystkimi jej instrumentami, w tym z obowiązkami ujawnienia finansowania i z podstawami zabezpieczenia kosztów. Jeżeli klauzula zawiera zwrot wiążący wersję z datą umowy — stosuje się wersję z chwili podpisania, a instrumenty wprowadzone później nie są dostępne żadnej ze stron.</w:t>
      </w:r>
    </w:p>
    <w:p>
      <w:pPr>
        <w:pStyle w:val="BodyText"/>
      </w:pPr>
      <w:r>
        <w:t xml:space="preserve">Warto nazwać konsekwencję, która odwraca zwykły układ interesów. To kupujący korzysta z wersji starszej, jeżeli nowa rozszerzyła obowiązki ujawnienia finansowania przez podmiot trzeci, a sprzedawca — z nowszej. Przy meritum jest odwrotnie. Strona, która przyjmie stanowisko wygodne w jednym zagadnieniu, może więc sobie zaszkodzić w drugim, i to trzeba policzyć przed zajęciem stanowiska.</w:t>
      </w:r>
    </w:p>
    <w:bookmarkEnd w:id="24"/>
    <w:bookmarkStart w:id="25" w:name="X44d187042396d49d121659f1ca52f272e19c66e"/>
    <w:p>
      <w:pPr>
        <w:pStyle w:val="Heading3"/>
      </w:pPr>
      <w:r>
        <w:t xml:space="preserve">Zagadnienie 2: zakres ujawnienia finansowania i ubezpieczenia kosztów</w:t>
      </w:r>
    </w:p>
    <w:p>
      <w:pPr>
        <w:pStyle w:val="FirstParagraph"/>
      </w:pPr>
      <w:r>
        <w:t xml:space="preserve">Zakres ujawnienia wyznacza jego cel, a cel jest jeden: umożliwienie kontroli konfliktów interesów po stronie składu orzekającego. Z tego wynika test, który da się zastosować do każdego żądanego dokumentu — czy służy ustaleniu relacji między arbitrem a finansującym, czy poznaniu pozycji procesowej przeciwnika.</w:t>
      </w:r>
    </w:p>
    <w:p>
      <w:pPr>
        <w:pStyle w:val="BodyText"/>
      </w:pPr>
      <w:r>
        <w:t xml:space="preserve">Po stronie ujawnienia obowiązkowego mieści się: tożsamość finansującego i podmiotów go kontrolujących; fakt istnienia umowy finansowania i jej data; te postanowienia, które mogą wpływać na niezależność arbitra lub na przebieg postępowania — w szczególności czy finansujący ma wpływ na decyzje procesowe, czy może narzucić lub zawetować ugodę oraz czy jego wynagrodzenie jest powiązane z konkretnym rozstrzygnięciem. Po stronie ujawnienia niedopuszczalnego mieści się treść oceny szans, analiza ryzyka procesowego i budżet postępowania — to są dokumenty, których poznanie daje przeciwnikowi przewagę procesową i nie mówi nic o bezstronności arbitra.</w:t>
      </w:r>
    </w:p>
    <w:p>
      <w:pPr>
        <w:pStyle w:val="BodyText"/>
      </w:pPr>
      <w:r>
        <w:t xml:space="preserve">Żądanie sprzedawcy dotyczy „pełnej umowy finansowania”. Jest to żądanie nadmierne co do zakresu, ale nie bezzasadne co do podstawy — a to rozróżnienie przesądza o właściwym środku. Właściwą reakcją nie jest oddalenie wniosku, lecz jego uwzględnienie w części, z jednoczesnym zarządzeniem przedstawienia trybunałowi wersji pełnej i wersji z redakcjami oraz z rozstrzygnięciem o zakresie redakcji przez trybunał, nie przez stronę. Rozwiązanie, w którym to kupujący samodzielnie decyduje, co jest „konieczne”, nie jest kontrolą — jest jej pozorem.</w:t>
      </w:r>
    </w:p>
    <w:p>
      <w:pPr>
        <w:pStyle w:val="BodyText"/>
      </w:pPr>
      <w:r>
        <w:t xml:space="preserve">Ubezpieczenie kosztów rozpada się na trzy warstwy o różnym reżimie. Tożsamość ubezpieczyciela podlega ujawnieniu z tego samego powodu co tożsamość finansującego, jeżeli może wywoływać konflikt interesów. Wysokość sumy ubezpieczenia i zakres pokrycia mają znaczenie wyłącznie dla wniosku o zabezpieczenie kosztów i tam należy je rozpoznać. Ocena ryzyka sporządzona na potrzeby ubezpieczenia nie ma znaczenia dla żadnego z tych celów.</w:t>
      </w:r>
    </w:p>
    <w:bookmarkEnd w:id="25"/>
    <w:bookmarkStart w:id="26" w:name="X42e2ac658f89e648b70ec39afc6cf88c52a5804"/>
    <w:p>
      <w:pPr>
        <w:pStyle w:val="Heading3"/>
      </w:pPr>
      <w:r>
        <w:t xml:space="preserve">Zagadnienie 3: zabezpieczenie kosztów i wyłączenie arbitra</w:t>
      </w:r>
    </w:p>
    <w:p>
      <w:pPr>
        <w:pStyle w:val="FirstParagraph"/>
      </w:pPr>
      <w:r>
        <w:t xml:space="preserve">Zabezpieczenie kosztów. Przesłanką nie jest istnienie finansowania przez podmiot trzeci. Finansowanie samo w sobie nie dowodzi niewypłacalności — przeciwnie, oznacza, że profesjonalny podmiot ocenił szanse sprawy pozytywnie i zainwestował własne środki. Przesłanką jest realne ryzyko, że rozstrzygnięcie o kosztach okaże się niewykonalne: sytuacja finansowa strony, jej struktura właścicielska, brak majątku w jurysdykcjach, w których wykonanie byłoby możliwe, oraz istotna zmiana tej sytuacji po wszczęciu postępowania. ⬛ Kazus nie podaje o sytuacji finansowej kupującego niczego.</w:t>
      </w:r>
    </w:p>
    <w:p>
      <w:pPr>
        <w:pStyle w:val="BodyText"/>
      </w:pPr>
      <w:r>
        <w:t xml:space="preserve">Jest tu jednak napięcie wewnętrzne w stanowisku sprzedawcy, które trzeba wykorzystać, bo jest wprost widoczne w faktach. Sprzedawca żąda jednocześnie ujawnienia ubezpieczenia kosztów i zabezpieczenia kosztów. Istnienie ubezpieczenia kosztów działa przeciwko wnioskowi o zabezpieczenie, ponieważ zmniejsza ryzyko niewykonalności rozstrzygnięcia o kosztach — czyli usuwa właśnie tę przesłankę, na której wniosek ma się opierać. Sprzedawca może utrzymać oba żądania tylko wtedy, gdy wykaże, że pokrycie ubezpieczeniowe jest niewystarczające albo obwarowane wyłączeniami czyniącymi je iluzorycznym. Jest to twierdzenie faktyczne i jego ciężar spoczywa na nim.</w:t>
      </w:r>
    </w:p>
    <w:p>
      <w:pPr>
        <w:pStyle w:val="BodyText"/>
      </w:pPr>
      <w:r>
        <w:t xml:space="preserve">Rozstrzygnięcie warunkowe: jeżeli kupujący wykaże pokrycie ubezpieczeniowe obejmujące potencjalne rozstrzygnięcie o kosztach, bez istotnych wyłączeń — oddalić wniosek o zabezpieczenie; jeżeli pokrycie jest częściowe — zabezpieczenie w części nieobjętej; jeżeli kupujący odmówi ujawnienia zakresu pokrycia — potraktować odmowę jako okoliczność obciążającą przy ocenie wniosku, bo to on dysponuje dowodem.</w:t>
      </w:r>
    </w:p>
    <w:p>
      <w:pPr>
        <w:pStyle w:val="BodyText"/>
      </w:pPr>
      <w:r>
        <w:t xml:space="preserve">Wyłączenie arbitra. Standardem jest istnienie okoliczności wywołujących uzasadnione wątpliwości co do bezstronności lub niezależności arbitra w ocenie obiektywnej — nie subiektywne przekonanie strony i nie sam fakt istnienia jakiejkolwiek relacji. Kazus mówi wyłącznie o „relacji z finansującym”, nie określając jej charakteru. ⬛ i rozstrzygnięcie warunkowe o trzech gałęziach. Jeżeli relacja ma charakter majątkowy albo polega na powtarzalnych nominacjach przez ten sam podmiot finansujący w innych sprawach — wniosek o wyłączenie uwzględnić. Jeżeli polega na jednorazowym kontakcie zawodowym w przeszłości — ujawnienie jest wystarczające, a wniosek oddalić. Jeżeli sprowadza się do przynależności do tego samego środowiska zawodowego — wniosek oddalić jako oparty na okoliczności, która w arbitrażu międzynarodowym jest regułą, a nie wyjątkiem.</w:t>
      </w:r>
    </w:p>
    <w:p>
      <w:pPr>
        <w:pStyle w:val="BodyText"/>
      </w:pPr>
      <w:r>
        <w:t xml:space="preserve">Zależność między osiami: rozstrzygnięcie o wyłączeniu nie może zapaść przed rozstrzygnięciem o zakresie ujawnienia, bo dopiero ujawnienie dostarcza materiału do oceny relacji. Kolejność jest tu elementem rozstrzygnięcia, nie jego tłem.</w:t>
      </w:r>
    </w:p>
    <w:bookmarkEnd w:id="26"/>
    <w:bookmarkStart w:id="27" w:name="Xcaf88fa2a0dea819b96a8aa55e018967069f46c"/>
    <w:p>
      <w:pPr>
        <w:pStyle w:val="Heading3"/>
      </w:pPr>
      <w:r>
        <w:t xml:space="preserve">Zagadnienie 4: zmiana klasyfikacji a zwolnienie sprzedawcy z odpowiedzialności</w:t>
      </w:r>
    </w:p>
    <w:p>
      <w:pPr>
        <w:pStyle w:val="FirstParagraph"/>
      </w:pPr>
      <w:r>
        <w:t xml:space="preserve">Art. 79 ust. 1 konwencji sprzedażowej stawia trzy przesłanki łącznie: niewykonanie było spowodowane przeszkodą niezależną od strony; nie można było od niej rozsądnie oczekiwać wzięcia przeszkody pod uwagę w chwili zawarcia umowy; nie można było rozsądnie oczekiwać uniknięcia lub przezwyciężenia przeszkody albo jej następstw. Każdą bada się osobno i niespełnienie którejkolwiek kończy sprawę.</w:t>
      </w:r>
    </w:p>
    <w:p>
      <w:pPr>
        <w:pStyle w:val="BodyText"/>
      </w:pPr>
      <w:r>
        <w:t xml:space="preserve">Niezależność. Zmiana załącznika jest aktem organu międzynarodowego podejmowanym większością dwóch trzecich Stron obecnych i głosujących. Sprzedawca nie ma na nią wpływu. Przesłanka spełniona.</w:t>
      </w:r>
    </w:p>
    <w:p>
      <w:pPr>
        <w:pStyle w:val="BodyText"/>
      </w:pPr>
      <w:r>
        <w:t xml:space="preserve">Przewidywalność w chwili zawarcia umowy. Tu leży rozstrzygnięcie i wynika ono z jednostki, po którą przy analizie art. 79 nikt nie sięga, bo leży w innym akcie. Art. XV ust. 1 lit. a nakazuje przekazać tekst proponowanej zmiany Sekretariatowi co najmniej 150 dni przed posiedzeniem Konferencji Stron; Sekretariat konsultuje pozostałe Strony i zainteresowane organy oraz komunikuje odpowiedź wszystkim Stronom nie później niż 30 dni przed posiedzeniem; zmiana przyjęta na posiedzeniu wchodzi w życie 90 dni po nim (lit. c). Reżim jest więc jawny i rozciągnięty na co najmniej 240 dni od momentu, w którym propozycja staje się dokumentem obiegowym. ⬛ Kazus nie podaje daty zawarcia umowy wobec daty przekazania propozycji. Rozstrzygnięcie warunkowe: jeżeli umowę zawarto po przekazaniu propozycji Sekretariatowi — przesłanka nieprzewidywalności nie jest spełniona i art. 79 nie działa, niezależnie od pozostałych przesłanek; jeżeli przed — przesłanka jest spełniona i badanie przechodzi dalej.</w:t>
      </w:r>
    </w:p>
    <w:p>
      <w:pPr>
        <w:pStyle w:val="BodyText"/>
      </w:pPr>
      <w:r>
        <w:t xml:space="preserve">Przezwyciężalność. Tu wchodzi rozróżnienie załączników opisane w tezie. Załącznik II: wywóz wymaga uprzedniego uzyskania i przedstawienia zezwolenia wywozowego, wydawanego po spełnieniu trzech przesłanek — braku szkodliwości dla przetrwania gatunku stwierdzonego przez organ naukowy, legalności pozyskania okazu i odpowiedniego przygotowania przesyłki (art. IV ust. 2); przywóz wymaga uprzedniego przedstawienia zezwolenia wywozowego albo świadectwa powrotnego wywozu (ust. 4). Wszystkie przesłanki są spełnialne, więc przeszkodę da się przezwyciężyć, a art. 79 nie działa. Załącznik I: przywóz wymaga uprzedniego uzyskania i przedstawienia zezwolenia przywozowego, które wydaje się tylko wtedy, gdy organ naukowy państwa przywozu stwierdzi, że przywóz nastąpi w celach nieszkodliwych dla przetrwania gatunku, organ naukowy upewni się co do warunków utrzymania żywego okazu, a organ administracyjny upewni się, że okaz nie będzie użyty głównie w celach komercyjnych (art. III ust. 3 lit. a–c). Ostatnia przesłanka jest przy dostawie surowca do produkcji żywności funkcjonalnej niespełnialna z definicji, a nie z powodu okoliczności. Przeszkoda jest zatem nieprzezwyciężalna, a art. 79 działa — pod warunkiem że spełniona jest także przesłanka przewidywalności.</w:t>
      </w:r>
    </w:p>
    <w:p>
      <w:pPr>
        <w:pStyle w:val="BodyText"/>
      </w:pPr>
      <w:r>
        <w:t xml:space="preserve">⬛ Kazus nie podaje, do którego załącznika gatunek trafił. Jest to drugi brak przesądzający i razem z pierwszym tworzy tabelę czterech możliwych wyników, z których tylko jeden zwalnia sprzedawcę: umowa zawarta przed przekazaniem propozycji Sekretariatowi i gatunek przeniesiony do załącznika I.</w:t>
      </w:r>
    </w:p>
    <w:p>
      <w:pPr>
        <w:pStyle w:val="BodyText"/>
      </w:pPr>
      <w:r>
        <w:t xml:space="preserve">Rozkład obowiązku uzyskania dokumentów. Konwencja sprzedażowa nie zawiera reguły domyślnej rozdzielającej między strony obowiązek uzyskania zezwoleń wywozowych i przywozowych. Rozkład wynika z umowy, z reguły handlowej włączonej do niej przez odesłanie albo ze zwyczaju i praktyki stron. ⬛ Kazus milczy. Uwaga strukturalna, która pomaga, ale nie rozstrzyga: reżim publicznoprawny adresuje zezwolenie wywozowe do organów państwa wywozu, a zezwolenie przywozowe do organów państwa przywozu, co wskazuje, kto ma faktyczną możliwość działania — ale nie przesądza, kto ponosi ryzyko kontraktowe.</w:t>
      </w:r>
    </w:p>
    <w:p>
      <w:pPr>
        <w:pStyle w:val="BodyText"/>
      </w:pPr>
      <w:r>
        <w:t xml:space="preserve">I tu wchodzi art. 80, jednostka domykająca sekcję o zwolnieniach: strona nie może powoływać się na niewykonanie przez drugą stronę w zakresie, w jakim to niewykonanie zostało spowodowane jej własnym działaniem lub zaniechaniem. Jeżeli obowiązek uzyskania zezwolenia przywozowego spoczywał na kupującym, a kupujący go nie uzyskał albo nawet nie wystąpił — nie może z braku dostawy wywodzić uprawnienia do rozwiązania umowy ani roszczenia odszkodowawczego. Ta droga rozstrzyga sprawę bez wchodzenia w art. 79 i jest dla sprzedawcy krótsza oraz pewniejsza niż droga przez zwolnienie, bo nie wymaga wykazania nieprzewidywalności.</w:t>
      </w:r>
    </w:p>
    <w:bookmarkEnd w:id="27"/>
    <w:bookmarkStart w:id="28" w:name="X279babcd19e8639b7a367038a584e84b6d9274a"/>
    <w:p>
      <w:pPr>
        <w:pStyle w:val="Heading3"/>
      </w:pPr>
      <w:r>
        <w:t xml:space="preserve">Zagadnienie 5: skuteczność rozwiązania umowy i ograniczenie szkody</w:t>
      </w:r>
    </w:p>
    <w:p>
      <w:pPr>
        <w:pStyle w:val="FirstParagraph"/>
      </w:pPr>
      <w:r>
        <w:t xml:space="preserve">Pierwsze ustalenie jest korektą doboru przepisu. Towar miał zostać dostarczony w kilku transzach, a to jest umowa o dostawę partiami. Reżimem właściwym jest art. 73, nie art. 49 — i różnica jest zasadnicza, bo art. 73 nie pozwala rozwiązać całej umowy z powodu przeszkody dotykającej jednej transzy.</w:t>
      </w:r>
    </w:p>
    <w:p>
      <w:pPr>
        <w:pStyle w:val="BodyText"/>
      </w:pPr>
      <w:r>
        <w:t xml:space="preserve">Art. 73 ust. 1 pozwala rozwiązać umowę co do danej transzy, jeżeli niewykonanie w odniesieniu do niej stanowi istotne naruszenie umowy w odniesieniu do tej transzy. Ustęp 2 pozwala rozwiązać umowę na przyszłość, jeżeli niewykonanie daje drugiej stronie dobre podstawy do wniosku, że istotne naruszenie nastąpi co do przyszłych transz, i pod warunkiem że oświadczenie złożono w rozsądnym terminie. Ustęp 3 pozwala rozciągnąć rozwiązanie na dostawy już dokonane lub przyszłe, jeżeli ze względu na ich współzależność nie mogłyby one być użyte do celu zamierzonego przez strony w chwili zawarcia umowy.</w:t>
      </w:r>
    </w:p>
    <w:p>
      <w:pPr>
        <w:pStyle w:val="BodyText"/>
      </w:pPr>
      <w:r>
        <w:t xml:space="preserve">⬛ Kazus podaje tylko, że kupujący „rozwiązał umowę”, bez wskazania zakresu. Rozstrzygnięcie warunkowe: rozwiązanie ograniczone do transz objętych przeszkodą jest skuteczne przy spełnieniu przesłanki istotności; rozwiązanie całości wymaga wykazania przesłanek z ust. 2 albo ust. 3 i bez tego wykazania jest nieskuteczne w części wykraczającej poza transzę objętą przeszkodą. Skutek praktyczny jest dotkliwy dla kupującego, bo art. 75 działa tylko w granicach skutecznego rozwiązania.</w:t>
      </w:r>
    </w:p>
    <w:p>
      <w:pPr>
        <w:pStyle w:val="BodyText"/>
      </w:pPr>
      <w:r>
        <w:t xml:space="preserve">Drugie ustalenie dotyczy formy. Art. 26 stanowi, że oświadczenie o rozwiązaniu umowy jest skuteczne tylko wtedy, gdy zostało dokonane w drodze zawiadomienia drugiej strony. ⬛ Kazus nie podaje, czy i kiedy zawiadomienie doszło do sprzedawcy.</w:t>
      </w:r>
    </w:p>
    <w:p>
      <w:pPr>
        <w:pStyle w:val="BodyText"/>
      </w:pPr>
      <w:r>
        <w:t xml:space="preserve">Trzecie ustalenie dotyczy odmowy przyjęcia świadczenia zastępczego i jest osią, na której kupujący jest najsłabszy. Sprzedawca proponował opóźnienie oraz alternatywną trasę dostawy. Art. 72 ust. 2 wymaga, by strona zamierzająca rozwiązać umowę przed terminem wykonania zawiadomiła drugą stronę w rozsądny sposób, o ile czas na to pozwala, aby umożliwić jej dostarczenie odpowiedniego zapewnienia wykonania; art. 71 ust. 3 nakłada analogiczny obowiązek przy zawieszeniu wykonania. Propozycja sprzedawcy jest właśnie ofertą zapewnienia wykonania i odmowa jej rozważenia wymaga uzasadnienia.</w:t>
      </w:r>
    </w:p>
    <w:p>
      <w:pPr>
        <w:pStyle w:val="BodyText"/>
      </w:pPr>
      <w:r>
        <w:t xml:space="preserve">Uzasadnienie to jednak istnieje i jest tekstowe, o ile gatunek trafił do załącznika I. Alternatywna trasa dostawy nie usuwa przeszkody, ponieważ przeszkodą nie jest trasa, lecz cel użycia okazu — a art. III ust. 3 lit. c wiąże zezwolenie przywozowe z celem, nie z drogą przewozu. Odmowa kupującego jest wtedy racjonalna, a nie arbitralna. Przy załączniku II odwrotnie: alternatywna trasa może realnie usunąć przeszkodę, jeżeli problemem było uzyskanie dokumentów w państwie pierwotnego wywozu, a wtedy odmowa narusza obowiązek ograniczenia szkody z art. 77.</w:t>
      </w:r>
    </w:p>
    <w:p>
      <w:pPr>
        <w:pStyle w:val="BodyText"/>
      </w:pPr>
      <w:r>
        <w:t xml:space="preserve">Zależność między zagadnieniem czwartym a piątym jest zatem dwustronna: to samo ustalenie faktyczne — który załącznik — jednocześnie zwalnia albo obciąża sprzedawcę i usprawiedliwia albo obciąża kupującego. Rozstrzygnięcia nie da się rozdzielić i próba oceny jednego bez drugiego jest błędem.</w:t>
      </w:r>
    </w:p>
    <w:bookmarkEnd w:id="28"/>
    <w:bookmarkStart w:id="29" w:name="zagadnienie-6-obliczenie-odszkodowania"/>
    <w:p>
      <w:pPr>
        <w:pStyle w:val="Heading3"/>
      </w:pPr>
      <w:r>
        <w:t xml:space="preserve">Zagadnienie 6: obliczenie odszkodowania</w:t>
      </w:r>
    </w:p>
    <w:p>
      <w:pPr>
        <w:pStyle w:val="FirstParagraph"/>
      </w:pPr>
      <w:r>
        <w:t xml:space="preserve">Art. 75 stanowi, że jeżeli umowa została rozwiązana i jeżeli w rozsądny sposób oraz w rozsądnym terminie po rozwiązaniu kupujący dokonał zakupu zastępczego, strona żądająca odszkodowania może żądać różnicy między ceną umowną a ceną w transakcji zastępczej oraz wszelkich dalszych odszkodowań należnych na podstawie art. 74. Przesłanki są trzy i wszystkie sporne w tym kazusie.</w:t>
      </w:r>
    </w:p>
    <w:p>
      <w:pPr>
        <w:pStyle w:val="BodyText"/>
      </w:pPr>
      <w:r>
        <w:t xml:space="preserve">Skuteczne rozwiązanie. Wynika z zagadnienia piątego i jest ograniczone zakresem art. 73. W części, w której rozwiązanie było nieskuteczne, art. 75 nie działa wcale, a kupujący pozostaje przy art. 74, gdzie musi wykazać stratę i jej przewidywalność.</w:t>
      </w:r>
    </w:p>
    <w:p>
      <w:pPr>
        <w:pStyle w:val="BodyText"/>
      </w:pPr>
      <w:r>
        <w:t xml:space="preserve">Rozsądny sposób. Kupujący zawarł droższą transakcję zastępczą. ⬛ Kazus nie podaje, czy sprawdził inne oferty ani jak ukształtowała się cena rynkowa po zmianie reżimu. Jeżeli po przeniesieniu gatunku do załącznika I legalny obrót komercyjny stał się w praktyce niemożliwy, to transakcja zastępcza musiała dotyczyć innego surowca — a wtedy nie jest to zakup zastępczy w rozumieniu art. 75, lecz zakup towaru odmiennego, oceniany wyłącznie na art. 74 z pełnym ciężarem wykazania adekwatności.</w:t>
      </w:r>
    </w:p>
    <w:p>
      <w:pPr>
        <w:pStyle w:val="BodyText"/>
      </w:pPr>
      <w:r>
        <w:t xml:space="preserve">Rozsądny termin. ⬛ Kazus nie podaje odstępu między rozwiązaniem a transakcją zastępczą.</w:t>
      </w:r>
    </w:p>
    <w:p>
      <w:pPr>
        <w:pStyle w:val="BodyText"/>
      </w:pPr>
      <w:r>
        <w:t xml:space="preserve">Art. 76 nie ma zastosowania, ponieważ dotyczy sytuacji, w której zakupu zastępczego nie dokonano. Odnotowuję to, by pozycja zamknęła się nazwanym skutkiem, a nie milczeniem.</w:t>
      </w:r>
    </w:p>
    <w:p>
      <w:pPr>
        <w:pStyle w:val="BodyText"/>
      </w:pPr>
      <w:r>
        <w:t xml:space="preserve">Art. 74 stanowi granicę wspólną dla obu dróg: odszkodowanie nie może przewyższać straty, którą strona naruszająca przewidywała lub powinna była przewidzieć w chwili zawarcia umowy, w świetle okoliczności, które wówczas znała lub powinna była znać. I tu pojawia się symetria, którą trzeba nazwać, bo jest niewygodna dla kupującego. Ta sama przewidywalność, która w zagadnieniu czwartym obciąża sprzedawcę przy ocenie art. 79, w zagadnieniu szóstym go chroni: jeżeli wzrost ceny surowca wynikał właśnie z niespodziewanej zmiany reżimu ochronnego, sprzedawca może twierdzić, że skali tego wzrostu nie mógł przewidzieć w chwili zawarcia umowy. Kupujący nie może więc jednocześnie twierdzić, że zmiana była w pełni przewidywalna dla sprzedawcy przy art. 79, i że jej skutki cenowe były nieprzewidywalne przy art. 74. Wybór stanowiska w jednym zagadnieniu wiąże w drugim.</w:t>
      </w:r>
    </w:p>
    <w:p>
      <w:pPr>
        <w:pStyle w:val="BodyText"/>
      </w:pPr>
      <w:r>
        <w:t xml:space="preserve">Art. 77 nakłada na stronę powołującą się na naruszenie obowiązek podjęcia rozsądnych w danych okolicznościach środków dla zmniejszenia straty, w tym utraconego zysku; niepodjęcie takich środków uprawnia stronę naruszającą do żądania obniżenia odszkodowania o kwotę, o którą strata mogła być zmniejszona.</w:t>
      </w:r>
    </w:p>
    <w:bookmarkEnd w:id="29"/>
    <w:bookmarkEnd w:id="30"/>
    <w:bookmarkStart w:id="31"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kupującego</w:t>
            </w:r>
          </w:p>
        </w:tc>
        <w:tc>
          <w:tcPr/>
          <w:p>
            <w:pPr>
              <w:pStyle w:val="Compact"/>
              <w:jc w:val="left"/>
            </w:pPr>
            <w:r>
              <w:t xml:space="preserve">Argument sprzedawcy</w:t>
            </w:r>
          </w:p>
        </w:tc>
      </w:tr>
      <w:tr>
        <w:tc>
          <w:tcPr/>
          <w:p>
            <w:pPr>
              <w:pStyle w:val="Compact"/>
              <w:jc w:val="left"/>
            </w:pPr>
            <w:r>
              <w:t xml:space="preserve">Wersja regulaminu</w:t>
            </w:r>
          </w:p>
        </w:tc>
        <w:tc>
          <w:tcPr/>
          <w:p>
            <w:pPr>
              <w:pStyle w:val="Compact"/>
              <w:jc w:val="left"/>
            </w:pPr>
            <w:r>
              <w:t xml:space="preserve">Reguła zakresu zastosowania wiąże wersję z chwilą wszczęcia; klauzula nie zastrzegła wersji</w:t>
            </w:r>
          </w:p>
        </w:tc>
        <w:tc>
          <w:tcPr/>
          <w:p>
            <w:pPr>
              <w:pStyle w:val="Compact"/>
              <w:jc w:val="left"/>
            </w:pPr>
            <w:r>
              <w:t xml:space="preserve">Strony odsyłały do regulaminu znanego im w chwili podpisania; rozszerzone obowiązki ujawnienia nie były przedmiotem ich zgody</w:t>
            </w:r>
          </w:p>
        </w:tc>
      </w:tr>
      <w:tr>
        <w:tc>
          <w:tcPr/>
          <w:p>
            <w:pPr>
              <w:pStyle w:val="Compact"/>
              <w:jc w:val="left"/>
            </w:pPr>
            <w:r>
              <w:t xml:space="preserve">Ujawnienie</w:t>
            </w:r>
          </w:p>
        </w:tc>
        <w:tc>
          <w:tcPr/>
          <w:p>
            <w:pPr>
              <w:pStyle w:val="Compact"/>
              <w:jc w:val="left"/>
            </w:pPr>
            <w:r>
              <w:t xml:space="preserve">Ujawniono wszystko, co służy kontroli konfliktu interesów; reszta to strategia procesowa</w:t>
            </w:r>
          </w:p>
        </w:tc>
        <w:tc>
          <w:tcPr/>
          <w:p>
            <w:pPr>
              <w:pStyle w:val="Compact"/>
              <w:jc w:val="left"/>
            </w:pPr>
            <w:r>
              <w:t xml:space="preserve">Bez pełnej umowy nie da się ocenić, czy finansujący kontroluje postępowanie i czy jego interes wpływa na skład</w:t>
            </w:r>
          </w:p>
        </w:tc>
      </w:tr>
      <w:tr>
        <w:tc>
          <w:tcPr/>
          <w:p>
            <w:pPr>
              <w:pStyle w:val="Compact"/>
              <w:jc w:val="left"/>
            </w:pPr>
            <w:r>
              <w:t xml:space="preserve">Zabezpieczenie kosztów</w:t>
            </w:r>
          </w:p>
        </w:tc>
        <w:tc>
          <w:tcPr/>
          <w:p>
            <w:pPr>
              <w:pStyle w:val="Compact"/>
              <w:jc w:val="left"/>
            </w:pPr>
            <w:r>
              <w:t xml:space="preserve">Finansowanie przez podmiot trzeci nie dowodzi niewypłacalności; ubezpieczenie kosztów zmniejsza ryzyko</w:t>
            </w:r>
          </w:p>
        </w:tc>
        <w:tc>
          <w:tcPr/>
          <w:p>
            <w:pPr>
              <w:pStyle w:val="Compact"/>
              <w:jc w:val="left"/>
            </w:pPr>
            <w:r>
              <w:t xml:space="preserve">Struktura finansowania przenosi ryzyko kosztów na podmiot spoza postępowania, wobec którego rozstrzygnięcie jest niewykonalne</w:t>
            </w:r>
          </w:p>
        </w:tc>
      </w:tr>
      <w:tr>
        <w:tc>
          <w:tcPr/>
          <w:p>
            <w:pPr>
              <w:pStyle w:val="Compact"/>
              <w:jc w:val="left"/>
            </w:pPr>
            <w:r>
              <w:t xml:space="preserve">Wyłączenie arbitra</w:t>
            </w:r>
          </w:p>
        </w:tc>
        <w:tc>
          <w:tcPr/>
          <w:p>
            <w:pPr>
              <w:pStyle w:val="Compact"/>
              <w:jc w:val="left"/>
            </w:pPr>
            <w:r>
              <w:t xml:space="preserve">Sama relacja bez określenia charakteru nie tworzy uzasadnionych wątpliwości</w:t>
            </w:r>
          </w:p>
        </w:tc>
        <w:tc>
          <w:tcPr/>
          <w:p>
            <w:pPr>
              <w:pStyle w:val="Compact"/>
              <w:jc w:val="left"/>
            </w:pPr>
            <w:r>
              <w:t xml:space="preserve">Relacja arbitra z finansującym powoduje, że jego niezależność nie jest obiektywnie zapewniona</w:t>
            </w:r>
          </w:p>
        </w:tc>
      </w:tr>
      <w:tr>
        <w:tc>
          <w:tcPr/>
          <w:p>
            <w:pPr>
              <w:pStyle w:val="Compact"/>
              <w:jc w:val="left"/>
            </w:pPr>
            <w:r>
              <w:t xml:space="preserve">Zwolnienie z art. 79</w:t>
            </w:r>
          </w:p>
        </w:tc>
        <w:tc>
          <w:tcPr/>
          <w:p>
            <w:pPr>
              <w:pStyle w:val="Compact"/>
              <w:jc w:val="left"/>
            </w:pPr>
            <w:r>
              <w:t xml:space="preserve">Kalendarz zmiany załączników jest jawny co najmniej 240 dni wcześniej; przeszkoda była przewidywalna</w:t>
            </w:r>
          </w:p>
        </w:tc>
        <w:tc>
          <w:tcPr/>
          <w:p>
            <w:pPr>
              <w:pStyle w:val="Compact"/>
              <w:jc w:val="left"/>
            </w:pPr>
            <w:r>
              <w:t xml:space="preserve">Zmiana jest aktem organu międzynarodowego; przy załączniku I zezwolenia przywozowego nie da się uzyskać w celu komercyjnym (art. III ust. 3 lit. c)</w:t>
            </w:r>
          </w:p>
        </w:tc>
      </w:tr>
      <w:tr>
        <w:tc>
          <w:tcPr/>
          <w:p>
            <w:pPr>
              <w:pStyle w:val="Compact"/>
              <w:jc w:val="left"/>
            </w:pPr>
            <w:r>
              <w:t xml:space="preserve">Rozkład obowiązku dokumentowego</w:t>
            </w:r>
          </w:p>
        </w:tc>
        <w:tc>
          <w:tcPr/>
          <w:p>
            <w:pPr>
              <w:pStyle w:val="Compact"/>
              <w:jc w:val="left"/>
            </w:pPr>
            <w:r>
              <w:t xml:space="preserve">Zezwolenie wywozowe obciąża sprzedawcę, bo to on kontroluje wywóz</w:t>
            </w:r>
          </w:p>
        </w:tc>
        <w:tc>
          <w:tcPr/>
          <w:p>
            <w:pPr>
              <w:pStyle w:val="Compact"/>
              <w:jc w:val="left"/>
            </w:pPr>
            <w:r>
              <w:t xml:space="preserve">Zezwolenie przywozowe obciąża kupującego; art. 80 wyłącza powołanie się na niewykonanie spowodowane własnym zaniechaniem</w:t>
            </w:r>
          </w:p>
        </w:tc>
      </w:tr>
      <w:tr>
        <w:tc>
          <w:tcPr/>
          <w:p>
            <w:pPr>
              <w:pStyle w:val="Compact"/>
              <w:jc w:val="left"/>
            </w:pPr>
            <w:r>
              <w:t xml:space="preserve">Rozwiązanie umowy</w:t>
            </w:r>
          </w:p>
        </w:tc>
        <w:tc>
          <w:tcPr/>
          <w:p>
            <w:pPr>
              <w:pStyle w:val="Compact"/>
              <w:jc w:val="left"/>
            </w:pPr>
            <w:r>
              <w:t xml:space="preserve">Przeszkoda dotyczy całego przedmiotu umowy, a transze są współzależne (art. 73 ust. 3)</w:t>
            </w:r>
          </w:p>
        </w:tc>
        <w:tc>
          <w:tcPr/>
          <w:p>
            <w:pPr>
              <w:pStyle w:val="Compact"/>
              <w:jc w:val="left"/>
            </w:pPr>
            <w:r>
              <w:t xml:space="preserve">Właściwy jest art. 73 ust. 1; rozwiązanie całości bez wykazania współzależności jest nieskuteczne ponad transzę objętą przeszkodą</w:t>
            </w:r>
          </w:p>
        </w:tc>
      </w:tr>
      <w:tr>
        <w:tc>
          <w:tcPr/>
          <w:p>
            <w:pPr>
              <w:pStyle w:val="Compact"/>
              <w:jc w:val="left"/>
            </w:pPr>
            <w:r>
              <w:t xml:space="preserve">Odmowa alternatywy</w:t>
            </w:r>
          </w:p>
        </w:tc>
        <w:tc>
          <w:tcPr/>
          <w:p>
            <w:pPr>
              <w:pStyle w:val="Compact"/>
              <w:jc w:val="left"/>
            </w:pPr>
            <w:r>
              <w:t xml:space="preserve">Trasa nie zmienia celu użycia, więc oferta nie usuwała przeszkody</w:t>
            </w:r>
          </w:p>
        </w:tc>
        <w:tc>
          <w:tcPr/>
          <w:p>
            <w:pPr>
              <w:pStyle w:val="Compact"/>
              <w:jc w:val="left"/>
            </w:pPr>
            <w:r>
              <w:t xml:space="preserve">Odmowa rozważenia zapewnienia wykonania narusza art. 72 ust. 2 i art. 77</w:t>
            </w:r>
          </w:p>
        </w:tc>
      </w:tr>
      <w:tr>
        <w:tc>
          <w:tcPr/>
          <w:p>
            <w:pPr>
              <w:pStyle w:val="Compact"/>
              <w:jc w:val="left"/>
            </w:pPr>
            <w:r>
              <w:t xml:space="preserve">Odszkodowanie</w:t>
            </w:r>
          </w:p>
        </w:tc>
        <w:tc>
          <w:tcPr/>
          <w:p>
            <w:pPr>
              <w:pStyle w:val="Compact"/>
              <w:jc w:val="left"/>
            </w:pPr>
            <w:r>
              <w:t xml:space="preserve">Różnica cen z art. 75 wraz z dalszą szkodą z art. 74</w:t>
            </w:r>
          </w:p>
        </w:tc>
        <w:tc>
          <w:tcPr/>
          <w:p>
            <w:pPr>
              <w:pStyle w:val="Compact"/>
              <w:jc w:val="left"/>
            </w:pPr>
            <w:r>
              <w:t xml:space="preserve">Art. 75 działa tylko w granicach skutecznego rozwiązania; wzrost ceny wywołany zmianą reżimu był nieprzewidywalny w rozumieniu art. 74</w:t>
            </w:r>
          </w:p>
        </w:tc>
      </w:tr>
    </w:tbl>
    <w:bookmarkEnd w:id="31"/>
    <w:bookmarkStart w:id="32"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Do którego załącznika przeniesiono gatunek</w:t>
            </w:r>
          </w:p>
        </w:tc>
        <w:tc>
          <w:tcPr/>
          <w:p>
            <w:pPr>
              <w:pStyle w:val="Compact"/>
              <w:jc w:val="left"/>
            </w:pPr>
            <w:r>
              <w:t xml:space="preserve">Przesądza, czy przeszkoda jest przezwyciężalna i czy alternatywna trasa miała sens</w:t>
            </w:r>
          </w:p>
        </w:tc>
        <w:tc>
          <w:tcPr/>
          <w:p>
            <w:pPr>
              <w:pStyle w:val="Compact"/>
              <w:jc w:val="left"/>
            </w:pPr>
            <w:r>
              <w:t xml:space="preserve">Notyfikacja Sekretariatu, tekst przyjętej zmiany, wykaz załączników w brzmieniu obowiązującym</w:t>
            </w:r>
          </w:p>
        </w:tc>
      </w:tr>
      <w:tr>
        <w:tc>
          <w:tcPr/>
          <w:p>
            <w:pPr>
              <w:pStyle w:val="Compact"/>
              <w:jc w:val="left"/>
            </w:pPr>
            <w:r>
              <w:t xml:space="preserve">Data zawarcia umowy wobec daty przekazania propozycji zmiany Sekretariatowi</w:t>
            </w:r>
          </w:p>
        </w:tc>
        <w:tc>
          <w:tcPr/>
          <w:p>
            <w:pPr>
              <w:pStyle w:val="Compact"/>
              <w:jc w:val="left"/>
            </w:pPr>
            <w:r>
              <w:t xml:space="preserve">Przesądza przesłankę nieprzewidywalności z art. 79 ust. 1</w:t>
            </w:r>
          </w:p>
        </w:tc>
        <w:tc>
          <w:tcPr/>
          <w:p>
            <w:pPr>
              <w:pStyle w:val="Compact"/>
              <w:jc w:val="left"/>
            </w:pPr>
            <w:r>
              <w:t xml:space="preserve">Umowa z datą, dokument obiegowy Sekretariatu, harmonogram posiedzenia Konferencji Stron</w:t>
            </w:r>
          </w:p>
        </w:tc>
      </w:tr>
      <w:tr>
        <w:tc>
          <w:tcPr/>
          <w:p>
            <w:pPr>
              <w:pStyle w:val="Compact"/>
              <w:jc w:val="left"/>
            </w:pPr>
            <w:r>
              <w:t xml:space="preserve">Czy państwo wywozu lub przywozu złożyło zastrzeżenie do zmiany (art. XV ust. 3)</w:t>
            </w:r>
          </w:p>
        </w:tc>
        <w:tc>
          <w:tcPr/>
          <w:p>
            <w:pPr>
              <w:pStyle w:val="Compact"/>
              <w:jc w:val="left"/>
            </w:pPr>
            <w:r>
              <w:t xml:space="preserve">Strona zastrzegająca jest traktowana jak państwo niebędące stroną w handlu tym gatunkiem — reżim może w ogóle nie działać</w:t>
            </w:r>
          </w:p>
        </w:tc>
        <w:tc>
          <w:tcPr/>
          <w:p>
            <w:pPr>
              <w:pStyle w:val="Compact"/>
              <w:jc w:val="left"/>
            </w:pPr>
            <w:r>
              <w:t xml:space="preserve">Rejestr zastrzeżeń u Rządu depozytariusza, notyfikacje</w:t>
            </w:r>
          </w:p>
        </w:tc>
      </w:tr>
      <w:tr>
        <w:tc>
          <w:tcPr/>
          <w:p>
            <w:pPr>
              <w:pStyle w:val="Compact"/>
              <w:jc w:val="left"/>
            </w:pPr>
            <w:r>
              <w:t xml:space="preserve">Dosłowne brzmienie klauzuli arbitrażowej</w:t>
            </w:r>
          </w:p>
        </w:tc>
        <w:tc>
          <w:tcPr/>
          <w:p>
            <w:pPr>
              <w:pStyle w:val="Compact"/>
              <w:jc w:val="left"/>
            </w:pPr>
            <w:r>
              <w:t xml:space="preserve">Przesądza, czy domniemanie wersji z chwili wszczęcia zostało obalone</w:t>
            </w:r>
          </w:p>
        </w:tc>
        <w:tc>
          <w:tcPr/>
          <w:p>
            <w:pPr>
              <w:pStyle w:val="Compact"/>
              <w:jc w:val="left"/>
            </w:pPr>
            <w:r>
              <w:t xml:space="preserve">Tekst umowy, korespondencja negocjacyjna</w:t>
            </w:r>
          </w:p>
        </w:tc>
      </w:tr>
      <w:tr>
        <w:tc>
          <w:tcPr/>
          <w:p>
            <w:pPr>
              <w:pStyle w:val="Compact"/>
              <w:jc w:val="left"/>
            </w:pPr>
            <w:r>
              <w:t xml:space="preserve">Postanowienia umowy o rozkładzie obowiązku uzyskania zezwoleń</w:t>
            </w:r>
          </w:p>
        </w:tc>
        <w:tc>
          <w:tcPr/>
          <w:p>
            <w:pPr>
              <w:pStyle w:val="Compact"/>
              <w:jc w:val="left"/>
            </w:pPr>
            <w:r>
              <w:t xml:space="preserve">Warunek zastosowania art. 80 i ocena, kto ponosi ryzyko zmiany reżimu</w:t>
            </w:r>
          </w:p>
        </w:tc>
        <w:tc>
          <w:tcPr/>
          <w:p>
            <w:pPr>
              <w:pStyle w:val="Compact"/>
              <w:jc w:val="left"/>
            </w:pPr>
            <w:r>
              <w:t xml:space="preserve">Umowa, reguła handlowa włączona przez odesłanie, wcześniejsza praktyka stron</w:t>
            </w:r>
          </w:p>
        </w:tc>
      </w:tr>
      <w:tr>
        <w:tc>
          <w:tcPr/>
          <w:p>
            <w:pPr>
              <w:pStyle w:val="Compact"/>
              <w:jc w:val="left"/>
            </w:pPr>
            <w:r>
              <w:t xml:space="preserve">Zakres oświadczenia o rozwiązaniu i data jego doręczenia</w:t>
            </w:r>
          </w:p>
        </w:tc>
        <w:tc>
          <w:tcPr/>
          <w:p>
            <w:pPr>
              <w:pStyle w:val="Compact"/>
              <w:jc w:val="left"/>
            </w:pPr>
            <w:r>
              <w:t xml:space="preserve">Warunki z art. 73 i art. 26</w:t>
            </w:r>
          </w:p>
        </w:tc>
        <w:tc>
          <w:tcPr/>
          <w:p>
            <w:pPr>
              <w:pStyle w:val="Compact"/>
              <w:jc w:val="left"/>
            </w:pPr>
            <w:r>
              <w:t xml:space="preserve">Pismo o rozwiązaniu, dowód doręczenia</w:t>
            </w:r>
          </w:p>
        </w:tc>
      </w:tr>
      <w:tr>
        <w:tc>
          <w:tcPr/>
          <w:p>
            <w:pPr>
              <w:pStyle w:val="Compact"/>
              <w:jc w:val="left"/>
            </w:pPr>
            <w:r>
              <w:t xml:space="preserve">Współzależność transz i cel zamierzony przez strony</w:t>
            </w:r>
          </w:p>
        </w:tc>
        <w:tc>
          <w:tcPr/>
          <w:p>
            <w:pPr>
              <w:pStyle w:val="Compact"/>
              <w:jc w:val="left"/>
            </w:pPr>
            <w:r>
              <w:t xml:space="preserve">Warunek rozciągnięcia rozwiązania z art. 73 ust. 3</w:t>
            </w:r>
          </w:p>
        </w:tc>
        <w:tc>
          <w:tcPr/>
          <w:p>
            <w:pPr>
              <w:pStyle w:val="Compact"/>
              <w:jc w:val="left"/>
            </w:pPr>
            <w:r>
              <w:t xml:space="preserve">Specyfikacja produktu, dokumentacja linii produkcyjnej, korespondencja przedkontraktowa</w:t>
            </w:r>
          </w:p>
        </w:tc>
      </w:tr>
      <w:tr>
        <w:tc>
          <w:tcPr/>
          <w:p>
            <w:pPr>
              <w:pStyle w:val="Compact"/>
              <w:jc w:val="left"/>
            </w:pPr>
            <w:r>
              <w:t xml:space="preserve">Charakter relacji arbitra z finansującym</w:t>
            </w:r>
          </w:p>
        </w:tc>
        <w:tc>
          <w:tcPr/>
          <w:p>
            <w:pPr>
              <w:pStyle w:val="Compact"/>
              <w:jc w:val="left"/>
            </w:pPr>
            <w:r>
              <w:t xml:space="preserve">Warunek testu uzasadnionych wątpliwości</w:t>
            </w:r>
          </w:p>
        </w:tc>
        <w:tc>
          <w:tcPr/>
          <w:p>
            <w:pPr>
              <w:pStyle w:val="Compact"/>
              <w:jc w:val="left"/>
            </w:pPr>
            <w:r>
              <w:t xml:space="preserve">Oświadczenie arbitra, rejestr nominacji, dokumenty finansującego</w:t>
            </w:r>
          </w:p>
        </w:tc>
      </w:tr>
      <w:tr>
        <w:tc>
          <w:tcPr/>
          <w:p>
            <w:pPr>
              <w:pStyle w:val="Compact"/>
              <w:jc w:val="left"/>
            </w:pPr>
            <w:r>
              <w:t xml:space="preserve">Sytuacja finansowa kupującego i zakres pokrycia ubezpieczeniowego</w:t>
            </w:r>
          </w:p>
        </w:tc>
        <w:tc>
          <w:tcPr/>
          <w:p>
            <w:pPr>
              <w:pStyle w:val="Compact"/>
              <w:jc w:val="left"/>
            </w:pPr>
            <w:r>
              <w:t xml:space="preserve">Warunek wniosku o zabezpieczenie kosztów</w:t>
            </w:r>
          </w:p>
        </w:tc>
        <w:tc>
          <w:tcPr/>
          <w:p>
            <w:pPr>
              <w:pStyle w:val="Compact"/>
              <w:jc w:val="left"/>
            </w:pPr>
            <w:r>
              <w:t xml:space="preserve">Sprawozdania finansowe, polisa wraz z wyłączeniami</w:t>
            </w:r>
          </w:p>
        </w:tc>
      </w:tr>
      <w:tr>
        <w:tc>
          <w:tcPr/>
          <w:p>
            <w:pPr>
              <w:pStyle w:val="Compact"/>
              <w:jc w:val="left"/>
            </w:pPr>
            <w:r>
              <w:t xml:space="preserve">Warunki transakcji zastępczej: przedmiot, cena, data, alternatywne oferty</w:t>
            </w:r>
          </w:p>
        </w:tc>
        <w:tc>
          <w:tcPr/>
          <w:p>
            <w:pPr>
              <w:pStyle w:val="Compact"/>
              <w:jc w:val="left"/>
            </w:pPr>
            <w:r>
              <w:t xml:space="preserve">Warunki z art. 75 oraz granica z art. 74 i art. 77</w:t>
            </w:r>
          </w:p>
        </w:tc>
        <w:tc>
          <w:tcPr/>
          <w:p>
            <w:pPr>
              <w:pStyle w:val="Compact"/>
              <w:jc w:val="left"/>
            </w:pPr>
            <w:r>
              <w:t xml:space="preserve">Umowa zastępcza, zapytania ofertowe, notowania rynkowe</w:t>
            </w:r>
          </w:p>
        </w:tc>
      </w:tr>
    </w:tbl>
    <w:bookmarkEnd w:id="32"/>
    <w:bookmarkStart w:id="33" w:name="proponowane-rozstrzygnięcie"/>
    <w:p>
      <w:pPr>
        <w:pStyle w:val="Heading2"/>
      </w:pPr>
      <w:r>
        <w:t xml:space="preserve">Proponowane rozstrzygnięcie</w:t>
      </w:r>
    </w:p>
    <w:p>
      <w:pPr>
        <w:pStyle w:val="FirstParagraph"/>
      </w:pPr>
      <w:r>
        <w:t xml:space="preserve">W zakresie wersji regulaminu: zastosować wersję obowiązującą w chwili wszczęcia postępowania, z zastrzeżeniem warunkowym — jeżeli brzmienie klauzuli wiąże regulamin z datą zawarcia umowy, zastosować wersję z tej daty i odpowiednio zawęzić katalog dostępnych instrumentów proceduralnych. Rozstrzygnięcie o wersji wydać jako pierwsze i osobno, ponieważ przesądza podstawę trzech kolejnych wniosków.</w:t>
      </w:r>
    </w:p>
    <w:p>
      <w:pPr>
        <w:pStyle w:val="BodyText"/>
      </w:pPr>
      <w:r>
        <w:t xml:space="preserve">W zakresie ujawnienia: uwzględnić wniosek w części obejmującej tożsamość finansującego i podmiotów go kontrolujących, datę i fakt zawarcia umowy finansowania oraz postanowienia dotyczące wpływu finansującego na decyzje procesowe, na ugodę i na powiązanie wynagrodzenia z rozstrzygnięciem. Oddalić w części obejmującej ocenę szans, analizę ryzyka i budżet. Zarządzić przedstawienie trybunałowi wersji pełnej wraz z wersją z redakcjami i zastrzec rozstrzygnięcie o zakresie redakcji dla trybunału. Ujawnić tożsamość ubezpieczyciela na tych samych zasadach.</w:t>
      </w:r>
    </w:p>
    <w:p>
      <w:pPr>
        <w:pStyle w:val="BodyText"/>
      </w:pPr>
      <w:r>
        <w:t xml:space="preserve">W zakresie zabezpieczenia kosztów: rozstrzygnięcie warunkowe. Oddalić wniosek, jeżeli kupujący wykaże pokrycie ubezpieczeniowe obejmujące rozstrzygnięcie o kosztach bez istotnych wyłączeń; uwzględnić w części nieobjętej pokryciem, jeżeli pokrycie jest częściowe; uwzględnić w całości, jeżeli kupujący odmówi przedstawienia zakresu pokrycia, przy czym podstawą jest wtedy nieprzedstawienie dowodu będącego w jego dyspozycji, a nie samo istnienie finansowania. Zaznaczyć wprost, że finansowanie przez podmiot trzeci nie jest samodzielną przesłanką zabezpieczenia.</w:t>
      </w:r>
    </w:p>
    <w:p>
      <w:pPr>
        <w:pStyle w:val="BodyText"/>
      </w:pPr>
      <w:r>
        <w:t xml:space="preserve">W zakresie wyłączenia arbitra: nie rozstrzygać przed zamknięciem kwestii ujawnienia. Następnie orzec według trzech gałęzi: relacja majątkowa albo powtarzalne nominacje — wyłączyć; jednorazowy kontakt zawodowy — poprzestać na ujawnieniu; wspólne środowisko zawodowe — oddalić.</w:t>
      </w:r>
    </w:p>
    <w:p>
      <w:pPr>
        <w:pStyle w:val="BodyText"/>
      </w:pPr>
      <w:r>
        <w:t xml:space="preserve">W zakresie zwolnienia sprzedawcy: rozstrzygnięcie warunkowe o czterech wynikach. Umowa zawarta po przekazaniu propozycji Sekretariatowi — art. 79 nie działa niezależnie od załącznika, bo przesłanka nieprzewidywalności odpada. Umowa zawarta wcześniej i gatunek w załączniku II — art. 79 nie działa, bo przeszkoda jest przezwyciężalna. Umowa zawarta wcześniej i gatunek w załączniku I — art. 79 działa, a odpowiedzialność sprzedawcy odpada w zakresie objętym przeszkodą i na czas jej trwania (art. 79 ust. 3), przy zachowaniu obowiązku zawiadomienia z ust. 4 i zastrzeżenia z ust. 5, że zwolnienie dotyczy wyłącznie roszczenia odszkodowawczego. Państwo wywozu albo przywozu ze skutecznym zastrzeżeniem z art. XV ust. 3 — reżim zmienionego załącznika w tej relacji nie działa, a przeszkody prawnej nie ma wcale.</w:t>
      </w:r>
    </w:p>
    <w:p>
      <w:pPr>
        <w:pStyle w:val="BodyText"/>
      </w:pPr>
      <w:r>
        <w:t xml:space="preserve">Przed rozpoznaniem art. 79 rozstrzygnąć jednak kwestię wcześniejszą: jeżeli obowiązek uzyskania zezwolenia przywozowego obciążał kupującego, oddalić jego roszczenia na podstawie art. 80 bez wchodzenia w art. 79. Kolejność jest częścią rozstrzygnięcia, bo droga z art. 80 nie wymaga badania przewidywalności.</w:t>
      </w:r>
    </w:p>
    <w:p>
      <w:pPr>
        <w:pStyle w:val="BodyText"/>
      </w:pPr>
      <w:r>
        <w:t xml:space="preserve">W zakresie skuteczności rozwiązania: zastosować art. 73, nie art. 49. Uznać rozwiązanie za skuteczne co do transz objętych przeszkodą; co do pozostałych — wyłącznie po wykazaniu przez kupującego przesłanek z art. 73 ust. 2 albo współzależności transz z ust. 3. Zweryfikować dochowanie formy z art. 26 i rozsądnego terminu z art. 73 ust. 2.</w:t>
      </w:r>
    </w:p>
    <w:p>
      <w:pPr>
        <w:pStyle w:val="BodyText"/>
      </w:pPr>
      <w:r>
        <w:t xml:space="preserve">W zakresie odmowy alternatywy: rozstrzygnięcie sprzężone z zagadnieniem czwartym. Przy załączniku I uznać odmowę za uzasadnioną, ponieważ alternatywna trasa nie usuwa przeszkody wynikającej z celu użycia. Przy załączniku II uznać odmowę za naruszenie obowiązku z art. 77 i obniżyć odszkodowanie o kwotę, o którą strata mogła zostać zmniejszona.</w:t>
      </w:r>
    </w:p>
    <w:p>
      <w:pPr>
        <w:pStyle w:val="BodyText"/>
      </w:pPr>
      <w:r>
        <w:t xml:space="preserve">W zakresie odszkodowania: zasądzić różnicę z art. 75 wyłącznie w granicach skutecznego rozwiązania i wyłącznie wtedy, gdy transakcja zastępcza dotyczyła towaru odpowiadającego przedmiotowi umowy, została zawarta w rozsądny sposób i w rozsądnym terminie. W pozostałym zakresie oprzeć rozstrzygnięcie na art. 74 z pełnym badaniem przewidywalności straty w chwili zawarcia umowy, wskazując wprost, że stanowisko strony co do przewidywalności zmiany reżimu wiąże ją także przy ocenie przewidywalności skutków cenowych.</w:t>
      </w:r>
    </w:p>
    <w:bookmarkEnd w:id="33"/>
    <w:bookmarkStart w:id="34" w:name="bramka-środka-naprawczego-rem-gate-k-05"/>
    <w:p>
      <w:pPr>
        <w:pStyle w:val="Heading2"/>
      </w:pPr>
      <w:r>
        <w:t xml:space="preserve">Bramka środka naprawczego (REM-GATE) — K-05</w:t>
      </w:r>
    </w:p>
    <w:p>
      <w:pPr>
        <w:pStyle w:val="FirstParagraph"/>
      </w:pPr>
      <w:r>
        <w:t xml:space="preserve">REM-0 próby: 3 powołania kandydujące do znacznika, 3 próby dwukanałowe, 2 odzyskane, 1 porażka udokumentowana kodem. Porażka realna:</w:t>
      </w:r>
      <w:r>
        <w:t xml:space="preserve"> </w:t>
      </w:r>
      <w:r>
        <w:rPr>
          <w:rStyle w:val="VerbatimChar"/>
        </w:rPr>
        <w:t xml:space="preserve">siac.org.sg</w:t>
      </w:r>
      <w:r>
        <w:t xml:space="preserve"> </w:t>
      </w:r>
      <w:r>
        <w:t xml:space="preserve">— curl 403 na dwóch ścieżkach (strona regulaminu i plik PDF), web_fetch odmowa z detekcją bota; kanał RZĘDU 1 niedostępny, powołanie oparte na bazie odtwarzającej tekst regulaminu (RZĄD 2A). Odzyskane: CISG i konwencja o handlu gatunkami zagrożonymi — oba pełne teksty z depozytariusza UNTS przez curl.</w:t>
      </w:r>
    </w:p>
    <w:p>
      <w:pPr>
        <w:pStyle w:val="BodyText"/>
      </w:pPr>
      <w:r>
        <w:t xml:space="preserve">REM-1 oddalenia: 3 oddalone (żądanie ujawnienia pełnej umowy finansowania; wniosek o zabezpieczenie kosztów oparty na samym fakcie finansowania; rozwiązanie umowy w całości na podstawie art. 49), 3 sparowane alternatywy rozwinięte na tę samą głębokość (ujawnienie w zakresie wyznaczonym celem kontroli konfliktu, z wersją redagowaną pod kontrolą trybunału; zabezpieczenie warunkowe oparte na zakresie pokrycia ubezpieczeniowego; rozwiązanie w reżimie art. 73 z trzema gałęziami).</w:t>
      </w:r>
    </w:p>
    <w:p>
      <w:pPr>
        <w:pStyle w:val="BodyText"/>
      </w:pPr>
      <w:r>
        <w:t xml:space="preserve">REM-2 braki: 10 pozycji ⬛, 10 rozstrzygnięć warunkowych, 0 blokad dopuszczalności.</w:t>
      </w:r>
    </w:p>
    <w:p>
      <w:pPr>
        <w:pStyle w:val="BodyText"/>
      </w:pPr>
      <w:r>
        <w:t xml:space="preserve">REM-3 instrumenty o niższym statusie: regulamin arbitrażowy — jedyny obszar oparty na źródle RZĘDU 2A, niosący całość zagadnienia pierwszego i podstawę zagadnień drugiego i trzeciego. Argumentacja przeprowadzona w pełnej objętości; znacznik dotyczy statusu powołania, nie siły wywodu ani mocy wiążącej reguł, które wiążą strony przez odesłanie umowne, a nie jako źródło prawa.</w:t>
      </w:r>
    </w:p>
    <w:p>
      <w:pPr>
        <w:pStyle w:val="BodyText"/>
      </w:pPr>
      <w:r>
        <w:t xml:space="preserve">REM-4 pokrycie: wersja regulaminu — PEŁNA; ujawnienie — PEŁNA; zabezpieczenie i wyłączenie — PEŁNA; zwolnienie z art. 79 — PEŁNA; rozwiązanie umowy — PEŁNA; odszkodowanie — PEŁNA; prawo właściwe dla umowy poza konwencją sprzedażową i skutki ewentualnego wyłączenia jej stosowania — CIENKA i deklaruję to wprost.</w:t>
      </w:r>
    </w:p>
    <w:bookmarkEnd w:id="34"/>
    <w:bookmarkStart w:id="35" w:name="zweryfikowane-pozycje-źródłowe-k-05"/>
    <w:p>
      <w:pPr>
        <w:pStyle w:val="Heading2"/>
      </w:pPr>
      <w:r>
        <w:t xml:space="preserve">Zweryfikowane pozycje źródłowe (K-05)</w:t>
      </w:r>
    </w:p>
    <w:p>
      <w:pPr>
        <w:pStyle w:val="FirstParagraph"/>
      </w:pPr>
      <w:r>
        <w:t xml:space="preserve">Konwencja Narodów Zjednoczonych o umowach międzynarodowej sprzedaży towarów, Wiedeń, 11 kwietnia 1980 r., UNTS vol. 1489, nr I-25567 — sprawdzono art. 7 ust. 1–2, art. 8 ust. 1–3, art. 25, art. 26, art. 49 ust. 1–2, art. 50, art. 71 ust. 1–3, art. 72 ust. 1–3, art. 73 ust. 1–3, art. 74, art. 75, art. 76 ust. 1–2, art. 77, art. 79 ust. 1–5, art. 80, art. 81 ust. 1. ✅ [VER: treaties.un.org, curl 200, pełny tekst UNTS, RZĄD 1, 2026-09-06]</w:t>
      </w:r>
    </w:p>
    <w:p>
      <w:pPr>
        <w:pStyle w:val="BodyText"/>
      </w:pPr>
      <w:r>
        <w:t xml:space="preserve">Konwencja o międzynarodowym handlu dzikimi zwierzętami i roślinami gatunków zagrożonych wyginięciem, Waszyngton, 3 marca 1973 r., UNTS vol. 993, nr I-14537 — sprawdzono art. III ust. 1–4, art. IV ust. 1–5, art. XV ust. 1 lit. a–c, ust. 2 lit. i–l i ust. 3, art. XXIII ust. 1–3, art. XXIV. ✅ [VER: treaties.un.org, curl 200, pełny tekst UNTS, RZĄD 1, 2026-09-06]</w:t>
      </w:r>
    </w:p>
    <w:p>
      <w:pPr>
        <w:pStyle w:val="BodyText"/>
      </w:pPr>
      <w:r>
        <w:t xml:space="preserve">Regulamin arbitrażowy instytucji wskazanej w klauzuli, w wersji obowiązującej od 1 stycznia 2025 r. — sprawdzono regułę zakresu zastosowania (wejście w życie i stosowanie do postępowań wszczętych w tej dacie lub później, o ile strony nie postanowiły inaczej). ⚠️ [RZĄD 2A — baza odtwarzająca tekst regulaminu z podaniem źródła. Kanał RZĘDU 1 niedostępny: siac.org.sg — curl 403 (dwie ścieżki), web_fetch odmowa z detekcją bota. Pomiar 2026-09-06]</w:t>
      </w:r>
    </w:p>
    <w:p>
      <w:pPr>
        <w:pStyle w:val="BodyText"/>
      </w:pPr>
      <w:r>
        <w:t xml:space="preserve">Nie przypisano jednostkom redakcyjnym i przedstawiono jako standard doktrynalny: standard uzasadnionych wątpliwości co do bezstronności i niezależności arbitra oraz katalog okoliczności podlegających ujawnieniu; przesłanki zabezpieczenia kosztów w praktyce arbitrażowej; zakres przywileju obejmującego dokumenty przygotowane na potrzeby postępowania; kryteria rozsądności zakupu zastępczego w praktyce orzeczniczej dotyczącej konwencji sprzedażowej. Wymagają samodzielnego potwierdzenia.</w:t>
      </w:r>
    </w:p>
    <w:bookmarkEnd w:id="35"/>
    <w:bookmarkEnd w:id="36"/>
    <w:bookmarkStart w:id="52" w:name="k-06-inkaton-przeciwko-accadii"/>
    <w:p>
      <w:pPr>
        <w:pStyle w:val="Heading1"/>
      </w:pPr>
      <w:r>
        <w:t xml:space="preserve">K-06 Inkaton przeciwko Accadii</w:t>
      </w:r>
    </w:p>
    <w:bookmarkStart w:id="37" w:name="teza-wstępna-1"/>
    <w:p>
      <w:pPr>
        <w:pStyle w:val="Heading2"/>
      </w:pPr>
      <w:r>
        <w:t xml:space="preserve">Teza wstępna</w:t>
      </w:r>
    </w:p>
    <w:p>
      <w:pPr>
        <w:pStyle w:val="FirstParagraph"/>
      </w:pPr>
      <w:r>
        <w:t xml:space="preserve">Kazus wygląda na spór o własność satelity, a rozstrzyga się na dwóch jednostkach, z których pierwsza odpowiada na pytanie o własność jednym zdaniem, a druga rozdziela reżimy odpowiedzialności w sposób odwrotny do intuicji.</w:t>
      </w:r>
    </w:p>
    <w:p>
      <w:pPr>
        <w:pStyle w:val="BodyText"/>
      </w:pPr>
      <w:r>
        <w:t xml:space="preserve">Pierwsza to art. VIII Układu o zasadach działalności państw w zakresie badań i użytkowania przestrzeni kosmicznej. Państwo, w którego rejestrze figuruje obiekt wypuszczony w przestrzeń kosmiczną, zachowuje jurysdykcję i kontrolę nad tym obiektem oraz nad jego załogą, gdy znajdują się w przestrzeni kosmicznej lub na ciele niebieskim. Zdanie drugie stanowi, że własność obiektów wypuszczonych w przestrzeń kosmiczną, w tym obiektów wylądowanych lub zbudowanych na ciele niebieskim, oraz ich części składowych nie ulega zmianie z powodu ich obecności w przestrzeni kosmicznej lub na ciele niebieskim ani z powodu ich powrotu na Ziemię. Wyliczenie zdarzeń, które własności nie zmieniają, nie obejmuje utraty kontroli — ale też nie ustanawia żadnego zdarzenia, które własność zmienia. Zdanie trzecie dopełnia obraz: obiekty znalezione poza granicami państwa rejestracji zwraca się temu państwu, które na żądanie dostarcza dane identyfikacyjne przed zwrotem. Reżim jest więc reżimem zwrotu, nie zawłaszczenia.</w:t>
      </w:r>
    </w:p>
    <w:p>
      <w:pPr>
        <w:pStyle w:val="BodyText"/>
      </w:pPr>
      <w:r>
        <w:t xml:space="preserve">Druga to para przepisów-bliźniaków konwencji o międzynarodowej odpowiedzialności za szkody wyrządzone przez obiekty kosmiczne. Art. II ustanawia odpowiedzialność absolutną państwa wypuszczającego za szkodę wyrządzoną przez jego obiekt kosmiczny na powierzchni Ziemi lub statkowi powietrznemu w locie. Art. III ustanawia odpowiedzialność opartą na winie za szkodę wyrządzoną gdzie indziej niż na powierzchni Ziemi obiektowi kosmicznemu jednego państwa wypuszczającego albo osobom lub mieniu na jego pokładzie przez obiekt kosmiczny innego państwa wypuszczającego. Instalacja Quipu znajduje się na Księżycu, a więc nie na powierzchni Ziemi. Reżimem właściwym jest wina, nie odpowiedzialność absolutna — i jest to dokładnie ten wzorzec, przed którym ostrzega bramka międzynarodowa: założenie reżimu odpowiedzialności zamiast odczytania go z tekstu.</w:t>
      </w:r>
    </w:p>
    <w:p>
      <w:pPr>
        <w:pStyle w:val="BodyText"/>
      </w:pPr>
      <w:r>
        <w:t xml:space="preserve">Trzecie ustalenie porządkujące. Sargon zwróciła się o zgodę do Quipu, a po odmowie działała jednostronnie. Art. IX Układu wymaga natomiast czegoś innego: jeżeli państwo-strona ma powody sądzić, że planowane przez nie lub przez jego obywateli działanie lub eksperyment spowodowałyby potencjalnie szkodliwe zakłócenie działalności innych państw-stron w pokojowym badaniu i użytkowaniu przestrzeni kosmicznej, podejmuje odpowiednie konsultacje międzynarodowe przed przystąpieniem do takiego działania. Adresatem obowiązku jest państwo, a konsultacje są międzynarodowe — zwrócenie się do prywatnego operatora nie jest wykonaniem art. IX ani w części. Accadia nie zaniedbała zgody; zaniedbała konsultacji z Inkatonem.</w:t>
      </w:r>
    </w:p>
    <w:bookmarkEnd w:id="37"/>
    <w:bookmarkStart w:id="38" w:name="mapa-jurysdykcji-źródeł-i-kompetencji-1"/>
    <w:p>
      <w:pPr>
        <w:pStyle w:val="Heading2"/>
      </w:pPr>
      <w:r>
        <w:t xml:space="preserve">Mapa jurysdykcji, źródeł i kompetencji</w:t>
      </w:r>
    </w:p>
    <w:p>
      <w:pPr>
        <w:pStyle w:val="FirstParagraph"/>
      </w:pPr>
      <w:r>
        <w:t xml:space="preserve">Fora i ich zakres. Spór przekazano do rozstrzygnięcia międzypaństwowego. Konwencja o odpowiedzialności jest instrumentem międzypaństwowym: roszczenie o odszkodowanie przedstawia państwo, które poniosło szkodę albo którego osoby fizyczne lub prawne ją poniosły (art. VIII ust. 1), i przedstawia je państwu wypuszczającemu drogą dyplomatyczną (art. IX). Spółki nie mają w tym reżimie własnego forum. Art. XI ust. 2 zachowuje jednak możliwość dochodzenia roszczenia przed sądami, trybunałami administracyjnymi lub organami państwa wypuszczającego — z zastrzeżeniem, którego znaczenie w tym kazusie jest praktyczne i zostanie omówione w zagadnieniu szóstym.</w:t>
      </w:r>
    </w:p>
    <w:p>
      <w:pPr>
        <w:pStyle w:val="BodyText"/>
      </w:pPr>
      <w:r>
        <w:t xml:space="preserve">Sześć warstw, których nie wolno łączyć. Własność obiektu i jurysdykcja nad nim; legalność jednostronnego przechwycenia; odpowiedzialność za szkodę wyrządzoną uderzeniem ładunku; obowiązek ratownictwa i jego granice; reżim wraku i technologii; wymogi czasowe roszczenia. Każda ma inną podstawę, inny test i inny skutek. W szczególności bezprawność przechwycenia nie przesądza odpowiedzialności za późniejszą szkodę, a odpowiedzialność za szkodę nie przesądza o tytule do obiektu.</w:t>
      </w:r>
    </w:p>
    <w:p>
      <w:pPr>
        <w:pStyle w:val="BodyText"/>
      </w:pPr>
      <w:r>
        <w:t xml:space="preserve">Odpowiedzialność a odpowiedzialność odszkodowawcza. Art. VI Układu nakłada na państwa-strony odpowiedzialność międzynarodową za działalność narodową w przestrzeni kosmicznej, prowadzoną zarówno przez agencje rządowe, jak i przez podmioty pozarządowe, oraz za zapewnienie, że działalność ta jest prowadzona zgodnie z postanowieniami Układu; działalność podmiotów pozarządowych wymaga zezwolenia i stałego nadzoru właściwego państwa-strony. Art. VII Układu i konwencja o odpowiedzialności regulują natomiast odpowiedzialność odszkodowawczą państwa wypuszczającego. To są dwa różne pojęcia z dwoma różnymi zakresami podmiotowymi: państwo może być odpowiedzialne za działalność podmiotu, nie będąc państwem wypuszczającym obiektu, i odwrotnie.</w:t>
      </w:r>
    </w:p>
    <w:bookmarkEnd w:id="38"/>
    <w:bookmarkStart w:id="39" w:name="bramki-weryfikacyjne-mg-1-mg-2-cn-gate-1"/>
    <w:p>
      <w:pPr>
        <w:pStyle w:val="Heading2"/>
      </w:pPr>
      <w:r>
        <w:t xml:space="preserve">Bramki weryfikacyjne (MG-1, MG-2, CN-GATE)</w:t>
      </w:r>
    </w:p>
    <w:p>
      <w:pPr>
        <w:pStyle w:val="FirstParagraph"/>
      </w:pPr>
      <w:r>
        <w:t xml:space="preserve">MG-1 — ratyfikacja, zakres czasowy i podmiotowy. ⬛ Kazus nie podaje, czy Inkaton i Accadia są stronami Układu o przestrzeni kosmicznej, Umowy o ratownictwie, konwencji o odpowiedzialności i konwencji o rejestracji ani od kiedy każdy z tych instrumentów wiąże każde z nich. Cztery traktaty mają odrębne listy stron i pominięcie tego jest błędem strukturalnym: reżim zwrotu obiektu wynika z Układu, ale reżim zwrotu na żądanie wraz z rozkładem kosztów — z Umowy o ratownictwie, której państwo może nie być stroną. ⬛ Nie podano też, czy którekolwiek z państw jest stroną Układu regulującego działalność państw na Księżycu i innych ciałach niebieskich; instrument ten ma znacznie węższy krąg stron, a zawiera własny reżim dla zasobów, więc jego pominięcie albo bezpodstawne powołanie zmienia wynik. ⬛ Nie podano, które państwo jest państwem rejestracji satelity Quipu ani które państwo jest państwem wypuszczającym statku Sargon — a definicja państwa wypuszczającego jest wielokrotna i tworzy odpowiedzialność solidarną.</w:t>
      </w:r>
    </w:p>
    <w:p>
      <w:pPr>
        <w:pStyle w:val="BodyText"/>
      </w:pPr>
      <w:r>
        <w:t xml:space="preserve">Retroakcja: kazus nie zawiera zdarzeń poprzedzających wejście w życie instrumentów. Pozycja zamyka się bez trafień.</w:t>
      </w:r>
    </w:p>
    <w:p>
      <w:pPr>
        <w:pStyle w:val="BodyText"/>
      </w:pPr>
      <w:r>
        <w:t xml:space="preserve">MG-2 — wykładnia i krawędzie jednostek.</w:t>
      </w:r>
    </w:p>
    <w:p>
      <w:pPr>
        <w:pStyle w:val="BodyText"/>
      </w:pPr>
      <w:r>
        <w:t xml:space="preserve">S1 definicje: 3 trafienia. Art. I lit. c konwencji o odpowiedzialności — „państwo wypuszczające” oznacza państwo, które wypuszcza lub powoduje wypuszczenie obiektu kosmicznego, oraz państwo, z którego terytorium lub urządzenia obiekt jest wypuszczany; definicja jest alternatywna i jednemu obiektowi może odpowiadać kilka państw wypuszczających, odpowiedzialnych solidarnie (art. V ust. 1). Art. I lit. d — „obiekt kosmiczny” obejmuje części składowe obiektu, jak również pojazd nośny i jego części; odrzucony ładunek jest zatem obiektem kosmicznym, co przesądza, że uderzenie w instalację podlega konwencji, a nie regułom ogólnym. Art. I lit. a — „szkoda” oznacza utratę życia, uszkodzenie ciała lub inny uszczerbek na zdrowiu albo utratę lub uszkodzenie mienia państw lub osób fizycznych lub prawnych albo mienia międzynarodowych organizacji międzyrządowych; definicja obejmuje mienie osób prawnych, a więc sprzęt, konstrukcję z regolitu i wydobyty hel-3, ale nie wymienia czystej straty ekonomicznej — i tę granicę trzeba nazwać, zamiast zakładać jej brak.</w:t>
      </w:r>
    </w:p>
    <w:p>
      <w:pPr>
        <w:pStyle w:val="BodyText"/>
      </w:pPr>
      <w:r>
        <w:t xml:space="preserve">S2 krawędzie: 3 trafienia. Art. VII konwencji o odpowiedzialności — postanowień konwencji nie stosuje się do szkody wyrządzonej przez obiekt kosmiczny państwa wypuszczającego jego własnym obywatelom oraz cudzoziemcom w czasie, gdy uczestniczą w operowaniu tym obiektem od chwili wypuszczenia lub na dowolnym późniejszym etapie aż do zejścia, albo gdy znajdują się w bezpośrednim sąsiedztwie planowanego obszaru startu lub odzysku na zaproszenie tego państwa; jednostka wyłączająca umieszczona po katalogu reguł odpowiedzialności. Art. VI konwencji — zwolnienie od odpowiedzialności w zakresie, w jakim państwo wypuszczające wykaże rażące niedbalstwo albo działanie lub zaniechanie z zamiarem wyrządzenia szkody po stronie państwa dochodzącego roszczenia; ustęp 1 odnosi się wyraźnie do odpowiedzialności absolutnej, a ustęp 2 wyłącza zwolnienie w przypadkach szkody wynikającej z działalności państwa wypuszczającego niezgodnej z prawem międzynarodowym, w szczególności z Kartą Narodów Zjednoczonych i z Układem o przestrzeni kosmicznej. Art. VIII zdanie trzecie Układu — klauzula zwrotowa położona na końcu artykułu o jurysdykcji i kontroli, a nie w osobnym przepisie o własności.</w:t>
      </w:r>
    </w:p>
    <w:p>
      <w:pPr>
        <w:pStyle w:val="BodyText"/>
      </w:pPr>
      <w:r>
        <w:t xml:space="preserve">S3 instrumenty powiązane: 3 trafienia. Umowa o ratownictwie: art. 2 (obowiązek ratowania personelu, który wskutek wypadku, niebezpieczeństwa albo przymusowego lub niezamierzonego lądowania znalazł się na terytorium podlegającym jurysdykcji Strony), art. 3 (pomoc w akcjach poszukiwawczych i ratowniczych na obszarach niepodlegających jurysdykcji żadnego państwa), art. 4 (bezpieczny i szybki zwrot personelu przedstawicielom władzy wypuszczającej), art. 5 ust. 2–5 (odzyskanie i zwrot obiektu na żądanie władzy wypuszczającej, notyfikacja przy obiekcie niebezpiecznym, koszty po stronie władzy wypuszczającej). Konwencja o rejestracji: art. I lit. c (państwo rejestracji jako państwo wypuszczające, w którego rejestrze obiekt figuruje), art. II ust. 1–3, art. IV ust. 1 i 3. Art. V Układu — astronauci jako wysłannicy ludzkości i wzajemny obowiązek udzielania wszelkiej możliwej pomocy przy prowadzeniu działalności w przestrzeni kosmicznej i na ciałach niebieskich.</w:t>
      </w:r>
    </w:p>
    <w:p>
      <w:pPr>
        <w:pStyle w:val="BodyText"/>
      </w:pPr>
      <w:r>
        <w:t xml:space="preserve">S4 nowelizacje: brak trafień. Cztery traktaty kosmiczne nie były nowelizowane.</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CN-1 czas</w:t>
            </w:r>
          </w:p>
        </w:tc>
        <w:tc>
          <w:tcPr/>
          <w:p>
            <w:pPr>
              <w:pStyle w:val="Compact"/>
              <w:jc w:val="left"/>
            </w:pPr>
            <w:r>
              <w:t xml:space="preserve">CN-2 podmiot</w:t>
            </w:r>
          </w:p>
        </w:tc>
        <w:tc>
          <w:tcPr/>
          <w:p>
            <w:pPr>
              <w:pStyle w:val="Compact"/>
              <w:jc w:val="left"/>
            </w:pPr>
            <w:r>
              <w:t xml:space="preserve">CN-3 przedmiot</w:t>
            </w:r>
          </w:p>
        </w:tc>
      </w:tr>
      <w:tr>
        <w:tc>
          <w:tcPr/>
          <w:p>
            <w:pPr>
              <w:pStyle w:val="Compact"/>
              <w:jc w:val="left"/>
            </w:pPr>
            <w:r>
              <w:t xml:space="preserve">Własność satelity po utracie kontroli</w:t>
            </w:r>
          </w:p>
        </w:tc>
        <w:tc>
          <w:tcPr/>
          <w:p>
            <w:pPr>
              <w:pStyle w:val="Compact"/>
              <w:jc w:val="left"/>
            </w:pPr>
            <w:r>
              <w:t xml:space="preserve">art. VIII zdanie drugie Układu</w:t>
            </w:r>
          </w:p>
        </w:tc>
        <w:tc>
          <w:tcPr/>
          <w:p>
            <w:pPr>
              <w:pStyle w:val="Compact"/>
              <w:jc w:val="left"/>
            </w:pPr>
            <w:r>
              <w:t xml:space="preserve">TAK</w:t>
            </w:r>
          </w:p>
        </w:tc>
        <w:tc>
          <w:tcPr/>
          <w:p>
            <w:pPr>
              <w:pStyle w:val="Compact"/>
              <w:jc w:val="left"/>
            </w:pPr>
            <w:r>
              <w:t xml:space="preserve">⬛ państwo rejestracji nieustalone</w:t>
            </w:r>
          </w:p>
        </w:tc>
        <w:tc>
          <w:tcPr/>
          <w:p>
            <w:pPr>
              <w:pStyle w:val="Compact"/>
              <w:jc w:val="left"/>
            </w:pPr>
            <w:r>
              <w:t xml:space="preserve">TAK — utrata kontroli nie jest zdarzeniem zmieniającym własność</w:t>
            </w:r>
          </w:p>
        </w:tc>
      </w:tr>
      <w:tr>
        <w:tc>
          <w:tcPr/>
          <w:p>
            <w:pPr>
              <w:pStyle w:val="Compact"/>
              <w:jc w:val="left"/>
            </w:pPr>
            <w:r>
              <w:t xml:space="preserve">Skuteczność orzeczenia in rem</w:t>
            </w:r>
          </w:p>
        </w:tc>
        <w:tc>
          <w:tcPr/>
          <w:p>
            <w:pPr>
              <w:pStyle w:val="Compact"/>
              <w:jc w:val="left"/>
            </w:pPr>
            <w:r>
              <w:t xml:space="preserve">art. II i art. VIII zdanie trzecie Układu</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Legalność jednostronnego przechwycenia</w:t>
            </w:r>
          </w:p>
        </w:tc>
        <w:tc>
          <w:tcPr/>
          <w:p>
            <w:pPr>
              <w:pStyle w:val="Compact"/>
              <w:jc w:val="left"/>
            </w:pPr>
            <w:r>
              <w:t xml:space="preserve">art. IX Układu</w:t>
            </w:r>
          </w:p>
        </w:tc>
        <w:tc>
          <w:tcPr/>
          <w:p>
            <w:pPr>
              <w:pStyle w:val="Compact"/>
              <w:jc w:val="left"/>
            </w:pPr>
            <w:r>
              <w:t xml:space="preserve">TAK</w:t>
            </w:r>
          </w:p>
        </w:tc>
        <w:tc>
          <w:tcPr/>
          <w:p>
            <w:pPr>
              <w:pStyle w:val="Compact"/>
              <w:jc w:val="left"/>
            </w:pPr>
            <w:r>
              <w:t xml:space="preserve">TAK — obowiązek adresowany do państwa</w:t>
            </w:r>
          </w:p>
        </w:tc>
        <w:tc>
          <w:tcPr/>
          <w:p>
            <w:pPr>
              <w:pStyle w:val="Compact"/>
              <w:jc w:val="left"/>
            </w:pPr>
            <w:r>
              <w:t xml:space="preserve">TAK</w:t>
            </w:r>
          </w:p>
        </w:tc>
      </w:tr>
      <w:tr>
        <w:tc>
          <w:tcPr/>
          <w:p>
            <w:pPr>
              <w:pStyle w:val="Compact"/>
              <w:jc w:val="left"/>
            </w:pPr>
            <w:r>
              <w:t xml:space="preserve">Konieczność jako okoliczność wyłączająca bezprawność</w:t>
            </w:r>
          </w:p>
        </w:tc>
        <w:tc>
          <w:tcPr/>
          <w:p>
            <w:pPr>
              <w:pStyle w:val="Compact"/>
              <w:jc w:val="left"/>
            </w:pPr>
            <w:r>
              <w:t xml:space="preserve">art. 25 artykułów KPM</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brak materiału o powadze i bezpośredniości zagrożenia</w:t>
            </w:r>
          </w:p>
        </w:tc>
      </w:tr>
      <w:tr>
        <w:tc>
          <w:tcPr/>
          <w:p>
            <w:pPr>
              <w:pStyle w:val="Compact"/>
              <w:jc w:val="left"/>
            </w:pPr>
            <w:r>
              <w:t xml:space="preserve">Szkoda na instalacji księżycowej — reżim absolutny</w:t>
            </w:r>
          </w:p>
        </w:tc>
        <w:tc>
          <w:tcPr/>
          <w:p>
            <w:pPr>
              <w:pStyle w:val="Compact"/>
              <w:jc w:val="left"/>
            </w:pPr>
            <w:r>
              <w:t xml:space="preserve">art. II konwencji o odpowiedzialności</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szkoda nie nastąpiła na powierzchni Ziemi ani statkowi powietrznemu w locie</w:t>
            </w:r>
          </w:p>
        </w:tc>
      </w:tr>
      <w:tr>
        <w:tc>
          <w:tcPr/>
          <w:p>
            <w:pPr>
              <w:pStyle w:val="Compact"/>
              <w:jc w:val="left"/>
            </w:pPr>
            <w:r>
              <w:t xml:space="preserve">Szkoda na instalacji księżycowej — reżim właściwy</w:t>
            </w:r>
          </w:p>
        </w:tc>
        <w:tc>
          <w:tcPr/>
          <w:p>
            <w:pPr>
              <w:pStyle w:val="Compact"/>
              <w:jc w:val="left"/>
            </w:pPr>
            <w:r>
              <w:t xml:space="preserve">art. III konwencji o odpowiedzialności</w:t>
            </w:r>
          </w:p>
        </w:tc>
        <w:tc>
          <w:tcPr/>
          <w:p>
            <w:pPr>
              <w:pStyle w:val="Compact"/>
              <w:jc w:val="left"/>
            </w:pPr>
            <w:r>
              <w:t xml:space="preserve">TAK</w:t>
            </w:r>
          </w:p>
        </w:tc>
        <w:tc>
          <w:tcPr/>
          <w:p>
            <w:pPr>
              <w:pStyle w:val="Compact"/>
              <w:jc w:val="left"/>
            </w:pPr>
            <w:r>
              <w:t xml:space="preserve">⬛ status obu państw jako wypuszczających</w:t>
            </w:r>
          </w:p>
        </w:tc>
        <w:tc>
          <w:tcPr/>
          <w:p>
            <w:pPr>
              <w:pStyle w:val="Compact"/>
              <w:jc w:val="left"/>
            </w:pPr>
            <w:r>
              <w:t xml:space="preserve">TAK</w:t>
            </w:r>
          </w:p>
        </w:tc>
      </w:tr>
      <w:tr>
        <w:tc>
          <w:tcPr/>
          <w:p>
            <w:pPr>
              <w:pStyle w:val="Compact"/>
              <w:jc w:val="left"/>
            </w:pPr>
            <w:r>
              <w:t xml:space="preserve">Odpowiedzialność państwa za spółki</w:t>
            </w:r>
          </w:p>
        </w:tc>
        <w:tc>
          <w:tcPr/>
          <w:p>
            <w:pPr>
              <w:pStyle w:val="Compact"/>
              <w:jc w:val="left"/>
            </w:pPr>
            <w:r>
              <w:t xml:space="preserve">art. VI Układu</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Ratownictwo na Księżycu</w:t>
            </w:r>
          </w:p>
        </w:tc>
        <w:tc>
          <w:tcPr/>
          <w:p>
            <w:pPr>
              <w:pStyle w:val="Compact"/>
              <w:jc w:val="left"/>
            </w:pPr>
            <w:r>
              <w:t xml:space="preserve">art. 3 Umowy o ratownictwie i art. V Układu</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Księżyc nie jest terytorium podlegającym jurysdykcji państwa</w:t>
            </w:r>
          </w:p>
        </w:tc>
      </w:tr>
      <w:tr>
        <w:tc>
          <w:tcPr/>
          <w:p>
            <w:pPr>
              <w:pStyle w:val="Compact"/>
              <w:jc w:val="left"/>
            </w:pPr>
            <w:r>
              <w:t xml:space="preserve">Ratownictwo — art. 2 Umowy</w:t>
            </w:r>
          </w:p>
        </w:tc>
        <w:tc>
          <w:tcPr/>
          <w:p>
            <w:pPr>
              <w:pStyle w:val="Compact"/>
              <w:jc w:val="left"/>
            </w:pPr>
            <w:r>
              <w:t xml:space="preserve">art. 2 Umowy o ratownictwie</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przepis dotyczy terytorium podlegającego jurysdykcji Strony</w:t>
            </w:r>
          </w:p>
        </w:tc>
      </w:tr>
      <w:tr>
        <w:tc>
          <w:tcPr/>
          <w:p>
            <w:pPr>
              <w:pStyle w:val="Compact"/>
              <w:jc w:val="left"/>
            </w:pPr>
            <w:r>
              <w:t xml:space="preserve">Wrak i technologia</w:t>
            </w:r>
          </w:p>
        </w:tc>
        <w:tc>
          <w:tcPr/>
          <w:p>
            <w:pPr>
              <w:pStyle w:val="Compact"/>
              <w:jc w:val="left"/>
            </w:pPr>
            <w:r>
              <w:t xml:space="preserve">art. 5 ust. 3 Umowy o ratownictwie oraz art. VIII zdanie trzecie Układu</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reżim zwrotu, nie zatrzymania</w:t>
            </w:r>
          </w:p>
        </w:tc>
      </w:tr>
      <w:tr>
        <w:tc>
          <w:tcPr/>
          <w:p>
            <w:pPr>
              <w:pStyle w:val="Compact"/>
              <w:jc w:val="left"/>
            </w:pPr>
            <w:r>
              <w:t xml:space="preserve">Termin roszczenia</w:t>
            </w:r>
          </w:p>
        </w:tc>
        <w:tc>
          <w:tcPr/>
          <w:p>
            <w:pPr>
              <w:pStyle w:val="Compact"/>
              <w:jc w:val="left"/>
            </w:pPr>
            <w:r>
              <w:t xml:space="preserve">art. X konwencji o odpowiedzialności</w:t>
            </w:r>
          </w:p>
        </w:tc>
        <w:tc>
          <w:tcPr/>
          <w:p>
            <w:pPr>
              <w:pStyle w:val="Compact"/>
              <w:jc w:val="left"/>
            </w:pPr>
            <w:r>
              <w:t xml:space="preserve">⬛ daty uzyskania wiedzy</w:t>
            </w:r>
          </w:p>
        </w:tc>
        <w:tc>
          <w:tcPr/>
          <w:p>
            <w:pPr>
              <w:pStyle w:val="Compact"/>
              <w:jc w:val="left"/>
            </w:pPr>
            <w:r>
              <w:t xml:space="preserve">TAK</w:t>
            </w:r>
          </w:p>
        </w:tc>
        <w:tc>
          <w:tcPr/>
          <w:p>
            <w:pPr>
              <w:pStyle w:val="Compact"/>
              <w:jc w:val="left"/>
            </w:pPr>
            <w:r>
              <w:t xml:space="preserve">TAK</w:t>
            </w:r>
          </w:p>
        </w:tc>
      </w:tr>
    </w:tbl>
    <w:p>
      <w:pPr>
        <w:pStyle w:val="BodyText"/>
      </w:pPr>
      <w:r>
        <w:t xml:space="preserve">Dwa wyniki „NIE” są rozstrzygające i przenoszą analizę na normy zastępcze: art. III zamiast art. II konwencji o odpowiedzialności oraz art. 3 Umowy o ratownictwie i art. V Układu zamiast art. 2 Umowy. Cztery ⬛ przechodzą do REM-GATE jako rozstrzygnięcia warunkowe.</w:t>
      </w:r>
    </w:p>
    <w:bookmarkEnd w:id="39"/>
    <w:bookmarkStart w:id="46" w:name="analiza-materialna-według-zagadnień-1"/>
    <w:p>
      <w:pPr>
        <w:pStyle w:val="Heading2"/>
      </w:pPr>
      <w:r>
        <w:t xml:space="preserve">Analiza materialna według zagadnień</w:t>
      </w:r>
    </w:p>
    <w:bookmarkStart w:id="40" w:name="Xa5f747b680fdad70c0ad7077356106ff8c7f5e5"/>
    <w:p>
      <w:pPr>
        <w:pStyle w:val="Heading3"/>
      </w:pPr>
      <w:r>
        <w:t xml:space="preserve">Zagadnienie 1: własność niekontrolowanego satelity i orzeczenie in rem</w:t>
      </w:r>
    </w:p>
    <w:p>
      <w:pPr>
        <w:pStyle w:val="FirstParagraph"/>
      </w:pPr>
      <w:r>
        <w:t xml:space="preserve">Odpowiedź na pierwszą część pytania jest krótka i tekstowa. Art. VIII zdanie drugie Układu stanowi, że własność obiektów wypuszczonych w przestrzeń kosmiczną, w tym obiektów wylądowanych lub zbudowanych na ciele niebieskim, oraz ich części składowych nie ulega zmianie z powodu ich obecności w przestrzeni kosmicznej lub na ciele niebieskim ani z powodu powrotu na Ziemię. Przepis nie ustanawia żadnego trybu utraty własności i nie zna instytucji porzucenia obiektu. Utrata kontroli nad satelitą jest okolicznością faktyczną, nie zdarzeniem prawnym — satelita pozostaje własnością Quipu, a państwo, w którego rejestrze figuruje, zachowuje nad nim jurysdykcję i kontrolę.</w:t>
      </w:r>
    </w:p>
    <w:p>
      <w:pPr>
        <w:pStyle w:val="BodyText"/>
      </w:pPr>
      <w:r>
        <w:t xml:space="preserve">Druga część pytania wymaga rozdzielenia dwóch rzeczy, które orzeczenie sądu Accadii zlewa. Sąd państwa może orzekać o tytule do rzeczy znajdującej się w jego jurysdykcji. Satelita nie znajdował się w jurysdykcji Accadii — znajdował się na niskiej orbicie okołoziemskiej, a następnie na stacji orbitalnej Sargon, przy czym w obu miejscach jurysdykcję i kontrolę nad nim zachowywało państwo rejestracji na podstawie art. VIII zdanie pierwsze. Orzeczenie in rem wydane w tych warunkach nie może przenieść tytułu, ponieważ sąd orzeka o przedmiocie, wobec którego jego państwo nie ma tytułu jurysdykcyjnego, a art. II Układu wyklucza zawłaszczenie przestrzeni kosmicznej przez roszczenie suwerenności, przez użytkowanie lub zajęcie albo w jakikolwiek inny sposób. Uzyskanie tytułu do cudzego obiektu w drodze orzeczenia własnego sądu jest zawłaszczeniem „w jakikolwiek inny sposób” w najczystszej postaci.</w:t>
      </w:r>
    </w:p>
    <w:p>
      <w:pPr>
        <w:pStyle w:val="BodyText"/>
      </w:pPr>
      <w:r>
        <w:t xml:space="preserve">Skutek jest przy tym mocniejszy niż samo stwierdzenie bezskuteczności orzeczenia. Art. VI Układu czyni państwo-stronę odpowiedzialnym międzynarodowo za działalność narodową w przestrzeni kosmicznej, także prowadzoną przez podmioty pozarządowe, i wymaga, by ta działalność podlegała zezwoleniu i stałemu nadzorowi. Wydanie orzeczenia przyznającego tytuł do cudzego obiektu jest aktem organu państwa, a nie działaniem podmiotu prywatnego — uruchamia więc odpowiedzialność Accadii bezpośrednio i niezależnie od tego, czy zachowanie Sargon zostanie jej przypisane.</w:t>
      </w:r>
    </w:p>
    <w:bookmarkEnd w:id="40"/>
    <w:bookmarkStart w:id="41" w:name="X08b2447fb2aaece1929f50ba4100abe06c794ca"/>
    <w:p>
      <w:pPr>
        <w:pStyle w:val="Heading3"/>
      </w:pPr>
      <w:r>
        <w:t xml:space="preserve">Zagadnienie 2: uzasadnienie jednostronnego usunięcia obiektu</w:t>
      </w:r>
    </w:p>
    <w:p>
      <w:pPr>
        <w:pStyle w:val="FirstParagraph"/>
      </w:pPr>
      <w:r>
        <w:t xml:space="preserve">Sargon podnosi trzy tytuły i każdy wymaga osobnej odpowiedzi; łączenie ich w ogólne powołanie się na „bezpieczeństwo” zaciera to, że dwa z nich w ogóle nie są tytułami do działania jednostronnego.</w:t>
      </w:r>
    </w:p>
    <w:p>
      <w:pPr>
        <w:pStyle w:val="BodyText"/>
      </w:pPr>
      <w:r>
        <w:t xml:space="preserve">Obowiązek unikania szkodliwych zakłóceń. Art. IX Układu nakazuje państwom-stronom kierować się zasadą współpracy i wzajemnej pomocy oraz prowadzić działalność z należytym uwzględnieniem odpowiadających interesów wszystkich innych państw-stron. Zdanie dotyczące zakłóceń ma jednak konstrukcję, która obraca się przeciwko Sargon: jeżeli państwo-strona ma powody sądzić, że planowane przez nie lub przez jego obywateli działanie spowodowałoby potencjalnie szkodliwe zakłócenie działalności innych państw-stron, podejmuje odpowiednie konsultacje międzynarodowe przed przystąpieniem do tego działania. To Sargon planowała działanie — przechwycenie cudzego obiektu i przewiezienie go na własną stację — i to Accadia miała obowiązek uprzednich konsultacji międzynarodowych. Zwrócenie się do Quipu o zgodę nie jest konsultacją międzynarodową, ponieważ adresatem obowiązku jest państwo, a nie prywatny operator. Zdanie następne art. IX przyznaje z kolei państwu, które ma powody sądzić, że planowane przez inne państwo działanie spowodowałoby takie zakłócenie, prawo żądania konsultacji — a więc drogę, z której Accadia mogła skorzystać wobec Inkatonu i z której nie skorzystała.</w:t>
      </w:r>
    </w:p>
    <w:p>
      <w:pPr>
        <w:pStyle w:val="BodyText"/>
      </w:pPr>
      <w:r>
        <w:t xml:space="preserve">Bezpieczeństwo ruchu orbitalnego. Nie jest to samodzielny tytuł prawny w żadnym z czterech traktatów. Jest to okoliczność faktyczna, która może wypełniać przesłankę stanu wyższej konieczności albo uzasadniać żądanie konsultacji, ale sama przez się nie daje uprawnienia do rozporządzenia cudzym mieniem.</w:t>
      </w:r>
    </w:p>
    <w:p>
      <w:pPr>
        <w:pStyle w:val="BodyText"/>
      </w:pPr>
      <w:r>
        <w:t xml:space="preserve">Stan wyższej konieczności. Art. 25 artykułów Komisji Prawa Międzynarodowego dopuszcza powołanie się na konieczność jako podstawę wyłączenia bezprawności tylko wtedy, gdy czyn jest jedynym sposobem ochrony istotnego interesu państwa przed poważnym i bezpośrednim niebezpieczeństwem i nie narusza poważnie istotnego interesu państwa lub państw, wobec których zobowiązanie istnieje, albo społeczności międzynarodowej jako całości; ustęp 2 wyklucza powołanie się na konieczność, gdy zobowiązanie wyłącza taką możliwość albo gdy państwo przyczyniło się do powstania sytuacji konieczności. Przesłanki są kumulatywne i wąskie. Kluczowe jest słowo „jedyny”: Accadia dysponowała drogą z art. IX, z której nie skorzystała, więc przechwycenie nie było jedynym sposobem. ⬛ Kazus nie podaje charakteru ani skali zagrożenia, jakie satelita stwarzał. Rozstrzygnięcie warunkowe: jeżeli zagrożenie było bezpośrednie i realne, a czas nie pozwalał na konsultacje — badać dalej pozostałe przesłanki, w tym przyczynienie się; jeżeli zagrożenie było potencjalne albo rozłożone w czasie — konieczność odpada na przesłance jedynego sposobu, bez wchodzenia w resztę.</w:t>
      </w:r>
    </w:p>
    <w:p>
      <w:pPr>
        <w:pStyle w:val="BodyText"/>
      </w:pPr>
      <w:r>
        <w:t xml:space="preserve">Uzupełnienie o skutku systemowym, którego nie wolno pominąć. Art. VI ust. 2 konwencji o odpowiedzialności wyklucza zwolnienie od odpowiedzialności w przypadkach szkody wynikającej z działalności państwa wypuszczającego niezgodnej z prawem międzynarodowym, w szczególności z Układem o przestrzeni kosmicznej. Jeżeli przechwycenie zostanie uznane za niezgodne z art. II i IX Układu, Accadia traci dostęp do zwolnienia z art. VI ust. 1 w odniesieniu do dalszych szkód wynikających z tej działalności. Bezprawność przechwycenia ma zatem skutek nie tylko własny, ale i przenoszący się na oś odszkodowawczą.</w:t>
      </w:r>
    </w:p>
    <w:bookmarkEnd w:id="41"/>
    <w:bookmarkStart w:id="42" w:name="X42f021ddf013b1e202bdd6a740c6e8e565869c3"/>
    <w:p>
      <w:pPr>
        <w:pStyle w:val="Heading3"/>
      </w:pPr>
      <w:r>
        <w:t xml:space="preserve">Zagadnienie 3: odpowiedzialność państw za działalność prywatnych spółek</w:t>
      </w:r>
    </w:p>
    <w:p>
      <w:pPr>
        <w:pStyle w:val="FirstParagraph"/>
      </w:pPr>
      <w:r>
        <w:t xml:space="preserve">Dwa reżimy trzeba trzymać osobno, bo mają różne zakresy podmiotowe i różne skutki.</w:t>
      </w:r>
    </w:p>
    <w:p>
      <w:pPr>
        <w:pStyle w:val="BodyText"/>
      </w:pPr>
      <w:r>
        <w:t xml:space="preserve">Odpowiedzialność za działalność. Art. VI Układu stanowi, że państwa-strony ponoszą odpowiedzialność międzynarodową za działalność narodową w przestrzeni kosmicznej, w tym na Księżycu i innych ciałach niebieskich, niezależnie od tego, czy jest ona prowadzona przez agencje rządowe, czy przez podmioty pozarządowe, oraz za zapewnienie, że działalność ta jest prowadzona zgodnie z Układem; działalność podmiotów pozarządowych wymaga zezwolenia i stałego nadzoru właściwego państwa-strony. Jest to reżim wyjątkowy na tle ogólnego prawa odpowiedzialności państw: nie wymaga przypisania zachowania spółki państwu według testów atrybucji, ponieważ państwo odpowiada za działalność narodową jako taką. Konsekwencja praktyczna: Accadia odpowiada za działalność Sargon, a Inkaton za działalność Quipu, bez badania statusu organu ani instrukcji. Przedmiotem sporu może być natomiast to, które państwo jest „właściwym państwem” wobec danej działalności, jeżeli spółka działa w kilku jurysdykcjach.</w:t>
      </w:r>
    </w:p>
    <w:p>
      <w:pPr>
        <w:pStyle w:val="BodyText"/>
      </w:pPr>
      <w:r>
        <w:t xml:space="preserve">Odpowiedzialność odszkodowawcza. Art. VII Układu i konwencja o odpowiedzialności wiążą obowiązek naprawienia szkody z pojęciem państwa wypuszczającego, zdefiniowanym alternatywnie w art. I lit. c konwencji: państwo, które wypuszcza lub powoduje wypuszczenie obiektu, oraz państwo, z którego terytorium lub urządzenia obiekt jest wypuszczany. Jednemu obiektowi może zatem odpowiadać kilka państw wypuszczających i wtedy odpowiadają one solidarnie (art. V ust. 1), z prawem regresu (ust. 2) i z zastrzeżeniem, że państwo, z którego terytorium lub urządzenia obiekt jest wypuszczany, uważa się za uczestnika wspólnego wypuszczenia (ust. 3).</w:t>
      </w:r>
    </w:p>
    <w:p>
      <w:pPr>
        <w:pStyle w:val="BodyText"/>
      </w:pPr>
      <w:r>
        <w:t xml:space="preserve">Rozejście się obu reżimów jest tu realne, nie teoretyczne. Statek Sargon wystartował z ⬛ nieokreślonego miejsca; jeżeli wystartował z terytorium państwa trzeciego, to państwo trzecie jest państwem wypuszczającym i odpowiada solidarnie z Accadią za szkodę, mimo że nie jest „właściwym państwem” w rozumieniu art. VI. Odwrotnie: Accadia pozostaje odpowiedzialna z art. VI za działalność Sargon nawet wtedy, gdy nie jest państwem wypuszczającym. Ustalenie miejsca startu jest więc brakiem faktycznym o znaczeniu przesądzającym dla kręgu podmiotów zobowiązanych.</w:t>
      </w:r>
    </w:p>
    <w:bookmarkEnd w:id="42"/>
    <w:bookmarkStart w:id="43" w:name="X66f3402327a543a8fb6493fb6c91c336102cf77"/>
    <w:p>
      <w:pPr>
        <w:pStyle w:val="Heading3"/>
      </w:pPr>
      <w:r>
        <w:t xml:space="preserve">Zagadnienie 4: rozdzielenie odpowiedzialności za burzę, odrzucenie ładunku i stan instalacji</w:t>
      </w:r>
    </w:p>
    <w:p>
      <w:pPr>
        <w:pStyle w:val="FirstParagraph"/>
      </w:pPr>
      <w:r>
        <w:t xml:space="preserve">Punktem wyjścia jest wybór reżimu i to on decyduje o wszystkim dalszym. Szkoda nastąpiła na Księżycu, a więc nie na powierzchni Ziemi i nie statkowi powietrznemu w locie. Art. II nie ma zastosowania; właściwy jest art. III, który stanowi, że w razie wyrządzenia szkody gdzie indziej niż na powierzchni Ziemi obiektowi kosmicznemu jednego państwa wypuszczającego albo osobom lub mieniu na jego pokładzie przez obiekt kosmiczny innego państwa wypuszczającego, to drugie państwo odpowiada tylko wtedy, gdy szkoda wynikła z jego winy albo z winy osób, za które odpowiada.</w:t>
      </w:r>
    </w:p>
    <w:p>
      <w:pPr>
        <w:pStyle w:val="BodyText"/>
      </w:pPr>
      <w:r>
        <w:t xml:space="preserve">Wynikają stąd trzy konsekwencje, z których każda jest odwrotna do tego, co sugeruje odruch.</w:t>
      </w:r>
    </w:p>
    <w:p>
      <w:pPr>
        <w:pStyle w:val="BodyText"/>
      </w:pPr>
      <w:r>
        <w:t xml:space="preserve">Po pierwsze, ciężar dowodu. Przy odpowiedzialności absolutnej wystarczyłoby wykazać szkodę i związek przyczynowy. Przy reżimie winy to Inkaton musi wykazać winę Sargon lub osób, za które Accadia odpowiada. Burza protonowa jest zdarzeniem zewnętrznym i sama przez się winy nie tworzy.</w:t>
      </w:r>
    </w:p>
    <w:p>
      <w:pPr>
        <w:pStyle w:val="BodyText"/>
      </w:pPr>
      <w:r>
        <w:t xml:space="preserve">Po drugie, przedmiot dowodu. Winy nie szuka się w wystąpieniu burzy, lecz w zachowaniu operatora wokół niej: czy lot zaplanowano mimo dostępnej prognozy zjawiska; czy statek był przygotowany na zdarzenie tej klasy zgodnie ze stanem wiedzy; czy odrzucenie ładunku było decyzją operatora, czy skutkiem awarii; czy istniała procedura bezpiecznego zrzutu wyznaczająca trajektorię z dala od znanych instalacji; czy położenie instalacji Quipu było znane i czy zostało uwzględnione. To są pytania o zaniechania poprzedzające zdarzenie, a nie o samo zdarzenie — i to jest właściwa treść testu winy.</w:t>
      </w:r>
    </w:p>
    <w:p>
      <w:pPr>
        <w:pStyle w:val="BodyText"/>
      </w:pPr>
      <w:r>
        <w:t xml:space="preserve">Po trzecie, przyczynienie. Konwencja przewiduje zwolnienie oparte na zachowaniu poszkodowanego wyłącznie przy odpowiedzialności absolutnej (art. VI ust. 1). Przy art. III instrumentu takiego nie ma i nie jest potrzebny: stan instalacji Quipu — jej konstrukcja z regolitu, oznaczenie, odporność — wchodzi do oceny jako element normalnego badania związku przyczynowego i rozmiaru szkody, a nie jako odrębna przesłanka zwolnienia. Podstawą wymiaru jest art. XII, który nakazuje ustalić odszkodowanie zgodnie z prawem międzynarodowym oraz zasadami sprawiedliwości i słuszności, tak aby zapewnić naprawienie szkody przywracające podmiot, na którego rzecz roszczenie jest przedstawiane, do stanu, który istniałby, gdyby szkoda nie nastąpiła.</w:t>
      </w:r>
    </w:p>
    <w:p>
      <w:pPr>
        <w:pStyle w:val="BodyText"/>
      </w:pPr>
      <w:r>
        <w:t xml:space="preserve">Zakres szkody podlegającej naprawieniu wyznacza art. I lit. a: utrata lub uszkodzenie mienia osób prawnych obejmuje sprzęt, konstrukcję z regolitu i wydobyty hel-3 jako rzecz. Nie obejmuje natomiast wprost utraconych korzyści z niewydobytego surowca ani strat wynikających z przerwania działalności — te wymagają odrębnego uzasadnienia przez art. XII i zasadę pełnego naprawienia, a ich dochodzenie w tym reżimie jest sporne. Granicę trzeba postawić samodzielnie, zanim postawi ją przeciwnik.</w:t>
      </w:r>
    </w:p>
    <w:p>
      <w:pPr>
        <w:pStyle w:val="BodyText"/>
      </w:pPr>
      <w:r>
        <w:t xml:space="preserve">Wreszcie sprzężenie z zagadnieniem drugim: jeżeli przechwycenie satelity było niezgodne z Układem, to cały lot, w toku którego doszło do szkody, był kontynuacją działalności bezprawnej. Nie zmienia to reżimu z art. III na absolutny, ale ma dwa skutki — wzmacnia wnioskowanie o winie, bo operator prowadził działalność, do której nie był uprawniony, i zamyka Accadii drogę do zwolnienia na podstawie art. VI ust. 2.</w:t>
      </w:r>
    </w:p>
    <w:bookmarkEnd w:id="43"/>
    <w:bookmarkStart w:id="44" w:name="X36f85c859b73f7882fc2832aa036a2469bdc05b"/>
    <w:p>
      <w:pPr>
        <w:pStyle w:val="Heading3"/>
      </w:pPr>
      <w:r>
        <w:t xml:space="preserve">Zagadnienie 5: zakres obowiązku ratownictwa i powrót do wraku</w:t>
      </w:r>
    </w:p>
    <w:p>
      <w:pPr>
        <w:pStyle w:val="FirstParagraph"/>
      </w:pPr>
      <w:r>
        <w:t xml:space="preserve">Zakres podmiotowy i miejscowy obowiązku ratownictwa wymaga korekty, którą łatwo pominąć. Art. 2 Umowy o ratownictwie dotyczy sytuacji, w której personel statku kosmicznego wskutek wypadku, niebezpieczeństwa, przymusowego lub niezamierzonego lądowania znajdzie się „na terytorium podlegającym jurysdykcji Umawiającej się Strony”. Księżyc takim terytorium nie jest i być nie może, ponieważ art. II Układu wyklucza zawłaszczenie ciał niebieskich. Art. 2 nie ma więc zastosowania. Właściwy jest art. 3, dotyczący personelu, który znalazł się na pełnym morzu albo w jakimkolwiek innym miejscu niepodlegającym jurysdykcji żadnego państwa: Umawiające się Strony, które są w stanie to uczynić, udzielają w razie potrzeby pomocy w akcjach poszukiwawczych i ratowniczych, aby zapewnić szybkie uratowanie personelu. Uzupełnia go art. V Układu: państwa-strony uważają astronautów za wysłanników ludzkości i udzielają im wszelkiej możliwej pomocy w razie wypadku, niebezpieczeństwa lub przymusowego lądowania, a astronauci jednej strony udzielają wszelkiej możliwej pomocy astronautom innych stron przy prowadzeniu działalności w przestrzeni kosmicznej i na ciałach niebieskich.</w:t>
      </w:r>
    </w:p>
    <w:p>
      <w:pPr>
        <w:pStyle w:val="BodyText"/>
      </w:pPr>
      <w:r>
        <w:t xml:space="preserve">Personel Quipu wykonał zatem obowiązek istniejący, a nie akt dobrej woli — i to jest istotne, bo obowiązek wykonany nie tworzy roszczenia o wynagrodzenie. Art. 4 dopełnia reżim: uratowany personel zwraca się bezpiecznie i niezwłocznie przedstawicielom władzy wypuszczającej. Koszty akcji ratowniczej personelu nie są w Umowie przypisane władzy wypuszczającej — reguła o kosztach z art. 5 ust. 5 dotyczy wyłącznie odzyskania i zwrotu obiektów, nie ratowania ludzi. Roszczenie Quipu o zwrot kosztów leczenia i akcji ratunkowej nie ma zatem podstawy w Umowie i wymaga innego tytułu; przy uznaniu winy Sargon mieści się natomiast w szkodzie z art. III i XII konwencji o odpowiedzialności jako wydatek poniesiony w następstwie zdarzenia.</w:t>
      </w:r>
    </w:p>
    <w:p>
      <w:pPr>
        <w:pStyle w:val="BodyText"/>
      </w:pPr>
      <w:r>
        <w:t xml:space="preserve">Powrót do wraku i wydobycie technologii to zagadnienie odrębne i rozstrzygnięte przez tekst jednoznacznie. Reżim obiektu jest reżimem zwrotu, nie znaleźnego. Art. 5 ust. 2 Umowy: Strona mająca jurysdykcję nad terytorium, na którym obiekt lub jego części zostały odkryte, podejmuje na żądanie władzy wypuszczającej i z jej pomocą, jeżeli o nią poproszono, takie kroki, jakie uzna za wykonalne, w celu odzyskania obiektu. Ustęp 3: obiekty znalezione poza granicami terytorialnymi władzy wypuszczającej zwraca się jej lub pozostawia do dyspozycji jej przedstawicieli na żądanie tej władzy, która na żądanie dostarcza dane identyfikacyjne przed zwrotem. Ustęp 5: koszty odzyskania i zwrotu ponosi władza wypuszczająca. Art. VIII zdanie trzecie Układu stanowi to samo w reżimie traktatu podstawowego.</w:t>
      </w:r>
    </w:p>
    <w:p>
      <w:pPr>
        <w:pStyle w:val="BodyText"/>
      </w:pPr>
      <w:r>
        <w:t xml:space="preserve">Argument Quipu, że zabezpieczała teren i ograniczała dalsze ryzyko, ma swoją jednostkę i warto ją wskazać, bo pokazuje dokładnie, gdzie działanie wyszło poza prawo. Art. 5 ust. 4 przewiduje, że Strona mająca powody sądzić, iż obiekt lub jego części odkryte na terytorium podlegającym jej jurysdykcji albo odzyskane przez nią gdzie indziej mają charakter niebezpieczny lub szkodliwy, może notyfikować to władzy wypuszczającej, która niezwłocznie podejmuje skuteczne kroki pod kierownictwem i kontrolą tej Strony w celu usunięcia możliwego niebezpieczeństwa. Przepis daje więc uprawnienie do notyfikacji i do sprawowania kierownictwa nad działaniami usuwającymi niebezpieczeństwo — nie daje uprawnienia do demontażu i zatrzymania. Zachowanie Quipu mieści się w art. 5 ust. 4 co do celu i wykracza poza niego co do środka. Zarzut przywłaszczenia tajemnicy technologicznej jest zatem zasadny co do zasady, a jego zakres wyznacza różnica między tym, co było konieczne do usunięcia niebezpieczeństwa, a tym, co faktycznie zabrano.</w:t>
      </w:r>
    </w:p>
    <w:bookmarkEnd w:id="44"/>
    <w:bookmarkStart w:id="45" w:name="Xe9c67aac1733d13d14599ce5237a719de437864"/>
    <w:p>
      <w:pPr>
        <w:pStyle w:val="Heading3"/>
      </w:pPr>
      <w:r>
        <w:t xml:space="preserve">Zagadnienie 6: wymogi czasowe i relacja do postępowań krajowych</w:t>
      </w:r>
    </w:p>
    <w:p>
      <w:pPr>
        <w:pStyle w:val="FirstParagraph"/>
      </w:pPr>
      <w:r>
        <w:t xml:space="preserve">Art. X konwencji o odpowiedzialności ustanawia trzy reguły, z których w kazusie decyduje druga.</w:t>
      </w:r>
    </w:p>
    <w:p>
      <w:pPr>
        <w:pStyle w:val="BodyText"/>
      </w:pPr>
      <w:r>
        <w:t xml:space="preserve">Ustęp 1: roszczenie może być przedstawione państwu wypuszczającemu nie później niż rok od daty wystąpienia szkody albo od identyfikacji odpowiedzialnego państwa wypuszczającego. Ustęp 2: jeżeli jednak państwo nie wiedziało o wystąpieniu szkody albo nie było w stanie zidentyfikować odpowiedzialnego państwa wypuszczającego, może przedstawić roszczenie w ciągu roku od dnia, w którym dowiedziało się o tych faktach, przy czym okres ten w żadnym razie nie przekracza roku od dnia, w którym można było rozsądnie oczekiwać, że państwo dowie się o nich przy zachowaniu należytej staranności. Ustęp 3: terminy stosuje się nawet wtedy, gdy pełny rozmiar szkody nie jest znany, przy czym państwo dochodzące roszczenia może je zrewidować i przedstawić dodatkową dokumentację po upływie terminów, do roku po poznaniu pełnego rozmiaru szkody.</w:t>
      </w:r>
    </w:p>
    <w:p>
      <w:pPr>
        <w:pStyle w:val="BodyText"/>
      </w:pPr>
      <w:r>
        <w:t xml:space="preserve">Kazus podaje, że państwa podjęły konsultacje dyplomatyczne w różnym czasie od uzyskania wiedzy o zdarzeniu. Jest to sygnał kierujący wprost do ustępu 2 — i do jego drugiego członu, który jest twardszy niż pierwszy. Termin liczony od faktycznej wiedzy jest bowiem ograniczony terminem liczonym od momentu, w którym wiedzę można było uzyskać przy należytej staranności. Państwo, które dowiedziało się późno, nie zyskuje przez to dłuższego terminu, jeżeli mogło dowiedzieć się wcześniej. ⬛ Kazus nie podaje żadnej z tych dat. Rozstrzygnięcie warunkowe: dla każdego z państw ustalić osobno datę zdarzenia, datę faktycznej wiedzy i datę, w której wiedzę można było uzyskać przy należytej staranności, a następnie zbadać zachowanie terminu; przekroczenie terminu zamyka drogę konwencyjną co do danej szkody, ale nie zamyka roszczeń opartych na ogólnym prawie odpowiedzialności państw za naruszenie art. II i IX Układu, które własnego terminu zawitego nie przewidują.</w:t>
      </w:r>
    </w:p>
    <w:p>
      <w:pPr>
        <w:pStyle w:val="BodyText"/>
      </w:pPr>
      <w:r>
        <w:t xml:space="preserve">Art. XI zawiera drugą regułę, o skutku praktycznym większym niż terminy, i w tym kazusie jest to najpoważniejsze ryzyko procesowe. Ustęp 1 stanowi, że przedstawienie roszczenia nie wymaga uprzedniego wyczerpania środków krajowych dostępnych państwu dochodzącemu roszczenia albo osobom, które reprezentuje — reguła wyczerpania środków, obowiązująca w ochronie dyplomatycznej, jest tu wprost wyłączona. Ustęp 2 zastrzega jednak, że nic w konwencji nie stoi na przeszkodzie dochodzeniu roszczenia przed sądami, trybunałami administracyjnymi lub organami państwa wypuszczającego, ale państwo nie jest uprawnione do przedstawienia roszczenia konwencyjnego co do tej samej szkody, co do której roszczenie jest dochodzone przed takimi organami albo na podstawie innej umowy międzynarodowej wiążącej zainteresowane państwa.</w:t>
      </w:r>
    </w:p>
    <w:p>
      <w:pPr>
        <w:pStyle w:val="BodyText"/>
      </w:pPr>
      <w:r>
        <w:t xml:space="preserve">Kazus zawiera przesłankę wskazującą, że ryzyko to jest realne: Sargon uzyskała orzeczenie in rem w państwie licencjonującym, co oznacza, że postępowanie sądowe w tym państwie się toczyło, a Quipu prawdopodobnie w nim uczestniczyła. Jeżeli którakolwiek z tych spraw obejmuje tę samą szkodę, której dotyczy roszczenie międzypaństwowe, droga konwencyjna zamyka się co do niej. Wybór drogi jest zatem elementem strategii, a nie następstwem zdarzeń, i powinien być dokonany świadomie przed wszczęciem czegokolwiek.</w:t>
      </w:r>
    </w:p>
    <w:bookmarkEnd w:id="45"/>
    <w:bookmarkEnd w:id="46"/>
    <w:bookmarkStart w:id="47" w:name="macierz-argumentów-1"/>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Inkatonu</w:t>
            </w:r>
          </w:p>
        </w:tc>
        <w:tc>
          <w:tcPr/>
          <w:p>
            <w:pPr>
              <w:pStyle w:val="Compact"/>
              <w:jc w:val="left"/>
            </w:pPr>
            <w:r>
              <w:t xml:space="preserve">Argument Accadii</w:t>
            </w:r>
          </w:p>
        </w:tc>
      </w:tr>
      <w:tr>
        <w:tc>
          <w:tcPr/>
          <w:p>
            <w:pPr>
              <w:pStyle w:val="Compact"/>
              <w:jc w:val="left"/>
            </w:pPr>
            <w:r>
              <w:t xml:space="preserve">Własność satelity</w:t>
            </w:r>
          </w:p>
        </w:tc>
        <w:tc>
          <w:tcPr/>
          <w:p>
            <w:pPr>
              <w:pStyle w:val="Compact"/>
              <w:jc w:val="left"/>
            </w:pPr>
            <w:r>
              <w:t xml:space="preserve">Art. VIII zdanie drugie Układu nie zna utraty własności; przepis nie przewiduje porzucenia obiektu</w:t>
            </w:r>
          </w:p>
        </w:tc>
        <w:tc>
          <w:tcPr/>
          <w:p>
            <w:pPr>
              <w:pStyle w:val="Compact"/>
              <w:jc w:val="left"/>
            </w:pPr>
            <w:r>
              <w:t xml:space="preserve">Obiekt niekontrolowany stwarzał zagrożenie i przestał służyć swojemu przeznaczeniu; tytuł potwierdził niezawisły sąd</w:t>
            </w:r>
          </w:p>
        </w:tc>
      </w:tr>
      <w:tr>
        <w:tc>
          <w:tcPr/>
          <w:p>
            <w:pPr>
              <w:pStyle w:val="Compact"/>
              <w:jc w:val="left"/>
            </w:pPr>
            <w:r>
              <w:t xml:space="preserve">Orzeczenie in rem</w:t>
            </w:r>
          </w:p>
        </w:tc>
        <w:tc>
          <w:tcPr/>
          <w:p>
            <w:pPr>
              <w:pStyle w:val="Compact"/>
              <w:jc w:val="left"/>
            </w:pPr>
            <w:r>
              <w:t xml:space="preserve">Sąd orzekał o obiekcie poza jurysdykcją swojego państwa; przyznanie tytułu jest zawłaszczeniem w rozumieniu art. II Układu</w:t>
            </w:r>
          </w:p>
        </w:tc>
        <w:tc>
          <w:tcPr/>
          <w:p>
            <w:pPr>
              <w:pStyle w:val="Compact"/>
              <w:jc w:val="left"/>
            </w:pPr>
            <w:r>
              <w:t xml:space="preserve">Orzeczenie dotyczyło rzeczy znajdującej się na stacji orbitalnej licencjonowanej przez to państwo</w:t>
            </w:r>
          </w:p>
        </w:tc>
      </w:tr>
      <w:tr>
        <w:tc>
          <w:tcPr/>
          <w:p>
            <w:pPr>
              <w:pStyle w:val="Compact"/>
              <w:jc w:val="left"/>
            </w:pPr>
            <w:r>
              <w:t xml:space="preserve">Przechwycenie</w:t>
            </w:r>
          </w:p>
        </w:tc>
        <w:tc>
          <w:tcPr/>
          <w:p>
            <w:pPr>
              <w:pStyle w:val="Compact"/>
              <w:jc w:val="left"/>
            </w:pPr>
            <w:r>
              <w:t xml:space="preserve">Art. IX wymagał uprzednich konsultacji międzynarodowych; wystąpienie do operatora ich nie zastępuje</w:t>
            </w:r>
          </w:p>
        </w:tc>
        <w:tc>
          <w:tcPr/>
          <w:p>
            <w:pPr>
              <w:pStyle w:val="Compact"/>
              <w:jc w:val="left"/>
            </w:pPr>
            <w:r>
              <w:t xml:space="preserve">Zagrożenie wymagało działania natychmiastowego; konsultacje nie były możliwe w dostępnym czasie</w:t>
            </w:r>
          </w:p>
        </w:tc>
      </w:tr>
      <w:tr>
        <w:tc>
          <w:tcPr/>
          <w:p>
            <w:pPr>
              <w:pStyle w:val="Compact"/>
              <w:jc w:val="left"/>
            </w:pPr>
            <w:r>
              <w:t xml:space="preserve">Konieczność</w:t>
            </w:r>
          </w:p>
        </w:tc>
        <w:tc>
          <w:tcPr/>
          <w:p>
            <w:pPr>
              <w:pStyle w:val="Compact"/>
              <w:jc w:val="left"/>
            </w:pPr>
            <w:r>
              <w:t xml:space="preserve">Istniała droga z art. IX, więc przechwycenie nie było jedynym sposobem (art. 25 ust. 1 lit. a artykułów KPM)</w:t>
            </w:r>
          </w:p>
        </w:tc>
        <w:tc>
          <w:tcPr/>
          <w:p>
            <w:pPr>
              <w:pStyle w:val="Compact"/>
              <w:jc w:val="left"/>
            </w:pPr>
            <w:r>
              <w:t xml:space="preserve">Interes bezpieczeństwa ruchu orbitalnego jest interesem istotnym, a niebezpieczeństwo było poważne i bezpośrednie</w:t>
            </w:r>
          </w:p>
        </w:tc>
      </w:tr>
      <w:tr>
        <w:tc>
          <w:tcPr/>
          <w:p>
            <w:pPr>
              <w:pStyle w:val="Compact"/>
              <w:jc w:val="left"/>
            </w:pPr>
            <w:r>
              <w:t xml:space="preserve">Reżim odpowiedzialności</w:t>
            </w:r>
          </w:p>
        </w:tc>
        <w:tc>
          <w:tcPr/>
          <w:p>
            <w:pPr>
              <w:pStyle w:val="Compact"/>
              <w:jc w:val="left"/>
            </w:pPr>
            <w:r>
              <w:t xml:space="preserve">Szkoda nastąpiła poza powierzchnią Ziemi, więc właściwy jest art. III — wina Sargon wynika z zaniechań poprzedzających lot</w:t>
            </w:r>
          </w:p>
        </w:tc>
        <w:tc>
          <w:tcPr/>
          <w:p>
            <w:pPr>
              <w:pStyle w:val="Compact"/>
              <w:jc w:val="left"/>
            </w:pPr>
            <w:r>
              <w:t xml:space="preserve">Zgoda co do reżimu; brak winy, bo burza protonowa była zdarzeniem zewnętrznym i nieprzewidywalnym</w:t>
            </w:r>
          </w:p>
        </w:tc>
      </w:tr>
      <w:tr>
        <w:tc>
          <w:tcPr/>
          <w:p>
            <w:pPr>
              <w:pStyle w:val="Compact"/>
              <w:jc w:val="left"/>
            </w:pPr>
            <w:r>
              <w:t xml:space="preserve">Stan instalacji</w:t>
            </w:r>
          </w:p>
        </w:tc>
        <w:tc>
          <w:tcPr/>
          <w:p>
            <w:pPr>
              <w:pStyle w:val="Compact"/>
              <w:jc w:val="left"/>
            </w:pPr>
            <w:r>
              <w:t xml:space="preserve">Konstrukcja z regolitu odpowiadała warunkom miejsca; nie ma wymogu odporności na uderzenie ładunku</w:t>
            </w:r>
          </w:p>
        </w:tc>
        <w:tc>
          <w:tcPr/>
          <w:p>
            <w:pPr>
              <w:pStyle w:val="Compact"/>
              <w:jc w:val="left"/>
            </w:pPr>
            <w:r>
              <w:t xml:space="preserve">Stan instalacji współokreślał rozmiar szkody i podlega uwzględnieniu przy wymiarze z art. XII</w:t>
            </w:r>
          </w:p>
        </w:tc>
      </w:tr>
      <w:tr>
        <w:tc>
          <w:tcPr/>
          <w:p>
            <w:pPr>
              <w:pStyle w:val="Compact"/>
              <w:jc w:val="left"/>
            </w:pPr>
            <w:r>
              <w:t xml:space="preserve">Ratownictwo</w:t>
            </w:r>
          </w:p>
        </w:tc>
        <w:tc>
          <w:tcPr/>
          <w:p>
            <w:pPr>
              <w:pStyle w:val="Compact"/>
              <w:jc w:val="left"/>
            </w:pPr>
            <w:r>
              <w:t xml:space="preserve">Obowiązek z art. 3 Umowy i art. V Układu został wykonany; koszty mieszczą się w szkodzie z art. III i XII</w:t>
            </w:r>
          </w:p>
        </w:tc>
        <w:tc>
          <w:tcPr/>
          <w:p>
            <w:pPr>
              <w:pStyle w:val="Compact"/>
              <w:jc w:val="left"/>
            </w:pPr>
            <w:r>
              <w:t xml:space="preserve">Ratownictwo jest obowiązkiem, a nie usługą; Umowa nie przypisuje kosztów ratowania osób władzy wypuszczającej</w:t>
            </w:r>
          </w:p>
        </w:tc>
      </w:tr>
      <w:tr>
        <w:tc>
          <w:tcPr/>
          <w:p>
            <w:pPr>
              <w:pStyle w:val="Compact"/>
              <w:jc w:val="left"/>
            </w:pPr>
            <w:r>
              <w:t xml:space="preserve">Wrak</w:t>
            </w:r>
          </w:p>
        </w:tc>
        <w:tc>
          <w:tcPr/>
          <w:p>
            <w:pPr>
              <w:pStyle w:val="Compact"/>
              <w:jc w:val="left"/>
            </w:pPr>
            <w:r>
              <w:t xml:space="preserve">Powrót do wraku mieścił się w celu z art. 5 ust. 4 Umowy</w:t>
            </w:r>
          </w:p>
        </w:tc>
        <w:tc>
          <w:tcPr/>
          <w:p>
            <w:pPr>
              <w:pStyle w:val="Compact"/>
              <w:jc w:val="left"/>
            </w:pPr>
            <w:r>
              <w:t xml:space="preserve">Art. 5 ust. 3 ustanawia obowiązek zwrotu, a art. 5 ust. 4 daje prawo notyfikacji i kierownictwa, nie demontażu</w:t>
            </w:r>
          </w:p>
        </w:tc>
      </w:tr>
      <w:tr>
        <w:tc>
          <w:tcPr/>
          <w:p>
            <w:pPr>
              <w:pStyle w:val="Compact"/>
              <w:jc w:val="left"/>
            </w:pPr>
            <w:r>
              <w:t xml:space="preserve">Terminy</w:t>
            </w:r>
          </w:p>
        </w:tc>
        <w:tc>
          <w:tcPr/>
          <w:p>
            <w:pPr>
              <w:pStyle w:val="Compact"/>
              <w:jc w:val="left"/>
            </w:pPr>
            <w:r>
              <w:t xml:space="preserve">Bieg terminu z art. X ust. 2 rozpoczyna się od faktycznej wiedzy o zdarzeniu i o odpowiedzialnym państwie</w:t>
            </w:r>
          </w:p>
        </w:tc>
        <w:tc>
          <w:tcPr/>
          <w:p>
            <w:pPr>
              <w:pStyle w:val="Compact"/>
              <w:jc w:val="left"/>
            </w:pPr>
            <w:r>
              <w:t xml:space="preserve">Termin jest ograniczony rokiem od momentu, w którym wiedzę można było uzyskać przy należytej staranności</w:t>
            </w:r>
          </w:p>
        </w:tc>
      </w:tr>
    </w:tbl>
    <w:bookmarkEnd w:id="47"/>
    <w:bookmarkStart w:id="48" w:name="X8bc04c07aebed062da02ad98c612cd839788097"/>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Które państwo jest państwem rejestracji satelity Quipu</w:t>
            </w:r>
          </w:p>
        </w:tc>
        <w:tc>
          <w:tcPr/>
          <w:p>
            <w:pPr>
              <w:pStyle w:val="Compact"/>
              <w:jc w:val="left"/>
            </w:pPr>
            <w:r>
              <w:t xml:space="preserve">Warunek jurysdykcji i kontroli z art. VIII Układu oraz zwrotu z art. VIII zdanie trzecie</w:t>
            </w:r>
          </w:p>
        </w:tc>
        <w:tc>
          <w:tcPr/>
          <w:p>
            <w:pPr>
              <w:pStyle w:val="Compact"/>
              <w:jc w:val="left"/>
            </w:pPr>
            <w:r>
              <w:t xml:space="preserve">Wpis w rejestrze krajowym, informacja przekazana Sekretarzowi Generalnemu na podstawie art. IV konwencji o rejestracji</w:t>
            </w:r>
          </w:p>
        </w:tc>
      </w:tr>
      <w:tr>
        <w:tc>
          <w:tcPr/>
          <w:p>
            <w:pPr>
              <w:pStyle w:val="Compact"/>
              <w:jc w:val="left"/>
            </w:pPr>
            <w:r>
              <w:t xml:space="preserve">Miejsce startu statku Sargon i krąg państw wypuszczających</w:t>
            </w:r>
          </w:p>
        </w:tc>
        <w:tc>
          <w:tcPr/>
          <w:p>
            <w:pPr>
              <w:pStyle w:val="Compact"/>
              <w:jc w:val="left"/>
            </w:pPr>
            <w:r>
              <w:t xml:space="preserve">Przesądza krąg podmiotów odpowiedzialnych solidarnie (art. I lit. c i art. V konwencji o odpowiedzialności)</w:t>
            </w:r>
          </w:p>
        </w:tc>
        <w:tc>
          <w:tcPr/>
          <w:p>
            <w:pPr>
              <w:pStyle w:val="Compact"/>
              <w:jc w:val="left"/>
            </w:pPr>
            <w:r>
              <w:t xml:space="preserve">Dokumentacja startowa, zezwolenie na wypuszczenie, rejestr</w:t>
            </w:r>
          </w:p>
        </w:tc>
      </w:tr>
      <w:tr>
        <w:tc>
          <w:tcPr/>
          <w:p>
            <w:pPr>
              <w:pStyle w:val="Compact"/>
              <w:jc w:val="left"/>
            </w:pPr>
            <w:r>
              <w:t xml:space="preserve">Status ratyfikacyjny czterech traktatów kosmicznych dla obu państw</w:t>
            </w:r>
          </w:p>
        </w:tc>
        <w:tc>
          <w:tcPr/>
          <w:p>
            <w:pPr>
              <w:pStyle w:val="Compact"/>
              <w:jc w:val="left"/>
            </w:pPr>
            <w:r>
              <w:t xml:space="preserve">MG-1: każdy instrument ma odrębną listę stron, a reżimy się różnią</w:t>
            </w:r>
          </w:p>
        </w:tc>
        <w:tc>
          <w:tcPr/>
          <w:p>
            <w:pPr>
              <w:pStyle w:val="Compact"/>
              <w:jc w:val="left"/>
            </w:pPr>
            <w:r>
              <w:t xml:space="preserve">Wykaz stron u depozytariuszy</w:t>
            </w:r>
          </w:p>
        </w:tc>
      </w:tr>
      <w:tr>
        <w:tc>
          <w:tcPr/>
          <w:p>
            <w:pPr>
              <w:pStyle w:val="Compact"/>
              <w:jc w:val="left"/>
            </w:pPr>
            <w:r>
              <w:t xml:space="preserve">Charakter i skala zagrożenia stwarzanego przez satelitę</w:t>
            </w:r>
          </w:p>
        </w:tc>
        <w:tc>
          <w:tcPr/>
          <w:p>
            <w:pPr>
              <w:pStyle w:val="Compact"/>
              <w:jc w:val="left"/>
            </w:pPr>
            <w:r>
              <w:t xml:space="preserve">Warunek testu z art. 25 artykułów KPM i ocena zasadności powołania się na bezpieczeństwo ruchu</w:t>
            </w:r>
          </w:p>
        </w:tc>
        <w:tc>
          <w:tcPr/>
          <w:p>
            <w:pPr>
              <w:pStyle w:val="Compact"/>
              <w:jc w:val="left"/>
            </w:pPr>
            <w:r>
              <w:t xml:space="preserve">Dane śledzenia orbitalnego, ocena ryzyka kolizji, korespondencja operatorów</w:t>
            </w:r>
          </w:p>
        </w:tc>
      </w:tr>
      <w:tr>
        <w:tc>
          <w:tcPr/>
          <w:p>
            <w:pPr>
              <w:pStyle w:val="Compact"/>
              <w:jc w:val="left"/>
            </w:pPr>
            <w:r>
              <w:t xml:space="preserve">Czy Accadia wystąpiła do Inkatonu o konsultacje przed przechwyceniem</w:t>
            </w:r>
          </w:p>
        </w:tc>
        <w:tc>
          <w:tcPr/>
          <w:p>
            <w:pPr>
              <w:pStyle w:val="Compact"/>
              <w:jc w:val="left"/>
            </w:pPr>
            <w:r>
              <w:t xml:space="preserve">Rdzeń zarzutu z art. IX Układu</w:t>
            </w:r>
          </w:p>
        </w:tc>
        <w:tc>
          <w:tcPr/>
          <w:p>
            <w:pPr>
              <w:pStyle w:val="Compact"/>
              <w:jc w:val="left"/>
            </w:pPr>
            <w:r>
              <w:t xml:space="preserve">Noty dyplomatyczne, zapisy kanałów łączności, protokoły</w:t>
            </w:r>
          </w:p>
        </w:tc>
      </w:tr>
      <w:tr>
        <w:tc>
          <w:tcPr/>
          <w:p>
            <w:pPr>
              <w:pStyle w:val="Compact"/>
              <w:jc w:val="left"/>
            </w:pPr>
            <w:r>
              <w:t xml:space="preserve">Prognoza aktywności słonecznej dostępna przed lotem i przygotowanie statku</w:t>
            </w:r>
          </w:p>
        </w:tc>
        <w:tc>
          <w:tcPr/>
          <w:p>
            <w:pPr>
              <w:pStyle w:val="Compact"/>
              <w:jc w:val="left"/>
            </w:pPr>
            <w:r>
              <w:t xml:space="preserve">Rdzeń testu winy z art. III konwencji o odpowiedzialności</w:t>
            </w:r>
          </w:p>
        </w:tc>
        <w:tc>
          <w:tcPr/>
          <w:p>
            <w:pPr>
              <w:pStyle w:val="Compact"/>
              <w:jc w:val="left"/>
            </w:pPr>
            <w:r>
              <w:t xml:space="preserve">Dokumentacja lotu, biuletyny pogody kosmicznej, specyfikacja osłon i procedur</w:t>
            </w:r>
          </w:p>
        </w:tc>
      </w:tr>
      <w:tr>
        <w:tc>
          <w:tcPr/>
          <w:p>
            <w:pPr>
              <w:pStyle w:val="Compact"/>
              <w:jc w:val="left"/>
            </w:pPr>
            <w:r>
              <w:t xml:space="preserve">Czy odrzucenie ładunku było decyzją operatora, czy skutkiem awarii</w:t>
            </w:r>
          </w:p>
        </w:tc>
        <w:tc>
          <w:tcPr/>
          <w:p>
            <w:pPr>
              <w:pStyle w:val="Compact"/>
              <w:jc w:val="left"/>
            </w:pPr>
            <w:r>
              <w:t xml:space="preserve">Odróżnia zaniechanie od zdarzenia losowego przy ocenie winy</w:t>
            </w:r>
          </w:p>
        </w:tc>
        <w:tc>
          <w:tcPr/>
          <w:p>
            <w:pPr>
              <w:pStyle w:val="Compact"/>
              <w:jc w:val="left"/>
            </w:pPr>
            <w:r>
              <w:t xml:space="preserve">Zapisy telemetryczne, dziennik pokładowy, procedury awaryjnego zrzutu</w:t>
            </w:r>
          </w:p>
        </w:tc>
      </w:tr>
      <w:tr>
        <w:tc>
          <w:tcPr/>
          <w:p>
            <w:pPr>
              <w:pStyle w:val="Compact"/>
              <w:jc w:val="left"/>
            </w:pPr>
            <w:r>
              <w:t xml:space="preserve">Czy położenie instalacji Quipu było znane i uwzględnione przy zrzucie</w:t>
            </w:r>
          </w:p>
        </w:tc>
        <w:tc>
          <w:tcPr/>
          <w:p>
            <w:pPr>
              <w:pStyle w:val="Compact"/>
              <w:jc w:val="left"/>
            </w:pPr>
            <w:r>
              <w:t xml:space="preserve">Element winy i związku przyczynowego</w:t>
            </w:r>
          </w:p>
        </w:tc>
        <w:tc>
          <w:tcPr/>
          <w:p>
            <w:pPr>
              <w:pStyle w:val="Compact"/>
              <w:jc w:val="left"/>
            </w:pPr>
            <w:r>
              <w:t xml:space="preserve">Mapy instalacji księżycowych, notyfikacje, dokumentacja planowania trajektorii</w:t>
            </w:r>
          </w:p>
        </w:tc>
      </w:tr>
      <w:tr>
        <w:tc>
          <w:tcPr/>
          <w:p>
            <w:pPr>
              <w:pStyle w:val="Compact"/>
              <w:jc w:val="left"/>
            </w:pPr>
            <w:r>
              <w:t xml:space="preserve">Zakres technologii i urządzeń wydobytych z wraku wobec zakresu koniecznego do usunięcia zagrożenia</w:t>
            </w:r>
          </w:p>
        </w:tc>
        <w:tc>
          <w:tcPr/>
          <w:p>
            <w:pPr>
              <w:pStyle w:val="Compact"/>
              <w:jc w:val="left"/>
            </w:pPr>
            <w:r>
              <w:t xml:space="preserve">Wyznacza granicę między art. 5 ust. 4 Umowy a przywłaszczeniem</w:t>
            </w:r>
          </w:p>
        </w:tc>
        <w:tc>
          <w:tcPr/>
          <w:p>
            <w:pPr>
              <w:pStyle w:val="Compact"/>
              <w:jc w:val="left"/>
            </w:pPr>
            <w:r>
              <w:t xml:space="preserve">Protokół czynności na wraku, wykaz zabranych elementów, dokumentacja fotograficzna</w:t>
            </w:r>
          </w:p>
        </w:tc>
      </w:tr>
      <w:tr>
        <w:tc>
          <w:tcPr/>
          <w:p>
            <w:pPr>
              <w:pStyle w:val="Compact"/>
              <w:jc w:val="left"/>
            </w:pPr>
            <w:r>
              <w:t xml:space="preserve">Daty: zdarzenia, faktycznej wiedzy każdego państwa i możliwej wiedzy przy należytej staranności</w:t>
            </w:r>
          </w:p>
        </w:tc>
        <w:tc>
          <w:tcPr/>
          <w:p>
            <w:pPr>
              <w:pStyle w:val="Compact"/>
              <w:jc w:val="left"/>
            </w:pPr>
            <w:r>
              <w:t xml:space="preserve">Warunki terminów z art. X ust. 1–3 konwencji o odpowiedzialności</w:t>
            </w:r>
          </w:p>
        </w:tc>
        <w:tc>
          <w:tcPr/>
          <w:p>
            <w:pPr>
              <w:pStyle w:val="Compact"/>
              <w:jc w:val="left"/>
            </w:pPr>
            <w:r>
              <w:t xml:space="preserve">Noty dyplomatyczne z datami, raporty operatorów, zapisy śledzenia</w:t>
            </w:r>
          </w:p>
        </w:tc>
      </w:tr>
      <w:tr>
        <w:tc>
          <w:tcPr/>
          <w:p>
            <w:pPr>
              <w:pStyle w:val="Compact"/>
              <w:jc w:val="left"/>
            </w:pPr>
            <w:r>
              <w:t xml:space="preserve">Czy przed sądami państwa licencjonującego dochodzono roszczeń o tę samą szkodę</w:t>
            </w:r>
          </w:p>
        </w:tc>
        <w:tc>
          <w:tcPr/>
          <w:p>
            <w:pPr>
              <w:pStyle w:val="Compact"/>
              <w:jc w:val="left"/>
            </w:pPr>
            <w:r>
              <w:t xml:space="preserve">Warunek zamknięcia drogi konwencyjnej na podstawie art. XI ust. 2</w:t>
            </w:r>
          </w:p>
        </w:tc>
        <w:tc>
          <w:tcPr/>
          <w:p>
            <w:pPr>
              <w:pStyle w:val="Compact"/>
              <w:jc w:val="left"/>
            </w:pPr>
            <w:r>
              <w:t xml:space="preserve">Akta postępowania in rem, wykaz roszczeń, orzeczenie wraz z uzasadnieniem</w:t>
            </w:r>
          </w:p>
        </w:tc>
      </w:tr>
    </w:tbl>
    <w:bookmarkEnd w:id="48"/>
    <w:bookmarkStart w:id="49" w:name="proponowane-rozstrzygnięcie-1"/>
    <w:p>
      <w:pPr>
        <w:pStyle w:val="Heading2"/>
      </w:pPr>
      <w:r>
        <w:t xml:space="preserve">Proponowane rozstrzygnięcie</w:t>
      </w:r>
    </w:p>
    <w:p>
      <w:pPr>
        <w:pStyle w:val="FirstParagraph"/>
      </w:pPr>
      <w:r>
        <w:t xml:space="preserve">W zakresie własności: stwierdzić, że satelita pozostał własnością Quipu, ponieważ art. VIII zdanie drugie Układu nie przewiduje utraty własności obiektu wskutek utraty kontroli nad nim, a jurysdykcję i kontrolę zachowuje państwo rejestracji. Stwierdzić bezskuteczność orzeczenia in rem w płaszczyźnie międzynarodowej i nakazać Accadii zwrot satelity państwu rejestracji na podstawie art. VIII zdanie trzecie Układu, a jeżeli Umowa o ratownictwie wiąże oba państwa — także na podstawie jej art. 5 ust. 3, z kosztami po stronie władzy wypuszczającej zgodnie z ust. 5. Rozstrzygnięcie warunkowe wobec braku danych o państwie rejestracji: obowiązek zwrotu adresować do państwa, które wykaże wpis obiektu we własnym rejestrze zgodnie z art. II konwencji o rejestracji.</w:t>
      </w:r>
    </w:p>
    <w:p>
      <w:pPr>
        <w:pStyle w:val="BodyText"/>
      </w:pPr>
      <w:r>
        <w:t xml:space="preserve">W zakresie legalności przechwycenia: stwierdzić naruszenie art. IX Układu przez zaniechanie uprzednich konsultacji międzynarodowych oraz naruszenie art. II i VIII przez rozporządzenie cudzym obiektem. Oddalić powołanie się na bezpieczeństwo ruchu orbitalnego jako samodzielny tytuł — nie jest nim w żadnym z traktatów. Co do stanu wyższej konieczności wydać rozstrzygnięcie warunkowe: przy zagrożeniu poważnym i bezpośrednim, wykluczającym skorzystanie z drogi konsultacyjnej, zbadać pozostałe przesłanki art. 25 artykułów KPM, w tym przyczynienie się Accadii; w przeciwnym razie oddalić na przesłance jedynego sposobu. Zaznaczyć, że stwierdzenie bezprawności przechwycenia zamyka Accadii dostęp do zwolnienia z art. VI ust. 2 konwencji o odpowiedzialności.</w:t>
      </w:r>
    </w:p>
    <w:p>
      <w:pPr>
        <w:pStyle w:val="BodyText"/>
      </w:pPr>
      <w:r>
        <w:t xml:space="preserve">W zakresie odpowiedzialności za spółki: stwierdzić odpowiedzialność Accadii za działalność Sargon i Inkatonu za działalność Quipu na podstawie art. VI Układu, bez badania testów atrybucji, oraz odrębnie ustalić krąg państw wypuszczających dla każdego obiektu na podstawie art. I lit. c konwencji o odpowiedzialności, z odpowiedzialnością solidarną z art. V ust. 1 i regresem z ust. 2.</w:t>
      </w:r>
    </w:p>
    <w:p>
      <w:pPr>
        <w:pStyle w:val="BodyText"/>
      </w:pPr>
      <w:r>
        <w:t xml:space="preserve">W zakresie szkody na instalacji: zastosować art. III konwencji o odpowiedzialności, a nie art. II, i powiedzieć to wprost w sentencji, bo wybór reżimu jest tu rozstrzygnięciem, a nie założeniem. Rozstrzygnięcie warunkowe: jeżeli Inkaton wykaże, że lot zaplanowano lub kontynuowano mimo dostępnej prognozy zjawiska, że statek nie był przygotowany zgodnie ze stanem wiedzy albo że zrzut ładunku nastąpił bez procedury uwzględniającej znane instalacje — stwierdzić winę i zasądzić naprawienie szkody obejmujące sprzęt, konstrukcję z regolitu i wydobyty hel-3, ustalone według art. XII. Jeżeli wykaże wyłącznie wystąpienie burzy i uderzenie ładunku — oddalić roszczenie odszkodowawcze, utrzymując rozstrzygnięcie o bezprawności przechwycenia, które jest od niego niezależne. Utracone korzyści z niewydobytego surowca rozpoznać osobno, wskazując, że definicja szkody z art. I lit. a ich nie wymienia i że ich dochodzenie wymaga oparcia na art. XII oraz na zasadzie pełnego naprawienia.</w:t>
      </w:r>
    </w:p>
    <w:p>
      <w:pPr>
        <w:pStyle w:val="BodyText"/>
      </w:pPr>
      <w:r>
        <w:t xml:space="preserve">W zakresie ratownictwa: stwierdzić, że Quipu wykonała obowiązek z art. 3 Umowy o ratownictwie i art. V Układu, a nie świadczyła usługi; oddalić roszczenie o wynagrodzenie za akcję ratunkową jako pozbawione podstawy w tych instrumentach. Zamiast pozostawić tę oś bez środka, uwzględnić poniesione koszty leczenia i akcji jako element szkody w reżimie art. III i XII konwencji o odpowiedzialności, o ile wina zostanie stwierdzona.</w:t>
      </w:r>
    </w:p>
    <w:p>
      <w:pPr>
        <w:pStyle w:val="BodyText"/>
      </w:pPr>
      <w:r>
        <w:t xml:space="preserve">W zakresie wraku: stwierdzić, że reżim art. 5 ust. 3 Umowy i art. VIII zdanie trzecie Układu ustanawia obowiązek zwrotu, a nie uprawnienie do zatrzymania, i nakazać Quipu zwrot wydobytych urządzeń oraz zaprzestanie wykorzystywania pozyskanej technologii. Rozgraniczyć jednak zakresy: działania mieszczące się w usuwaniu możliwego niebezpieczeństwa w trybie art. 5 ust. 4, po notyfikacji władzy wypuszczającej, nie są bezprawne; bezprawne jest to, co je przekracza. Nakazać przedstawienie protokołu czynności na wraku jako podstawy tego rozgraniczenia.</w:t>
      </w:r>
    </w:p>
    <w:p>
      <w:pPr>
        <w:pStyle w:val="BodyText"/>
      </w:pPr>
      <w:r>
        <w:t xml:space="preserve">W zakresie terminów i wyboru drogi: dla każdego państwa ustalić osobno trzy daty i zbadać zachowanie terminu z art. X ust. 1 i 2, z zastrzeżeniem ograniczenia wynikającego z należytej staranności. Przy przekroczeniu terminu wskazać, że droga konwencyjna zamyka się co do danej szkody, ale roszczenia z tytułu naruszenia art. II, VIII i IX Układu pozostają otwarte w reżimie ogólnym. Przed wszczęciem czegokolwiek nakazać stronom określenie, czy i w jakim zakresie te same szkody są dochodzone przed organami państwa wypuszczającego — art. XI ust. 2 czyni wybór drogi rozstrzygnięciem nieodwracalnym, a orzeczenie in rem wskazuje, że postępowania krajowe już się toczyły.</w:t>
      </w:r>
    </w:p>
    <w:bookmarkEnd w:id="49"/>
    <w:bookmarkStart w:id="50" w:name="bramka-środka-naprawczego-rem-gate-k-06"/>
    <w:p>
      <w:pPr>
        <w:pStyle w:val="Heading2"/>
      </w:pPr>
      <w:r>
        <w:t xml:space="preserve">Bramka środka naprawczego (REM-GATE) — K-06</w:t>
      </w:r>
    </w:p>
    <w:p>
      <w:pPr>
        <w:pStyle w:val="FirstParagraph"/>
      </w:pPr>
      <w:r>
        <w:t xml:space="preserve">REM-0 próby: 5 powołań kandydujących do znacznika, 5 prób dwukanałowych, 5 odzyskanych, 0 porażek. Zbiór czterech traktatów kosmicznych pobrano z</w:t>
      </w:r>
      <w:r>
        <w:t xml:space="preserve"> </w:t>
      </w:r>
      <w:r>
        <w:rPr>
          <w:rStyle w:val="VerbatimChar"/>
        </w:rPr>
        <w:t xml:space="preserve">unoosa.org</w:t>
      </w:r>
      <w:r>
        <w:t xml:space="preserve"> </w:t>
      </w:r>
      <w:r>
        <w:t xml:space="preserve">przez curl (HTTP 200, pełny tekst), mimo że tabela kanałów odnotowuje dla tej domeny 403 z powodu przekierowania na wariant z</w:t>
      </w:r>
      <w:r>
        <w:t xml:space="preserve"> </w:t>
      </w:r>
      <w:r>
        <w:rPr>
          <w:rStyle w:val="VerbatimChar"/>
        </w:rPr>
        <w:t xml:space="preserve">www.</w:t>
      </w:r>
      <w:r>
        <w:t xml:space="preserve"> </w:t>
      </w:r>
      <w:r>
        <w:t xml:space="preserve">— żądanie skierowane wprost na wariant z</w:t>
      </w:r>
      <w:r>
        <w:t xml:space="preserve"> </w:t>
      </w:r>
      <w:r>
        <w:rPr>
          <w:rStyle w:val="VerbatimChar"/>
        </w:rPr>
        <w:t xml:space="preserve">www.</w:t>
      </w:r>
      <w:r>
        <w:t xml:space="preserve"> </w:t>
      </w:r>
      <w:r>
        <w:t xml:space="preserve">zwróciło pełny dokument. Trzecie w tej serii odchylenie od tabeli i trzecie potwierdzenie, że tabela jest punktem startu pomiaru, a nie jego substytutem.</w:t>
      </w:r>
    </w:p>
    <w:p>
      <w:pPr>
        <w:pStyle w:val="BodyText"/>
      </w:pPr>
      <w:r>
        <w:t xml:space="preserve">REM-1 oddalenia: 4 oddalone (powołanie się na bezpieczeństwo ruchu orbitalnego jako samodzielny tytuł; zastosowanie reżimu odpowiedzialności absolutnej z art. II; zastosowanie art. 2 Umowy o ratownictwie; roszczenie o wynagrodzenie za akcję ratunkową), 4 sparowane alternatywy rozwinięte na tę samą głębokość (stan wyższej konieczności z art. 25 artykułów KPM jako właściwa konstrukcja dla tego argumentu; art. III konwencji jako reżim zastępczy; art. 3 Umowy i art. V Układu jako reżim zastępczy; koszty akcji jako element szkody z art. III i XII).</w:t>
      </w:r>
    </w:p>
    <w:p>
      <w:pPr>
        <w:pStyle w:val="BodyText"/>
      </w:pPr>
      <w:r>
        <w:t xml:space="preserve">REM-2 braki: 11 pozycji ⬛, 11 rozstrzygnięć warunkowych, 0 blokad dopuszczalności. Pozycja o statusie ratyfikacyjnym czterech traktatów jest najbliższa blokadzie, ale nią nie jest, ponieważ art. II, VIII i IX Układu mają odpowiedniki zwyczajowe, a w razie braku związania traktatem analiza przenosi się na ogólne prawo odpowiedzialności państw bez zmiany treści testów.</w:t>
      </w:r>
    </w:p>
    <w:p>
      <w:pPr>
        <w:pStyle w:val="BodyText"/>
      </w:pPr>
      <w:r>
        <w:t xml:space="preserve">REM-3 instrumenty o niższym statusie: artykuły Komisji Prawa Międzynarodowego — tekst przyjęty rezolucją Zgromadzenia Ogólnego, nie traktat, niosący całość zagadnienia o stanie wyższej konieczności. Argumentacja przeprowadzona w pełnej objętości, z jawnym oznaczeniem mocy. Status weryfikacyjny RZĘDU 1 nie podnosi mocy wiążącej instrumentu i te dwie osie pozostają rozdzielone.</w:t>
      </w:r>
    </w:p>
    <w:p>
      <w:pPr>
        <w:pStyle w:val="BodyText"/>
      </w:pPr>
      <w:r>
        <w:t xml:space="preserve">REM-4 pokrycie: własność i orzeczenie in rem — PEŁNA; legalność przechwycenia — PEŁNA; odpowiedzialność państw za spółki — PEŁNA; reżim odpowiedzialności za szkodę — PEŁNA; ratownictwo i wrak — PEŁNA; terminy i wybór drogi — PEŁNA; wymiar odszkodowania za utracone korzyści i za hel-3 jako surowiec wydobyty — CIENKA i deklaruję to wprost: definicja szkody nie rozstrzyga tej kategorii, a rozwinięcie wymagałoby orzecznictwa, którego reżim konwencyjny praktycznie nie wytworzył.</w:t>
      </w:r>
    </w:p>
    <w:bookmarkEnd w:id="50"/>
    <w:bookmarkStart w:id="51" w:name="zweryfikowane-pozycje-źródłowe-k-06"/>
    <w:p>
      <w:pPr>
        <w:pStyle w:val="Heading2"/>
      </w:pPr>
      <w:r>
        <w:t xml:space="preserve">Zweryfikowane pozycje źródłowe (K-06)</w:t>
      </w:r>
    </w:p>
    <w:p>
      <w:pPr>
        <w:pStyle w:val="FirstParagraph"/>
      </w:pPr>
      <w:r>
        <w:t xml:space="preserve">Układ o zasadach działalności państw w zakresie badań i użytkowania przestrzeni kosmicznej, łącznie z Księżycem i innymi ciałami niebieskimi, z 27 stycznia 1967 r., UNTS vol. 610, nr 8843 — sprawdzono art. I, art. II, art. III, art. IV, art. V, art. VI, art. VII, art. VIII, art. IX, art. X, art. XI. ✅ [VER: unoosa.org, zbiór traktatów i zasad ONZ dotyczących przestrzeni kosmicznej, curl 200, pełny tekst PDF, RZĄD 1, 2026-09-06]</w:t>
      </w:r>
    </w:p>
    <w:p>
      <w:pPr>
        <w:pStyle w:val="BodyText"/>
      </w:pPr>
      <w:r>
        <w:t xml:space="preserve">Umowa o ratowaniu kosmonautów, powrocie kosmonautów i zwrocie obiektów wypuszczonych w przestrzeń kosmiczną z 22 kwietnia 1968 r., UNTS vol. 672, nr 9574 — sprawdzono art. 2, art. 3, art. 4, art. 5 ust. 1–5, art. 6, art. 7. ✅ [VER: unoosa.org, curl 200, pełny tekst PDF, RZĄD 1, 2026-09-06]</w:t>
      </w:r>
    </w:p>
    <w:p>
      <w:pPr>
        <w:pStyle w:val="BodyText"/>
      </w:pPr>
      <w:r>
        <w:t xml:space="preserve">Konwencja o międzynarodowej odpowiedzialności za szkody wyrządzone przez obiekty kosmiczne z 29 marca 1972 r., UNTS vol. 961, nr 13810 — sprawdzono art. I lit. a–d, art. II, art. III, art. IV ust. 1–2, art. V ust. 1–3, art. VI ust. 1–2, art. VII, art. VIII ust. 1–3, art. IX, art. X ust. 1–3, art. XI ust. 1–2, art. XII, art. XIII. ✅ [VER: unoosa.org, curl 200, pełny tekst PDF, RZĄD 1, 2026-09-06]</w:t>
      </w:r>
    </w:p>
    <w:p>
      <w:pPr>
        <w:pStyle w:val="BodyText"/>
      </w:pPr>
      <w:r>
        <w:t xml:space="preserve">Konwencja o rejestracji obiektów wypuszczonych w przestrzeń kosmiczną z 14 stycznia 1975 r., UNTS vol. 1023, nr 15020 — sprawdzono art. I lit. a–c, art. II ust. 1–3, art. III, art. IV ust. 1–3, art. V. ✅ [VER: unoosa.org, curl 200, pełny tekst PDF, RZĄD 1, 2026-09-06]</w:t>
      </w:r>
    </w:p>
    <w:p>
      <w:pPr>
        <w:pStyle w:val="BodyText"/>
      </w:pPr>
      <w:r>
        <w:t xml:space="preserve">Artykuły Komisji Prawa Międzynarodowego o odpowiedzialności państw za czyny międzynarodowo bezprawne (2001) — sprawdzono art. 25 ust. 1–2 (stan wyższej konieczności). ✅ [VER: legal.un.org, curl 200, pełny tekst PDF, RZĄD 1, 2026-09-06] — tekst przyjęty w załączniku do rezolucji Zgromadzenia Ogólnego; nie jest traktatem.</w:t>
      </w:r>
    </w:p>
    <w:p>
      <w:pPr>
        <w:pStyle w:val="BodyText"/>
      </w:pPr>
      <w:r>
        <w:t xml:space="preserve">Nie przypisano jednostkom redakcyjnym i przedstawiono jako standard doktrynalny: treść obowiązku należytej staranności operatora obiektu kosmicznego wobec znanych instalacji na ciałach niebieskich; zakres pojęcia winy na gruncie art. III konwencji o odpowiedzialności wobec braku wykształconej praktyki roszczeniowej; ochrona tajemnicy technologicznej w prawie kosmicznym; status prawny surowców wydobytych na ciele niebieskim. Wymagają samodzielnego potwierdzenia.</w:t>
      </w:r>
    </w:p>
    <w:bookmarkEnd w:id="51"/>
    <w:bookmarkEnd w:id="52"/>
    <w:bookmarkStart w:id="53" w:name="nota-do-partii-8"/>
    <w:p>
      <w:pPr>
        <w:pStyle w:val="Heading1"/>
      </w:pPr>
      <w:r>
        <w:t xml:space="preserve">Nota do partii 8</w:t>
      </w:r>
    </w:p>
    <w:p>
      <w:pPr>
        <w:pStyle w:val="FirstParagraph"/>
      </w:pPr>
      <w:r>
        <w:t xml:space="preserve">Trzy obserwacje.</w:t>
      </w:r>
    </w:p>
    <w:p>
      <w:pPr>
        <w:pStyle w:val="BodyText"/>
      </w:pPr>
      <w:r>
        <w:t xml:space="preserve">Bramka zakresu zmieniła wynik trzykrotnie i za każdym razem przez ten sam mechanizm: przepis bliźniaczy albo warunek wstępny w nagłówku. W K-06 reżim odpowiedzialności za szkodę na Księżycu przenosi się z absolutnego na winę, ponieważ art. II konwencji ogranicza się do szkody na powierzchni Ziemi i statkom powietrznym w locie, a jego bliźniak z art. III obejmuje wszystko poza tym. W K-06 po raz drugi: art. 2 Umowy o ratownictwie odnosi się do terytorium podlegającego jurysdykcji Strony, a Księżyc takim terytorium być nie może z mocy art. II Układu — właściwy jest art. 3, o innym brzmieniu i innym adresacie. W K-05 art. 49 konwencji sprzedażowej ustępuje art. 73, ponieważ dostawa miała nastąpić w transzach, a to przesądza o zakresie skutecznego rozwiązania i pośrednio o wysokości odszkodowania.</w:t>
      </w:r>
    </w:p>
    <w:p>
      <w:pPr>
        <w:pStyle w:val="BodyText"/>
      </w:pPr>
      <w:r>
        <w:t xml:space="preserve">Najgroźniejszy błąd tej partii byłby błędem z pominięcia jednostki leżącej w innym akcie niż analizowany. W K-05 przesłanka nieprzewidywalności z art. 79 konwencji sprzedażowej rozstrzyga się na kalendarzu zmiany załączników zapisanym w art. XV konwencji o handlu gatunkami zagrożonymi — 150 dni, 30 dni, 90 dni. Nikt analizujący art. 79 nie sięga odruchowo do procedury zmiany załączników, a to właśnie ona odpowiada na pytanie, co profesjonalista mógł wiedzieć i kiedy.</w:t>
      </w:r>
    </w:p>
    <w:p>
      <w:pPr>
        <w:pStyle w:val="BodyText"/>
      </w:pPr>
      <w:r>
        <w:t xml:space="preserve">Jedna porażka kanałowa i jedno odchylenie na korzyść. Regulamin arbitrażowy pozostał na RZĘDZIE 2A mimo próby dwukanałowej: curl 403 na dwóch ścieżkach, web_fetch odmowa z detekcją bota. Argumentacja oparta na tym instrumencie została przeprowadzona w pełnej objętości — znacznik dotyczy statusu powołania, nie siły wywodu, a reguły regulaminu i tak wiążą strony przez odesłanie umowne, nie jako źródło prawa. W drugą stronę: zbiór traktatów kosmicznych pobrał się przez curl z domeny, którą tabela kanałów opisuje jako blokującą — wystarczyło skierować żądanie wprost na wariant z prefiksem</w:t>
      </w:r>
      <w:r>
        <w:t xml:space="preserve"> </w:t>
      </w:r>
      <w:r>
        <w:rPr>
          <w:rStyle w:val="VerbatimChar"/>
        </w:rPr>
        <w:t xml:space="preserve">www.</w:t>
      </w:r>
      <w:r>
        <w:t xml:space="preserve">, zamiast pozwolić na przekierowanie. To trzecie takie odchylenie w serii i wniosek jest już powtarzalny: kształt żądania bywa jedyną przyczyną odmowy.</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2026-09-07T06:39:03Z</dcterms:created>
  <dcterms:modified xsi:type="dcterms:W3CDTF">2026-09-07T06:39:03Z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8: K-05 – K-06 (część międzynarodowa)</vt:lpwstr>
  </property>
</Properties>
</file>