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320"/>
        <w:jc w:val="center"/>
      </w:pPr>
      <w:r>
        <w:rPr>
          <w:b/>
          <w:color w:val="997013"/>
          <w:sz w:val="20"/>
        </w:rPr>
        <w:t>BANK KAZUSÓW</w:t>
      </w:r>
    </w:p>
    <w:p>
      <w:pPr>
        <w:pStyle w:val="Title"/>
        <w:jc w:val="center"/>
      </w:pPr>
      <w:r>
        <w:t>Kazusy prawne wieloaspektowe</w:t>
      </w:r>
    </w:p>
    <w:p>
      <w:pPr>
        <w:pStyle w:val="Subtitle"/>
        <w:jc w:val="center"/>
      </w:pPr>
      <w:r>
        <w:t>Czternaście zaawansowanych problemów do samodzielnego rozwiązania</w:t>
      </w:r>
    </w:p>
    <w:p>
      <w:pPr>
        <w:spacing w:before="1400"/>
        <w:jc w:val="center"/>
      </w:pPr>
      <w:r>
        <w:rPr>
          <w:color w:val="5D656F"/>
          <w:sz w:val="21"/>
        </w:rPr>
        <w:t>Problemy międzynarodowe oraz autorskie kazusy prawa polskiego</w:t>
      </w:r>
    </w:p>
    <w:p>
      <w:pPr>
        <w:spacing w:before="720"/>
        <w:jc w:val="center"/>
      </w:pPr>
      <w:r>
        <w:rPr>
          <w:b/>
          <w:color w:val="0B2545"/>
          <w:sz w:val="22"/>
        </w:rPr>
        <w:t>Materiał szkoleniowy dla prawników</w:t>
      </w:r>
    </w:p>
    <w:p>
      <w:r>
        <w:br w:type="page"/>
      </w:r>
    </w:p>
    <w:p>
      <w:pPr>
        <w:pStyle w:val="Heading1"/>
      </w:pPr>
      <w:r>
        <w:t>Mapa banku kazusów</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Jak korzystać: </w:t>
            </w:r>
            <w:r>
              <w:t>Każdy kazus jest autonomiczną adaptacją dydaktyczną. Najpierw przygotuj mapę reżimów i pytań prejudycjalnych, następnie argumentację obu stron, a dopiero na końcu rekomendowane rozstrzygnięcie i środki naprawcze.</w:t>
            </w:r>
          </w:p>
        </w:tc>
      </w:tr>
    </w:tbl>
    <w:p>
      <w:pPr>
        <w:spacing w:after="0"/>
      </w:pPr>
    </w:p>
    <w:tbl>
      <w:tblPr>
        <w:tblW w:type="dxa" w:w="9360"/>
        <w:tblLayout w:type="fixed"/>
        <w:tblLook w:firstColumn="1" w:firstRow="1" w:lastColumn="0" w:lastRow="0" w:noHBand="0" w:noVBand="1" w:val="04A0"/>
        <w:tblInd w:w="120" w:type="dxa"/>
      </w:tblPr>
      <w:tblGrid>
        <w:gridCol w:w="850"/>
        <w:gridCol w:w="2530"/>
        <w:gridCol w:w="3880"/>
        <w:gridCol w:w="2100"/>
      </w:tblGrid>
      <w:tr>
        <w:tc>
          <w:tcPr>
            <w:tcW w:type="dxa" w:w="850"/>
            <w:vAlign w:val="center"/>
            <w:tcMar>
              <w:top w:w="80" w:type="dxa"/>
              <w:start w:w="120" w:type="dxa"/>
              <w:bottom w:w="80" w:type="dxa"/>
              <w:end w:w="120" w:type="dxa"/>
            </w:tcMar>
            <w:shd w:fill="E8EEF5"/>
          </w:tcPr>
          <w:p>
            <w:r>
              <w:rPr>
                <w:b/>
              </w:rPr>
              <w:t>Kod</w:t>
            </w:r>
          </w:p>
        </w:tc>
        <w:tc>
          <w:tcPr>
            <w:tcW w:type="dxa" w:w="2530"/>
            <w:vAlign w:val="center"/>
            <w:tcMar>
              <w:top w:w="80" w:type="dxa"/>
              <w:start w:w="120" w:type="dxa"/>
              <w:bottom w:w="80" w:type="dxa"/>
              <w:end w:w="120" w:type="dxa"/>
            </w:tcMar>
            <w:shd w:fill="E8EEF5"/>
          </w:tcPr>
          <w:p>
            <w:r>
              <w:rPr>
                <w:b/>
              </w:rPr>
              <w:t>Kazus</w:t>
            </w:r>
          </w:p>
        </w:tc>
        <w:tc>
          <w:tcPr>
            <w:tcW w:type="dxa" w:w="3880"/>
            <w:vAlign w:val="center"/>
            <w:tcMar>
              <w:top w:w="80" w:type="dxa"/>
              <w:start w:w="120" w:type="dxa"/>
              <w:bottom w:w="80" w:type="dxa"/>
              <w:end w:w="120" w:type="dxa"/>
            </w:tcMar>
            <w:shd w:fill="E8EEF5"/>
          </w:tcPr>
          <w:p>
            <w:r>
              <w:rPr>
                <w:b/>
              </w:rPr>
              <w:t>Rdzeń problemu</w:t>
            </w:r>
          </w:p>
        </w:tc>
        <w:tc>
          <w:tcPr>
            <w:tcW w:type="dxa" w:w="2100"/>
            <w:vAlign w:val="center"/>
            <w:tcMar>
              <w:top w:w="80" w:type="dxa"/>
              <w:start w:w="120" w:type="dxa"/>
              <w:bottom w:w="80" w:type="dxa"/>
              <w:end w:w="120" w:type="dxa"/>
            </w:tcMar>
            <w:shd w:fill="E8EEF5"/>
          </w:tcPr>
          <w:p>
            <w:r>
              <w:rPr>
                <w:b/>
              </w:rPr>
              <w:t>Czas</w:t>
            </w:r>
          </w:p>
        </w:tc>
      </w:tr>
      <w:tr>
        <w:tc>
          <w:tcPr>
            <w:tcW w:type="dxa" w:w="2100"/>
            <w:gridSpan w:val="4"/>
            <w:shd w:fill="F2F4F7"/>
            <w:vAlign w:val="center"/>
            <w:tcMar>
              <w:top w:w="80" w:type="dxa"/>
              <w:start w:w="120" w:type="dxa"/>
              <w:bottom w:w="80" w:type="dxa"/>
              <w:end w:w="120" w:type="dxa"/>
            </w:tcMar>
          </w:tcPr>
          <w:p>
            <w:r>
              <w:rPr>
                <w:b/>
              </w:rPr>
              <w:t>Część I — problemy międzynarodowe</w:t>
            </w:r>
          </w:p>
        </w:tc>
      </w:tr>
      <w:tr>
        <w:tc>
          <w:tcPr>
            <w:tcW w:type="dxa" w:w="850"/>
            <w:vAlign w:val="center"/>
            <w:tcMar>
              <w:top w:w="80" w:type="dxa"/>
              <w:start w:w="120" w:type="dxa"/>
              <w:bottom w:w="80" w:type="dxa"/>
              <w:end w:w="120" w:type="dxa"/>
            </w:tcMar>
          </w:tcPr>
          <w:p>
            <w:r>
              <w:t>K-01</w:t>
            </w:r>
          </w:p>
        </w:tc>
        <w:tc>
          <w:tcPr>
            <w:tcW w:type="dxa" w:w="2530"/>
            <w:vAlign w:val="center"/>
            <w:tcMar>
              <w:top w:w="80" w:type="dxa"/>
              <w:start w:w="120" w:type="dxa"/>
              <w:bottom w:w="80" w:type="dxa"/>
              <w:end w:w="120" w:type="dxa"/>
            </w:tcMar>
          </w:tcPr>
          <w:p>
            <w:r>
              <w:t>Heliox przeciwko Królestwu Solarii</w:t>
            </w:r>
          </w:p>
        </w:tc>
        <w:tc>
          <w:tcPr>
            <w:tcW w:type="dxa" w:w="3880"/>
            <w:vAlign w:val="center"/>
            <w:tcMar>
              <w:top w:w="80" w:type="dxa"/>
              <w:start w:w="120" w:type="dxa"/>
              <w:bottom w:w="80" w:type="dxa"/>
              <w:end w:w="120" w:type="dxa"/>
            </w:tcMar>
          </w:tcPr>
          <w:p>
            <w:r>
              <w:t>Transformacja energetyczna, pomoc państwa i arbitraż inwestycyjny</w:t>
            </w:r>
          </w:p>
        </w:tc>
        <w:tc>
          <w:tcPr>
            <w:tcW w:type="dxa" w:w="2100"/>
            <w:vAlign w:val="center"/>
            <w:tcMar>
              <w:top w:w="80" w:type="dxa"/>
              <w:start w:w="120" w:type="dxa"/>
              <w:bottom w:w="80" w:type="dxa"/>
              <w:end w:w="120" w:type="dxa"/>
            </w:tcMar>
          </w:tcPr>
          <w:p>
            <w:r>
              <w:t>5–7 godzin</w:t>
            </w:r>
          </w:p>
        </w:tc>
      </w:tr>
      <w:tr>
        <w:tc>
          <w:tcPr>
            <w:tcW w:type="dxa" w:w="850"/>
            <w:vAlign w:val="center"/>
            <w:tcMar>
              <w:top w:w="80" w:type="dxa"/>
              <w:start w:w="120" w:type="dxa"/>
              <w:bottom w:w="80" w:type="dxa"/>
              <w:end w:w="120" w:type="dxa"/>
            </w:tcMar>
          </w:tcPr>
          <w:p>
            <w:r>
              <w:t>K-02</w:t>
            </w:r>
          </w:p>
        </w:tc>
        <w:tc>
          <w:tcPr>
            <w:tcW w:type="dxa" w:w="2530"/>
            <w:vAlign w:val="center"/>
            <w:tcMar>
              <w:top w:w="80" w:type="dxa"/>
              <w:start w:w="120" w:type="dxa"/>
              <w:bottom w:w="80" w:type="dxa"/>
              <w:end w:w="120" w:type="dxa"/>
            </w:tcMar>
          </w:tcPr>
          <w:p>
            <w:r>
              <w:t>Spór o Wąwóz Gordyjski</w:t>
            </w:r>
          </w:p>
        </w:tc>
        <w:tc>
          <w:tcPr>
            <w:tcW w:type="dxa" w:w="3880"/>
            <w:vAlign w:val="center"/>
            <w:tcMar>
              <w:top w:w="80" w:type="dxa"/>
              <w:start w:w="120" w:type="dxa"/>
              <w:bottom w:w="80" w:type="dxa"/>
              <w:end w:w="120" w:type="dxa"/>
            </w:tcMar>
          </w:tcPr>
          <w:p>
            <w:r>
              <w:t>Ludność rdzenna, minerały krytyczne i odpowiedzialność państwa</w:t>
            </w:r>
          </w:p>
        </w:tc>
        <w:tc>
          <w:tcPr>
            <w:tcW w:type="dxa" w:w="2100"/>
            <w:vAlign w:val="center"/>
            <w:tcMar>
              <w:top w:w="80" w:type="dxa"/>
              <w:start w:w="120" w:type="dxa"/>
              <w:bottom w:w="80" w:type="dxa"/>
              <w:end w:w="120" w:type="dxa"/>
            </w:tcMar>
          </w:tcPr>
          <w:p>
            <w:r>
              <w:t>5–7 godzin</w:t>
            </w:r>
          </w:p>
        </w:tc>
      </w:tr>
      <w:tr>
        <w:tc>
          <w:tcPr>
            <w:tcW w:type="dxa" w:w="850"/>
            <w:vAlign w:val="center"/>
            <w:tcMar>
              <w:top w:w="80" w:type="dxa"/>
              <w:start w:w="120" w:type="dxa"/>
              <w:bottom w:w="80" w:type="dxa"/>
              <w:end w:w="120" w:type="dxa"/>
            </w:tcMar>
          </w:tcPr>
          <w:p>
            <w:r>
              <w:t>K-03</w:t>
            </w:r>
          </w:p>
        </w:tc>
        <w:tc>
          <w:tcPr>
            <w:tcW w:type="dxa" w:w="2530"/>
            <w:vAlign w:val="center"/>
            <w:tcMar>
              <w:top w:w="80" w:type="dxa"/>
              <w:start w:w="120" w:type="dxa"/>
              <w:bottom w:w="80" w:type="dxa"/>
              <w:end w:w="120" w:type="dxa"/>
            </w:tcMar>
          </w:tcPr>
          <w:p>
            <w:r>
              <w:t>Vitoria i Graviola przeciwko Uxi</w:t>
            </w:r>
          </w:p>
        </w:tc>
        <w:tc>
          <w:tcPr>
            <w:tcW w:type="dxa" w:w="3880"/>
            <w:vAlign w:val="center"/>
            <w:tcMar>
              <w:top w:w="80" w:type="dxa"/>
              <w:start w:w="120" w:type="dxa"/>
              <w:bottom w:w="80" w:type="dxa"/>
              <w:end w:w="120" w:type="dxa"/>
            </w:tcMar>
          </w:tcPr>
          <w:p>
            <w:r>
              <w:t>Inwigilacja cyfrowa, wolność prasy i bezpieczeństwo narodowe</w:t>
            </w:r>
          </w:p>
        </w:tc>
        <w:tc>
          <w:tcPr>
            <w:tcW w:type="dxa" w:w="2100"/>
            <w:vAlign w:val="center"/>
            <w:tcMar>
              <w:top w:w="80" w:type="dxa"/>
              <w:start w:w="120" w:type="dxa"/>
              <w:bottom w:w="80" w:type="dxa"/>
              <w:end w:w="120" w:type="dxa"/>
            </w:tcMar>
          </w:tcPr>
          <w:p>
            <w:r>
              <w:t>4–6 godzin</w:t>
            </w:r>
          </w:p>
        </w:tc>
      </w:tr>
      <w:tr>
        <w:tc>
          <w:tcPr>
            <w:tcW w:type="dxa" w:w="850"/>
            <w:vAlign w:val="center"/>
            <w:tcMar>
              <w:top w:w="80" w:type="dxa"/>
              <w:start w:w="120" w:type="dxa"/>
              <w:bottom w:w="80" w:type="dxa"/>
              <w:end w:w="120" w:type="dxa"/>
            </w:tcMar>
          </w:tcPr>
          <w:p>
            <w:r>
              <w:t>K-04</w:t>
            </w:r>
          </w:p>
        </w:tc>
        <w:tc>
          <w:tcPr>
            <w:tcW w:type="dxa" w:w="2530"/>
            <w:vAlign w:val="center"/>
            <w:tcMar>
              <w:top w:w="80" w:type="dxa"/>
              <w:start w:w="120" w:type="dxa"/>
              <w:bottom w:w="80" w:type="dxa"/>
              <w:end w:w="120" w:type="dxa"/>
            </w:tcMar>
          </w:tcPr>
          <w:p>
            <w:r>
              <w:t>Prokurator przeciwko Drogannie Syrax</w:t>
            </w:r>
          </w:p>
        </w:tc>
        <w:tc>
          <w:tcPr>
            <w:tcW w:type="dxa" w:w="3880"/>
            <w:vAlign w:val="center"/>
            <w:tcMar>
              <w:top w:w="80" w:type="dxa"/>
              <w:start w:w="120" w:type="dxa"/>
              <w:bottom w:w="80" w:type="dxa"/>
              <w:end w:w="120" w:type="dxa"/>
            </w:tcMar>
          </w:tcPr>
          <w:p>
            <w:r>
              <w:t>Pomoc medyczna, jurysdykcja MTK i immunitet głowy państwa</w:t>
            </w:r>
          </w:p>
        </w:tc>
        <w:tc>
          <w:tcPr>
            <w:tcW w:type="dxa" w:w="2100"/>
            <w:vAlign w:val="center"/>
            <w:tcMar>
              <w:top w:w="80" w:type="dxa"/>
              <w:start w:w="120" w:type="dxa"/>
              <w:bottom w:w="80" w:type="dxa"/>
              <w:end w:w="120" w:type="dxa"/>
            </w:tcMar>
          </w:tcPr>
          <w:p>
            <w:r>
              <w:t>4–6 godzin</w:t>
            </w:r>
          </w:p>
        </w:tc>
      </w:tr>
      <w:tr>
        <w:tc>
          <w:tcPr>
            <w:tcW w:type="dxa" w:w="850"/>
            <w:vAlign w:val="center"/>
            <w:tcMar>
              <w:top w:w="80" w:type="dxa"/>
              <w:start w:w="120" w:type="dxa"/>
              <w:bottom w:w="80" w:type="dxa"/>
              <w:end w:w="120" w:type="dxa"/>
            </w:tcMar>
          </w:tcPr>
          <w:p>
            <w:r>
              <w:t>K-05</w:t>
            </w:r>
          </w:p>
        </w:tc>
        <w:tc>
          <w:tcPr>
            <w:tcW w:type="dxa" w:w="2530"/>
            <w:vAlign w:val="center"/>
            <w:tcMar>
              <w:top w:w="80" w:type="dxa"/>
              <w:start w:w="120" w:type="dxa"/>
              <w:bottom w:w="80" w:type="dxa"/>
              <w:end w:w="120" w:type="dxa"/>
            </w:tcMar>
          </w:tcPr>
          <w:p>
            <w:r>
              <w:t>Orchis Worldwide przeciwko Darwin Natural Food</w:t>
            </w:r>
          </w:p>
        </w:tc>
        <w:tc>
          <w:tcPr>
            <w:tcW w:type="dxa" w:w="3880"/>
            <w:vAlign w:val="center"/>
            <w:tcMar>
              <w:top w:w="80" w:type="dxa"/>
              <w:start w:w="120" w:type="dxa"/>
              <w:bottom w:w="80" w:type="dxa"/>
              <w:end w:w="120" w:type="dxa"/>
            </w:tcMar>
          </w:tcPr>
          <w:p>
            <w:r>
              <w:t>CISG, CITES, finansowanie sporu i zmiana regulacyjna</w:t>
            </w:r>
          </w:p>
        </w:tc>
        <w:tc>
          <w:tcPr>
            <w:tcW w:type="dxa" w:w="2100"/>
            <w:vAlign w:val="center"/>
            <w:tcMar>
              <w:top w:w="80" w:type="dxa"/>
              <w:start w:w="120" w:type="dxa"/>
              <w:bottom w:w="80" w:type="dxa"/>
              <w:end w:w="120" w:type="dxa"/>
            </w:tcMar>
          </w:tcPr>
          <w:p>
            <w:r>
              <w:t>4–6 godzin</w:t>
            </w:r>
          </w:p>
        </w:tc>
      </w:tr>
      <w:tr>
        <w:tc>
          <w:tcPr>
            <w:tcW w:type="dxa" w:w="850"/>
            <w:vAlign w:val="center"/>
            <w:tcMar>
              <w:top w:w="80" w:type="dxa"/>
              <w:start w:w="120" w:type="dxa"/>
              <w:bottom w:w="80" w:type="dxa"/>
              <w:end w:w="120" w:type="dxa"/>
            </w:tcMar>
          </w:tcPr>
          <w:p>
            <w:r>
              <w:t>K-06</w:t>
            </w:r>
          </w:p>
        </w:tc>
        <w:tc>
          <w:tcPr>
            <w:tcW w:type="dxa" w:w="2530"/>
            <w:vAlign w:val="center"/>
            <w:tcMar>
              <w:top w:w="80" w:type="dxa"/>
              <w:start w:w="120" w:type="dxa"/>
              <w:bottom w:w="80" w:type="dxa"/>
              <w:end w:w="120" w:type="dxa"/>
            </w:tcMar>
          </w:tcPr>
          <w:p>
            <w:r>
              <w:t>Inkaton przeciwko Accadii</w:t>
            </w:r>
          </w:p>
        </w:tc>
        <w:tc>
          <w:tcPr>
            <w:tcW w:type="dxa" w:w="3880"/>
            <w:vAlign w:val="center"/>
            <w:tcMar>
              <w:top w:w="80" w:type="dxa"/>
              <w:start w:w="120" w:type="dxa"/>
              <w:bottom w:w="80" w:type="dxa"/>
              <w:end w:w="120" w:type="dxa"/>
            </w:tcMar>
          </w:tcPr>
          <w:p>
            <w:r>
              <w:t>Własność obiektów kosmicznych, ratownictwo i odpowiedzialność</w:t>
            </w:r>
          </w:p>
        </w:tc>
        <w:tc>
          <w:tcPr>
            <w:tcW w:type="dxa" w:w="2100"/>
            <w:vAlign w:val="center"/>
            <w:tcMar>
              <w:top w:w="80" w:type="dxa"/>
              <w:start w:w="120" w:type="dxa"/>
              <w:bottom w:w="80" w:type="dxa"/>
              <w:end w:w="120" w:type="dxa"/>
            </w:tcMar>
          </w:tcPr>
          <w:p>
            <w:r>
              <w:t>4–6 godzin</w:t>
            </w:r>
          </w:p>
        </w:tc>
      </w:tr>
      <w:tr>
        <w:tc>
          <w:tcPr>
            <w:tcW w:type="dxa" w:w="850"/>
            <w:vAlign w:val="center"/>
            <w:tcMar>
              <w:top w:w="80" w:type="dxa"/>
              <w:start w:w="120" w:type="dxa"/>
              <w:bottom w:w="80" w:type="dxa"/>
              <w:end w:w="120" w:type="dxa"/>
            </w:tcMar>
          </w:tcPr>
          <w:p>
            <w:r>
              <w:t>K-07</w:t>
            </w:r>
          </w:p>
        </w:tc>
        <w:tc>
          <w:tcPr>
            <w:tcW w:type="dxa" w:w="2530"/>
            <w:vAlign w:val="center"/>
            <w:tcMar>
              <w:top w:w="80" w:type="dxa"/>
              <w:start w:w="120" w:type="dxa"/>
              <w:bottom w:w="80" w:type="dxa"/>
              <w:end w:w="120" w:type="dxa"/>
            </w:tcMar>
          </w:tcPr>
          <w:p>
            <w:r>
              <w:t>Anecoyon przeciwko Ridusowi</w:t>
            </w:r>
          </w:p>
        </w:tc>
        <w:tc>
          <w:tcPr>
            <w:tcW w:type="dxa" w:w="3880"/>
            <w:vAlign w:val="center"/>
            <w:tcMar>
              <w:top w:w="80" w:type="dxa"/>
              <w:start w:w="120" w:type="dxa"/>
              <w:bottom w:w="80" w:type="dxa"/>
              <w:end w:w="120" w:type="dxa"/>
            </w:tcMar>
          </w:tcPr>
          <w:p>
            <w:r>
              <w:t>De-extinction, zasoby genetyczne i podział korzyści</w:t>
            </w:r>
          </w:p>
        </w:tc>
        <w:tc>
          <w:tcPr>
            <w:tcW w:type="dxa" w:w="2100"/>
            <w:vAlign w:val="center"/>
            <w:tcMar>
              <w:top w:w="80" w:type="dxa"/>
              <w:start w:w="120" w:type="dxa"/>
              <w:bottom w:w="80" w:type="dxa"/>
              <w:end w:w="120" w:type="dxa"/>
            </w:tcMar>
          </w:tcPr>
          <w:p>
            <w:r>
              <w:t>4–6 godzin</w:t>
            </w:r>
          </w:p>
        </w:tc>
      </w:tr>
      <w:tr>
        <w:tc>
          <w:tcPr>
            <w:tcW w:type="dxa" w:w="2100"/>
            <w:gridSpan w:val="4"/>
            <w:shd w:fill="F2F4F7"/>
            <w:vAlign w:val="center"/>
            <w:tcMar>
              <w:top w:w="80" w:type="dxa"/>
              <w:start w:w="120" w:type="dxa"/>
              <w:bottom w:w="80" w:type="dxa"/>
              <w:end w:w="120" w:type="dxa"/>
            </w:tcMar>
          </w:tcPr>
          <w:p>
            <w:r>
              <w:rPr>
                <w:b/>
              </w:rPr>
              <w:t>Część II — prawo polskie</w:t>
            </w:r>
          </w:p>
        </w:tc>
      </w:tr>
      <w:tr>
        <w:tc>
          <w:tcPr>
            <w:tcW w:type="dxa" w:w="850"/>
            <w:vAlign w:val="center"/>
            <w:tcMar>
              <w:top w:w="80" w:type="dxa"/>
              <w:start w:w="120" w:type="dxa"/>
              <w:bottom w:w="80" w:type="dxa"/>
              <w:end w:w="120" w:type="dxa"/>
            </w:tcMar>
          </w:tcPr>
          <w:p>
            <w:r>
              <w:t>PL-01</w:t>
            </w:r>
          </w:p>
        </w:tc>
        <w:tc>
          <w:tcPr>
            <w:tcW w:type="dxa" w:w="2530"/>
            <w:vAlign w:val="center"/>
            <w:tcMar>
              <w:top w:w="80" w:type="dxa"/>
              <w:start w:w="120" w:type="dxa"/>
              <w:bottom w:w="80" w:type="dxa"/>
              <w:end w:w="120" w:type="dxa"/>
            </w:tcMar>
          </w:tcPr>
          <w:p>
            <w:r>
              <w:t>Algorytm zwalnia sygnalistkę</w:t>
            </w:r>
          </w:p>
        </w:tc>
        <w:tc>
          <w:tcPr>
            <w:tcW w:type="dxa" w:w="3880"/>
            <w:vAlign w:val="center"/>
            <w:tcMar>
              <w:top w:w="80" w:type="dxa"/>
              <w:start w:w="120" w:type="dxa"/>
              <w:bottom w:w="80" w:type="dxa"/>
              <w:end w:w="120" w:type="dxa"/>
            </w:tcMar>
          </w:tcPr>
          <w:p>
            <w:r>
              <w:t>Prawo pracy, ochrona sygnalistów, RODO, AI Act i tajemnica przedsiębiorstwa</w:t>
            </w:r>
          </w:p>
        </w:tc>
        <w:tc>
          <w:tcPr>
            <w:tcW w:type="dxa" w:w="2100"/>
            <w:vAlign w:val="center"/>
            <w:tcMar>
              <w:top w:w="80" w:type="dxa"/>
              <w:start w:w="120" w:type="dxa"/>
              <w:bottom w:w="80" w:type="dxa"/>
              <w:end w:w="120" w:type="dxa"/>
            </w:tcMar>
          </w:tcPr>
          <w:p>
            <w:r>
              <w:t>5–7 godzin</w:t>
            </w:r>
          </w:p>
        </w:tc>
      </w:tr>
      <w:tr>
        <w:tc>
          <w:tcPr>
            <w:tcW w:type="dxa" w:w="850"/>
            <w:vAlign w:val="center"/>
            <w:tcMar>
              <w:top w:w="80" w:type="dxa"/>
              <w:start w:w="120" w:type="dxa"/>
              <w:bottom w:w="80" w:type="dxa"/>
              <w:end w:w="120" w:type="dxa"/>
            </w:tcMar>
          </w:tcPr>
          <w:p>
            <w:r>
              <w:t>PL-02</w:t>
            </w:r>
          </w:p>
        </w:tc>
        <w:tc>
          <w:tcPr>
            <w:tcW w:type="dxa" w:w="2530"/>
            <w:vAlign w:val="center"/>
            <w:tcMar>
              <w:top w:w="80" w:type="dxa"/>
              <w:start w:w="120" w:type="dxa"/>
              <w:bottom w:w="80" w:type="dxa"/>
              <w:end w:w="120" w:type="dxa"/>
            </w:tcMar>
          </w:tcPr>
          <w:p>
            <w:r>
              <w:t>Osiedle na zalewowej łące</w:t>
            </w:r>
          </w:p>
        </w:tc>
        <w:tc>
          <w:tcPr>
            <w:tcW w:type="dxa" w:w="3880"/>
            <w:vAlign w:val="center"/>
            <w:tcMar>
              <w:top w:w="80" w:type="dxa"/>
              <w:start w:w="120" w:type="dxa"/>
              <w:bottom w:w="80" w:type="dxa"/>
              <w:end w:w="120" w:type="dxa"/>
            </w:tcMar>
          </w:tcPr>
          <w:p>
            <w:r>
              <w:t>Planowanie przestrzenne, budownictwo, środowisko, wody i kontrola administracyjna</w:t>
            </w:r>
          </w:p>
        </w:tc>
        <w:tc>
          <w:tcPr>
            <w:tcW w:type="dxa" w:w="2100"/>
            <w:vAlign w:val="center"/>
            <w:tcMar>
              <w:top w:w="80" w:type="dxa"/>
              <w:start w:w="120" w:type="dxa"/>
              <w:bottom w:w="80" w:type="dxa"/>
              <w:end w:w="120" w:type="dxa"/>
            </w:tcMar>
          </w:tcPr>
          <w:p>
            <w:r>
              <w:t>6–8 godzin</w:t>
            </w:r>
          </w:p>
        </w:tc>
      </w:tr>
      <w:tr>
        <w:tc>
          <w:tcPr>
            <w:tcW w:type="dxa" w:w="850"/>
            <w:vAlign w:val="center"/>
            <w:tcMar>
              <w:top w:w="80" w:type="dxa"/>
              <w:start w:w="120" w:type="dxa"/>
              <w:bottom w:w="80" w:type="dxa"/>
              <w:end w:w="120" w:type="dxa"/>
            </w:tcMar>
          </w:tcPr>
          <w:p>
            <w:r>
              <w:t>PL-03</w:t>
            </w:r>
          </w:p>
        </w:tc>
        <w:tc>
          <w:tcPr>
            <w:tcW w:type="dxa" w:w="2530"/>
            <w:vAlign w:val="center"/>
            <w:tcMar>
              <w:top w:w="80" w:type="dxa"/>
              <w:start w:w="120" w:type="dxa"/>
              <w:bottom w:w="80" w:type="dxa"/>
              <w:end w:w="120" w:type="dxa"/>
            </w:tcMar>
          </w:tcPr>
          <w:p>
            <w:r>
              <w:t>Fundacja po śmierci fundatora</w:t>
            </w:r>
          </w:p>
        </w:tc>
        <w:tc>
          <w:tcPr>
            <w:tcW w:type="dxa" w:w="3880"/>
            <w:vAlign w:val="center"/>
            <w:tcMar>
              <w:top w:w="80" w:type="dxa"/>
              <w:start w:w="120" w:type="dxa"/>
              <w:bottom w:w="80" w:type="dxa"/>
              <w:end w:w="120" w:type="dxa"/>
            </w:tcMar>
          </w:tcPr>
          <w:p>
            <w:r>
              <w:t>Sukcesja, zachowek, majątek małżeński, governance, upadłość i podatki</w:t>
            </w:r>
          </w:p>
        </w:tc>
        <w:tc>
          <w:tcPr>
            <w:tcW w:type="dxa" w:w="2100"/>
            <w:vAlign w:val="center"/>
            <w:tcMar>
              <w:top w:w="80" w:type="dxa"/>
              <w:start w:w="120" w:type="dxa"/>
              <w:bottom w:w="80" w:type="dxa"/>
              <w:end w:w="120" w:type="dxa"/>
            </w:tcMar>
          </w:tcPr>
          <w:p>
            <w:r>
              <w:t>6–8 godzin</w:t>
            </w:r>
          </w:p>
        </w:tc>
      </w:tr>
      <w:tr>
        <w:tc>
          <w:tcPr>
            <w:tcW w:type="dxa" w:w="850"/>
            <w:vAlign w:val="center"/>
            <w:tcMar>
              <w:top w:w="80" w:type="dxa"/>
              <w:start w:w="120" w:type="dxa"/>
              <w:bottom w:w="80" w:type="dxa"/>
              <w:end w:w="120" w:type="dxa"/>
            </w:tcMar>
          </w:tcPr>
          <w:p>
            <w:r>
              <w:t>PL-04</w:t>
            </w:r>
          </w:p>
        </w:tc>
        <w:tc>
          <w:tcPr>
            <w:tcW w:type="dxa" w:w="2530"/>
            <w:vAlign w:val="center"/>
            <w:tcMar>
              <w:top w:w="80" w:type="dxa"/>
              <w:start w:w="120" w:type="dxa"/>
              <w:bottom w:w="80" w:type="dxa"/>
              <w:end w:w="120" w:type="dxa"/>
            </w:tcMar>
          </w:tcPr>
          <w:p>
            <w:r>
              <w:t>Szpital podpowiada diagnozę</w:t>
            </w:r>
          </w:p>
        </w:tc>
        <w:tc>
          <w:tcPr>
            <w:tcW w:type="dxa" w:w="3880"/>
            <w:vAlign w:val="center"/>
            <w:tcMar>
              <w:top w:w="80" w:type="dxa"/>
              <w:start w:w="120" w:type="dxa"/>
              <w:bottom w:w="80" w:type="dxa"/>
              <w:end w:w="120" w:type="dxa"/>
            </w:tcMar>
          </w:tcPr>
          <w:p>
            <w:r>
              <w:t>Prawa pacjenta, błąd medyczny, wyrób medyczny, AI i odpowiedzialność wielopodmiotowa</w:t>
            </w:r>
          </w:p>
        </w:tc>
        <w:tc>
          <w:tcPr>
            <w:tcW w:type="dxa" w:w="2100"/>
            <w:vAlign w:val="center"/>
            <w:tcMar>
              <w:top w:w="80" w:type="dxa"/>
              <w:start w:w="120" w:type="dxa"/>
              <w:bottom w:w="80" w:type="dxa"/>
              <w:end w:w="120" w:type="dxa"/>
            </w:tcMar>
          </w:tcPr>
          <w:p>
            <w:r>
              <w:t>5–7 godzin</w:t>
            </w:r>
          </w:p>
        </w:tc>
      </w:tr>
      <w:tr>
        <w:tc>
          <w:tcPr>
            <w:tcW w:type="dxa" w:w="850"/>
            <w:vAlign w:val="center"/>
            <w:tcMar>
              <w:top w:w="80" w:type="dxa"/>
              <w:start w:w="120" w:type="dxa"/>
              <w:bottom w:w="80" w:type="dxa"/>
              <w:end w:w="120" w:type="dxa"/>
            </w:tcMar>
          </w:tcPr>
          <w:p>
            <w:r>
              <w:t>PL-05</w:t>
            </w:r>
          </w:p>
        </w:tc>
        <w:tc>
          <w:tcPr>
            <w:tcW w:type="dxa" w:w="2530"/>
            <w:vAlign w:val="center"/>
            <w:tcMar>
              <w:top w:w="80" w:type="dxa"/>
              <w:start w:w="120" w:type="dxa"/>
              <w:bottom w:w="80" w:type="dxa"/>
              <w:end w:w="120" w:type="dxa"/>
            </w:tcMar>
          </w:tcPr>
          <w:p>
            <w:r>
              <w:t>Chmura dla metropolii</w:t>
            </w:r>
          </w:p>
        </w:tc>
        <w:tc>
          <w:tcPr>
            <w:tcW w:type="dxa" w:w="3880"/>
            <w:vAlign w:val="center"/>
            <w:tcMar>
              <w:top w:w="80" w:type="dxa"/>
              <w:start w:w="120" w:type="dxa"/>
              <w:bottom w:w="80" w:type="dxa"/>
              <w:end w:w="120" w:type="dxa"/>
            </w:tcMar>
          </w:tcPr>
          <w:p>
            <w:r>
              <w:t>Zamówienia publiczne, cyberbezpieczeństwo, RODO, tajemnice i ciągłość usług</w:t>
            </w:r>
          </w:p>
        </w:tc>
        <w:tc>
          <w:tcPr>
            <w:tcW w:type="dxa" w:w="2100"/>
            <w:vAlign w:val="center"/>
            <w:tcMar>
              <w:top w:w="80" w:type="dxa"/>
              <w:start w:w="120" w:type="dxa"/>
              <w:bottom w:w="80" w:type="dxa"/>
              <w:end w:w="120" w:type="dxa"/>
            </w:tcMar>
          </w:tcPr>
          <w:p>
            <w:r>
              <w:t>5–7 godzin</w:t>
            </w:r>
          </w:p>
        </w:tc>
      </w:tr>
      <w:tr>
        <w:tc>
          <w:tcPr>
            <w:tcW w:type="dxa" w:w="850"/>
            <w:vAlign w:val="center"/>
            <w:tcMar>
              <w:top w:w="80" w:type="dxa"/>
              <w:start w:w="120" w:type="dxa"/>
              <w:bottom w:w="80" w:type="dxa"/>
              <w:end w:w="120" w:type="dxa"/>
            </w:tcMar>
          </w:tcPr>
          <w:p>
            <w:r>
              <w:t>PL-06</w:t>
            </w:r>
          </w:p>
        </w:tc>
        <w:tc>
          <w:tcPr>
            <w:tcW w:type="dxa" w:w="2530"/>
            <w:vAlign w:val="center"/>
            <w:tcMar>
              <w:top w:w="80" w:type="dxa"/>
              <w:start w:w="120" w:type="dxa"/>
              <w:bottom w:w="80" w:type="dxa"/>
              <w:end w:w="120" w:type="dxa"/>
            </w:tcMar>
          </w:tcPr>
          <w:p>
            <w:r>
              <w:t>Karuzela, faktoring i milczący zarząd</w:t>
            </w:r>
          </w:p>
        </w:tc>
        <w:tc>
          <w:tcPr>
            <w:tcW w:type="dxa" w:w="3880"/>
            <w:vAlign w:val="center"/>
            <w:tcMar>
              <w:top w:w="80" w:type="dxa"/>
              <w:start w:w="120" w:type="dxa"/>
              <w:bottom w:w="80" w:type="dxa"/>
              <w:end w:w="120" w:type="dxa"/>
            </w:tcMar>
          </w:tcPr>
          <w:p>
            <w:r>
              <w:t>VAT, KKS, AML, odpowiedzialność organów spółki i dowody cyfrowe</w:t>
            </w:r>
          </w:p>
        </w:tc>
        <w:tc>
          <w:tcPr>
            <w:tcW w:type="dxa" w:w="2100"/>
            <w:vAlign w:val="center"/>
            <w:tcMar>
              <w:top w:w="80" w:type="dxa"/>
              <w:start w:w="120" w:type="dxa"/>
              <w:bottom w:w="80" w:type="dxa"/>
              <w:end w:w="120" w:type="dxa"/>
            </w:tcMar>
          </w:tcPr>
          <w:p>
            <w:r>
              <w:t>6–8 godzin</w:t>
            </w:r>
          </w:p>
        </w:tc>
      </w:tr>
      <w:tr>
        <w:tc>
          <w:tcPr>
            <w:tcW w:type="dxa" w:w="850"/>
            <w:vAlign w:val="center"/>
            <w:tcMar>
              <w:top w:w="80" w:type="dxa"/>
              <w:start w:w="120" w:type="dxa"/>
              <w:bottom w:w="80" w:type="dxa"/>
              <w:end w:w="120" w:type="dxa"/>
            </w:tcMar>
          </w:tcPr>
          <w:p>
            <w:r>
              <w:t>PL-07</w:t>
            </w:r>
          </w:p>
        </w:tc>
        <w:tc>
          <w:tcPr>
            <w:tcW w:type="dxa" w:w="2530"/>
            <w:vAlign w:val="center"/>
            <w:tcMar>
              <w:top w:w="80" w:type="dxa"/>
              <w:start w:w="120" w:type="dxa"/>
              <w:bottom w:w="80" w:type="dxa"/>
              <w:end w:w="120" w:type="dxa"/>
            </w:tcMar>
          </w:tcPr>
          <w:p>
            <w:r>
              <w:t>Deepfake w wyborach samorządowych</w:t>
            </w:r>
          </w:p>
        </w:tc>
        <w:tc>
          <w:tcPr>
            <w:tcW w:type="dxa" w:w="3880"/>
            <w:vAlign w:val="center"/>
            <w:tcMar>
              <w:top w:w="80" w:type="dxa"/>
              <w:start w:w="120" w:type="dxa"/>
              <w:bottom w:w="80" w:type="dxa"/>
              <w:end w:w="120" w:type="dxa"/>
            </w:tcMar>
          </w:tcPr>
          <w:p>
            <w:r>
              <w:t>Tryb wyborczy, dobra osobiste, prawo autorskie, dane, DSA i dowody cyfrowe</w:t>
            </w:r>
          </w:p>
        </w:tc>
        <w:tc>
          <w:tcPr>
            <w:tcW w:type="dxa" w:w="2100"/>
            <w:vAlign w:val="center"/>
            <w:tcMar>
              <w:top w:w="80" w:type="dxa"/>
              <w:start w:w="120" w:type="dxa"/>
              <w:bottom w:w="80" w:type="dxa"/>
              <w:end w:w="120" w:type="dxa"/>
            </w:tcMar>
          </w:tcPr>
          <w:p>
            <w:r>
              <w:t>5–7 godzin</w:t>
            </w:r>
          </w:p>
        </w:tc>
      </w:tr>
    </w:tbl>
    <w:p>
      <w:pPr>
        <w:pStyle w:val="Heading2"/>
      </w:pPr>
      <w:r>
        <w:t>Standard odpowiedzi</w:t>
      </w:r>
    </w:p>
    <w:p>
      <w:pPr>
        <w:spacing w:after="80" w:line="300" w:lineRule="auto"/>
        <w:numPr>
          <w:ilvl w:val="0"/>
          <w:numId w:val="10"/>
        </w:numPr>
      </w:pPr>
      <w:r>
        <w:t>Mapa jurysdykcji, źródeł prawa i kompetencji organów.</w:t>
      </w:r>
    </w:p>
    <w:p>
      <w:pPr>
        <w:spacing w:after="80" w:line="300" w:lineRule="auto"/>
        <w:numPr>
          <w:ilvl w:val="0"/>
          <w:numId w:val="10"/>
        </w:numPr>
      </w:pPr>
      <w:r>
        <w:t>Oddzielne przesłanki dla każdego roszczenia, zarzutu i środka ochrony.</w:t>
      </w:r>
    </w:p>
    <w:p>
      <w:pPr>
        <w:spacing w:after="80" w:line="300" w:lineRule="auto"/>
        <w:numPr>
          <w:ilvl w:val="0"/>
          <w:numId w:val="10"/>
        </w:numPr>
      </w:pPr>
      <w:r>
        <w:t>Najsilniejszy argument każdej strony oraz odpowiedź na niego.</w:t>
      </w:r>
    </w:p>
    <w:p>
      <w:pPr>
        <w:spacing w:after="80" w:line="300" w:lineRule="auto"/>
        <w:numPr>
          <w:ilvl w:val="0"/>
          <w:numId w:val="10"/>
        </w:numPr>
      </w:pPr>
      <w:r>
        <w:t>Analiza dowodów i braków faktycznych; zakaz dopowiadania faktów.</w:t>
      </w:r>
    </w:p>
    <w:p>
      <w:pPr>
        <w:spacing w:after="80" w:line="300" w:lineRule="auto"/>
        <w:numPr>
          <w:ilvl w:val="0"/>
          <w:numId w:val="10"/>
        </w:numPr>
      </w:pPr>
      <w:r>
        <w:t>Rozstrzygnięcie wraz ze skutkiem proceduralnym i środkiem naprawczym.</w:t>
      </w:r>
    </w:p>
    <w:p>
      <w:pPr>
        <w:pStyle w:val="Heading1"/>
        <w:pageBreakBefore/>
      </w:pPr>
      <w:r>
        <w:t>K-01  Heliox przeciwko Królestwu Solarii</w:t>
      </w:r>
    </w:p>
    <w:p>
      <w:r>
        <w:rPr>
          <w:b/>
          <w:color w:val="1F4D78"/>
        </w:rPr>
        <w:t>Transformacja energetyczna, pomoc państwa i arbitraż inwestycyjny</w:t>
      </w:r>
    </w:p>
    <w:p>
      <w:r>
        <w:rPr>
          <w:i/>
          <w:color w:val="5D656F"/>
        </w:rPr>
        <w:t>Adaptacja dydaktyczna problemu ELMC 2026–2027</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K-01</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ekstremalna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5–7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inwestor; państwo; Komisja Europejska; sąd krajowy</w:t>
            </w:r>
          </w:p>
        </w:tc>
      </w:tr>
    </w:tbl>
    <w:p/>
    <w:p>
      <w:pPr>
        <w:pStyle w:val="Heading2"/>
      </w:pPr>
      <w:r>
        <w:t>Stan faktyczny</w:t>
      </w:r>
    </w:p>
    <w:p>
      <w:r>
        <w:t>Solaria, państwo członkowskie Unii Europejskiej, przyjęła program wspierania odnawialnych źródeł energii. Program gwarantował inwestorom wieloletnią taryfę, preferencje podatkowe i stabilność warunków ekonomicznych. Ustawa została uchwalona po ograniczonych konsultacjach: dokumenty opublikowano tylko w języku krajowym, dostęp do portalu wymagał wykazania szczególnego interesu, a raportu z konsultacji nie sporządzono.</w:t>
      </w:r>
    </w:p>
    <w:p>
      <w:r>
        <w:t>Heliox, inwestor z państwa trzeciego, utworzył w Solarii spółkę projektową i sfinansował portfel elektrowni słonecznych oraz morskich farm wiatrowych. Organ administracyjny wydał imienne certyfikaty potwierdzające korzystanie z programu przez cały okres wsparcia. Przed inwestycją doradcy Heliox znali zarzuty organizacji ekologicznych oraz publiczną opinię ministerstwa, według której program nie stanowił pomocy państwa.</w:t>
      </w:r>
    </w:p>
    <w:p>
      <w:r>
        <w:t>Po kilku latach Komisja Europejska wszczęła formalne postępowanie dotyczące programu, ale nie wydała jeszcze decyzji końcowej. Równolegle komitet konwencji z Aarhus uznał proces konsultacyjny poprzedzający ustawę za nietransparentny i niewystarczający. Nowy rząd Solarii uchwalił w trybie pilnym ustawę obniżającą przyszłe wsparcie i nakazującą odzyskanie części już wypłaconych świadczeń. Kwoty obliczono ryczałtowo według mocy instalacji, bez zbadania rzeczywistej korzyści każdego projektu.</w:t>
      </w:r>
    </w:p>
    <w:p>
      <w:r>
        <w:t>Heliox zakwestionował decyzje odzyskowe przed sądami krajowymi, powołując się na pewność prawa, proporcjonalność, równe traktowanie i ochronę uzasadnionych oczekiwań. Jednocześnie wszczął arbitraż inwestycyjny na podstawie umowy zawartej przez Unię i jej państwa członkowskie z państwem pochodzenia inwestora. Trybunał arbitrażowy przyznał Heliox odszkodowanie za naruszenie stabilnych warunków inwestycji.</w:t>
      </w:r>
    </w:p>
    <w:p>
      <w:r>
        <w:t>Komisja utrzymuje, że wykonanie wyroku arbitrażowego mogłoby odtworzyć zakwestionowaną korzyść i samo stanowić pomoc państwa. Heliox próbuje egzekwować wyrok z majątku Solarii w kilku jurysdykcjach. Sąd najwyższy Solarii kieruje pytania do Trybunału Sprawiedliwości, a postępowanie o unieważnienie decyzji Komisji pozostaje w toku.</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11"/>
        </w:numPr>
      </w:pPr>
      <w:r>
        <w:t>Czy wadliwa partycypacja społeczna może wpływać na stosowanie programu wsparcia wobec inwestorów, którzy już otrzymali certyfikaty?</w:t>
      </w:r>
    </w:p>
    <w:p>
      <w:pPr>
        <w:spacing w:after="80" w:line="300" w:lineRule="auto"/>
        <w:numPr>
          <w:ilvl w:val="0"/>
          <w:numId w:val="11"/>
        </w:numPr>
      </w:pPr>
      <w:r>
        <w:t>Kto i na jakim etapie może stwierdzić istnienie pomocy państwa oraz nakazać jej odzyskanie?</w:t>
      </w:r>
    </w:p>
    <w:p>
      <w:pPr>
        <w:spacing w:after="80" w:line="300" w:lineRule="auto"/>
        <w:numPr>
          <w:ilvl w:val="0"/>
          <w:numId w:val="11"/>
        </w:numPr>
      </w:pPr>
      <w:r>
        <w:t>Jak rozdzielić ochronę uzasadnionych oczekiwań od zakazu utrwalania bezprawnej korzyści?</w:t>
      </w:r>
    </w:p>
    <w:p>
      <w:pPr>
        <w:spacing w:after="80" w:line="300" w:lineRule="auto"/>
        <w:numPr>
          <w:ilvl w:val="0"/>
          <w:numId w:val="11"/>
        </w:numPr>
      </w:pPr>
      <w:r>
        <w:t>Czy sąd krajowy może odmówić uznania lub wykonania wyroku ICSID ze względu na obowiązki wynikające z prawa UE?</w:t>
      </w:r>
    </w:p>
    <w:p>
      <w:pPr>
        <w:spacing w:after="80" w:line="300" w:lineRule="auto"/>
        <w:numPr>
          <w:ilvl w:val="0"/>
          <w:numId w:val="11"/>
        </w:numPr>
      </w:pPr>
      <w:r>
        <w:t>Jakie znaczenie mają proporcjonalność, indywidualizacja korzyści i skuteczna ochrona sądowa przy ryczałtowym odzyskaniu świadczeń?</w:t>
      </w:r>
    </w:p>
    <w:p>
      <w:pPr>
        <w:spacing w:after="80" w:line="300" w:lineRule="auto"/>
        <w:numPr>
          <w:ilvl w:val="0"/>
          <w:numId w:val="11"/>
        </w:numPr>
      </w:pPr>
      <w:r>
        <w:t>Jak ułożyć środki tymczasowe i kolejność postępowań, aby uniknąć sprzecznych rozstrzygnięć?</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11">
        <w:r>
          <w:rPr>
            <w:color w:val="2E74B5"/>
            <w:u w:val="single"/>
          </w:rPr>
          <w:t>Oficjalna strona ELMC</w:t>
        </w:r>
      </w:hyperlink>
    </w:p>
    <w:p>
      <w:pPr>
        <w:pStyle w:val="ListBullet"/>
      </w:pPr>
      <w:hyperlink r:id="rId12">
        <w:r>
          <w:rPr>
            <w:color w:val="2E74B5"/>
            <w:u w:val="single"/>
          </w:rPr>
          <w:t>Pełny problem ELMC 2026–2027</w:t>
        </w:r>
      </w:hyperlink>
    </w:p>
    <w:p>
      <w:pPr>
        <w:pStyle w:val="Heading1"/>
        <w:pageBreakBefore/>
      </w:pPr>
      <w:r>
        <w:t>K-02  Spór o Wąwóz Gordyjski</w:t>
      </w:r>
    </w:p>
    <w:p>
      <w:r>
        <w:rPr>
          <w:b/>
          <w:color w:val="1F4D78"/>
        </w:rPr>
        <w:t>Ludność rdzenna, minerały krytyczne i odpowiedzialność państwa</w:t>
      </w:r>
    </w:p>
    <w:p>
      <w:r>
        <w:rPr>
          <w:i/>
          <w:color w:val="5D656F"/>
        </w:rPr>
        <w:t>Adaptacja dydaktyczna problemu Jessup 2026</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K-02</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ekstremalna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5–7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Alekostria; Restovia; społeczności Pilemon; spółka państwowa</w:t>
            </w:r>
          </w:p>
        </w:tc>
      </w:tr>
    </w:tbl>
    <w:p/>
    <w:p>
      <w:pPr>
        <w:pStyle w:val="Heading2"/>
      </w:pPr>
      <w:r>
        <w:t>Stan faktyczny</w:t>
      </w:r>
    </w:p>
    <w:p>
      <w:r>
        <w:t>Wąwóz Gordyjski leży na płaskowyżu należącym terytorialnie do Restovii, ale od wieków pozostaje miejscem sakralnym dla ludności Pilemon zamieszkującej Restovię, Alekostrię i Sollanię. Dwustronna umowa Alekostrii i Restovii gwarantuje dostęp do płaskowyżu oraz udział upoważnionych przedstawicieli społeczności w podejmowaniu decyzji przed istotną zmianą jego stanu.</w:t>
      </w:r>
    </w:p>
    <w:p>
      <w:r>
        <w:t>Restovia odkryła w wąwozie złoże minerałów ziem rzadkich i uruchomiła przetarg. Utworzyła mechanizm konsultacji, udostępniła obszerne materiały techniczne i zorganizowała spotkania z elderami. Część elderów poparła najmniej inwazyjny projekt, część sprzeciwiła się każdemu wydobyciu, a przedstawiciele Sollanii zbojkotowali konsultacje jako profanację.</w:t>
      </w:r>
    </w:p>
    <w:p>
      <w:r>
        <w:t>Przetarg wygrała NEXCA, spółka w całości należąca do Alekostrii. Jej zarząd jest obsadzany przez organy państwowe, a projekty zagraniczne wymagają zgody politycznej. W toku przygotowań półautonomiczny pojazd NEXCA, prawdopodobnie zakłócony złośliwym oprogramowaniem, zjechał z wyznaczonej trasy. Zginął funkcjonariusz Restovii, uszkodzono infrastrukturę i naruszono strefę sakralną. Nie ustalono, kto umieścił kod ani czy system został właściwie zabezpieczony.</w:t>
      </w:r>
    </w:p>
    <w:p>
      <w:r>
        <w:t>Restovia wszczęła postępowanie karne wobec kierowniczki projektu. Alekostria odmówiła ekstradycji, wskazując na brak zgodności procedury z ogólnymi zasadami prawa. Restovia twierdzi dodatkowo, że działania NEXCA należy przypisać Alekostrii, a konsultacje spełniały wymogi traktatowe. Alekostria żąda wstrzymania projektu, uznania naruszenia praw Pilemon i zwrotu zatrzymanej kierowniczki.</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12"/>
        </w:numPr>
      </w:pPr>
      <w:r>
        <w:t>Czy traktatowy obowiązek włączenia przedstawicieli oznacza konsultację, współdecydowanie czy wymóg zgody?</w:t>
      </w:r>
    </w:p>
    <w:p>
      <w:pPr>
        <w:spacing w:after="80" w:line="300" w:lineRule="auto"/>
        <w:numPr>
          <w:ilvl w:val="0"/>
          <w:numId w:val="12"/>
        </w:numPr>
      </w:pPr>
      <w:r>
        <w:t>Jak ocenić reprezentatywność elderów, bojkot części społeczności i podział stanowisk wewnątrz ludności rdzennej?</w:t>
      </w:r>
    </w:p>
    <w:p>
      <w:pPr>
        <w:spacing w:after="80" w:line="300" w:lineRule="auto"/>
        <w:numPr>
          <w:ilvl w:val="0"/>
          <w:numId w:val="12"/>
        </w:numPr>
      </w:pPr>
      <w:r>
        <w:t>Czy zachowanie NEXCA można przypisać Alekostrii jako zachowanie państwa?</w:t>
      </w:r>
    </w:p>
    <w:p>
      <w:pPr>
        <w:spacing w:after="80" w:line="300" w:lineRule="auto"/>
        <w:numPr>
          <w:ilvl w:val="0"/>
          <w:numId w:val="12"/>
        </w:numPr>
      </w:pPr>
      <w:r>
        <w:t>Jak ustalić standard należytej staranności przy wykorzystaniu półautonomicznego systemu podatnego na cyberatak?</w:t>
      </w:r>
    </w:p>
    <w:p>
      <w:pPr>
        <w:spacing w:after="80" w:line="300" w:lineRule="auto"/>
        <w:numPr>
          <w:ilvl w:val="0"/>
          <w:numId w:val="12"/>
        </w:numPr>
      </w:pPr>
      <w:r>
        <w:t>Czy szkody pojazdu i decyzje o eksploatacji tworzą jeden, czy odrębne czyny międzynarodowo bezprawne?</w:t>
      </w:r>
    </w:p>
    <w:p>
      <w:pPr>
        <w:spacing w:after="80" w:line="300" w:lineRule="auto"/>
        <w:numPr>
          <w:ilvl w:val="0"/>
          <w:numId w:val="12"/>
        </w:numPr>
      </w:pPr>
      <w:r>
        <w:t>Czy odmowa ekstradycji jest zgodna z traktatem i jakie znaczenie mają gwarancje proceduralne Restovii?</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13">
        <w:r>
          <w:rPr>
            <w:color w:val="2E74B5"/>
            <w:u w:val="single"/>
          </w:rPr>
          <w:t>Problem Jessup 2026</w:t>
        </w:r>
      </w:hyperlink>
    </w:p>
    <w:p>
      <w:pPr>
        <w:pStyle w:val="ListBullet"/>
      </w:pPr>
      <w:hyperlink r:id="rId14">
        <w:r>
          <w:rPr>
            <w:color w:val="2E74B5"/>
            <w:u w:val="single"/>
          </w:rPr>
          <w:t>Confidential Bench Memorandum Jessup 2026</w:t>
        </w:r>
      </w:hyperlink>
    </w:p>
    <w:p>
      <w:pPr>
        <w:pStyle w:val="Heading1"/>
        <w:pageBreakBefore/>
      </w:pPr>
      <w:r>
        <w:t>K-03  Vitoria i Graviola przeciwko Uxi</w:t>
      </w:r>
    </w:p>
    <w:p>
      <w:r>
        <w:rPr>
          <w:b/>
          <w:color w:val="1F4D78"/>
        </w:rPr>
        <w:t>Inwigilacja cyfrowa, wolność prasy i bezpieczeństwo narodowe</w:t>
      </w:r>
    </w:p>
    <w:p>
      <w:r>
        <w:rPr>
          <w:i/>
          <w:color w:val="5D656F"/>
        </w:rPr>
        <w:t>Adaptacja dydaktyczna problemu Price Media Law Moot 2025–2026</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K-03</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bardzo wysoka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4–6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naukowczyni; dziennikarka; służby; uczelnia publiczna; państwo</w:t>
            </w:r>
          </w:p>
        </w:tc>
      </w:tr>
    </w:tbl>
    <w:p/>
    <w:p>
      <w:pPr>
        <w:pStyle w:val="Heading2"/>
      </w:pPr>
      <w:r>
        <w:t>Stan faktyczny</w:t>
      </w:r>
    </w:p>
    <w:p>
      <w:r>
        <w:t>Uxi przyjęło ustawę bezpieczeństwa narodowego rozszerzającą możliwość przechwytywania komunikacji, ingerencji w urządzenia i kontroli granicznej wobec osób uznanych za potencjalne zagrożenie. Ustawa powstała w odpowiedzi na przestępczość transgraniczną i nieuregulowaną migrację. Jednocześnie Uxi zaczęło testować rozpoznawanie twarzy na granicach.</w:t>
      </w:r>
    </w:p>
    <w:p>
      <w:r>
        <w:t>Dr Regias Vitoria, badaczka informatyki i była doradczyni ministerstwa, rozpoczęła kampanię przeciwko rozpoznawaniu twarzy. Przyjaźniła się z Graviolą, dziennikarką śledczą prowadzącą portal Broken Code. Dziennikarka przygotowywała materiał oparty na informacjach od anonimowego źródła dotyczących niejawnego systemu identyfikacji migrantów.</w:t>
      </w:r>
    </w:p>
    <w:p>
      <w:r>
        <w:t>Po powrocie do Uxi Vitoria polubiła komentarz wzywający do mobilizacji przeciwko systemowi. Na lotnisku zatrzymano ją, przeszukano urządzenia i skopiowano dane. Wkrótce uczelnia publiczna rozwiązała z nią stosunek pracy, a organ migracyjny wszczął procedurę cofnięcia pobytu. Państwo twierdzi, że miało informacje o kontakcie Vitorii z osobami związanymi z przestępczością zorganizowaną.</w:t>
      </w:r>
    </w:p>
    <w:p>
      <w:r>
        <w:t>Urządzenie Gravioli zostało zdalnie zainfekowane narzędziem nadzoru. Sąd nakazał zablokowanie planowanej publikacji jako zawierającej tajne informacje. Część materiału dowodowego pozostaje niejawna, nie ustalono też, czy wszystkie dane uzyskano legalnie. Obie kobiety zarzucają naruszenie prywatności i wolności wypowiedzi.</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13"/>
        </w:numPr>
      </w:pPr>
      <w:r>
        <w:t>Czy kryterium „potencjalnego zagrożenia” jest wystarczająco przewidywalne i zabezpieczone przed arbitralnością?</w:t>
      </w:r>
    </w:p>
    <w:p>
      <w:pPr>
        <w:spacing w:after="80" w:line="300" w:lineRule="auto"/>
        <w:numPr>
          <w:ilvl w:val="0"/>
          <w:numId w:val="13"/>
        </w:numPr>
      </w:pPr>
      <w:r>
        <w:t>Jak ocenić legalność przeszukania urządzeń na granicy i zdalnej ingerencji w urządzenie dziennikarki?</w:t>
      </w:r>
    </w:p>
    <w:p>
      <w:pPr>
        <w:spacing w:after="80" w:line="300" w:lineRule="auto"/>
        <w:numPr>
          <w:ilvl w:val="0"/>
          <w:numId w:val="13"/>
        </w:numPr>
      </w:pPr>
      <w:r>
        <w:t>Jakie gwarancje powinny chronić źródła dziennikarskie i materiał nieopublikowany?</w:t>
      </w:r>
    </w:p>
    <w:p>
      <w:pPr>
        <w:spacing w:after="80" w:line="300" w:lineRule="auto"/>
        <w:numPr>
          <w:ilvl w:val="0"/>
          <w:numId w:val="13"/>
        </w:numPr>
      </w:pPr>
      <w:r>
        <w:t>Czy polubienie komentarza można przypisać jako poparcie mobilizacji lub podżeganie?</w:t>
      </w:r>
    </w:p>
    <w:p>
      <w:pPr>
        <w:spacing w:after="80" w:line="300" w:lineRule="auto"/>
        <w:numPr>
          <w:ilvl w:val="0"/>
          <w:numId w:val="13"/>
        </w:numPr>
      </w:pPr>
      <w:r>
        <w:t>Czy blokada całej publikacji była środkiem koniecznym i proporcjonalnym?</w:t>
      </w:r>
    </w:p>
    <w:p>
      <w:pPr>
        <w:spacing w:after="80" w:line="300" w:lineRule="auto"/>
        <w:numPr>
          <w:ilvl w:val="0"/>
          <w:numId w:val="13"/>
        </w:numPr>
      </w:pPr>
      <w:r>
        <w:t>Jak ocenić kumulację sankcji: utratę pracy, postępowanie migracyjne, nadzór i zakaz publikacji?</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15">
        <w:r>
          <w:rPr>
            <w:color w:val="2E74B5"/>
            <w:u w:val="single"/>
          </w:rPr>
          <w:t>Problem Price Media Law Moot 2025–2026</w:t>
        </w:r>
      </w:hyperlink>
    </w:p>
    <w:p>
      <w:pPr>
        <w:pStyle w:val="Heading1"/>
        <w:pageBreakBefore/>
      </w:pPr>
      <w:r>
        <w:t>K-04  Prokurator przeciwko Drogannie Syrax</w:t>
      </w:r>
    </w:p>
    <w:p>
      <w:r>
        <w:rPr>
          <w:b/>
          <w:color w:val="1F4D78"/>
        </w:rPr>
        <w:t>Pomoc medyczna, jurysdykcja MTK i immunitet głowy państwa</w:t>
      </w:r>
    </w:p>
    <w:p>
      <w:r>
        <w:rPr>
          <w:i/>
          <w:color w:val="5D656F"/>
        </w:rPr>
        <w:t>Adaptacja dydaktyczna problemu IBA ICC Moot 2026</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K-04</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bardzo wysoka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4–6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oskarżenie; obrona; zainteresowane państwo; pokrzywdzeni</w:t>
            </w:r>
          </w:p>
        </w:tc>
      </w:tr>
    </w:tbl>
    <w:p/>
    <w:p>
      <w:pPr>
        <w:pStyle w:val="Heading2"/>
      </w:pPr>
      <w:r>
        <w:t>Stan faktyczny</w:t>
      </w:r>
    </w:p>
    <w:p>
      <w:r>
        <w:t>W państwie Essuss trwa konflikt zbrojny. Prezydent Droganna Syrax zatwierdziła system kontroli dostaw do regionu opanowanego przez przeciwnika. Konwoje z lekami i sprzętem ratunkowym były wielokrotnie zatrzymywane. W szpitalach zabrakło środków do leczenia chorób przewlekłych i obrażeń wojennych. Prokurator twierdzi, że ograniczenia miały osłabić ludność wspierającą przeciwnika; obrona wskazuje na przemyt broni i konieczność kontroli bezpieczeństwa.</w:t>
      </w:r>
    </w:p>
    <w:p>
      <w:r>
        <w:t>Essuss nie jest stroną Statutu Rzymskiego, ale wcześniejsze władze złożyły deklarację uznającą jurysdykcję Trybunału w odniesieniu do określonej sytuacji i okresu. Nowy rząd kwestionuje zakres i dalszą skuteczność deklaracji.</w:t>
      </w:r>
    </w:p>
    <w:p>
      <w:r>
        <w:t>Syrax nadal pełni urząd. Została ujęta w państwie trzecim podczas operacji, której legalność jest sporna, a następnie szybko przekazana Trybunałowi bez pełnego krajowego postępowania ekstradycyjnego. Obrona wnosi o zakończenie postępowania z powodu immunitetu, wadliwego doprowadzenia i naruszenia praw procesowych.</w:t>
      </w:r>
    </w:p>
    <w:p>
      <w:r>
        <w:t>Na etapie potwierdzania zarzutów strony spierają się także o formę odpowiedzialności Syrax: osobiste polecenie, świadomy udział w polityce, odpowiedzialność przełożonego lub współsprawstwo. Dokumenty są fragmentaryczne, a część rozkazów przekazywano ustnie.</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14"/>
        </w:numPr>
      </w:pPr>
      <w:r>
        <w:t>Czy utrudnianie dostaw medycznych spełnia znamiona zbrodni pozostającej w jurysdykcji Trybunału?</w:t>
      </w:r>
    </w:p>
    <w:p>
      <w:pPr>
        <w:spacing w:after="80" w:line="300" w:lineRule="auto"/>
        <w:numPr>
          <w:ilvl w:val="0"/>
          <w:numId w:val="14"/>
        </w:numPr>
      </w:pPr>
      <w:r>
        <w:t>Jak ustalić istnienie i zakres związku z konfliktem zbrojnym oraz stronę chronioną?</w:t>
      </w:r>
    </w:p>
    <w:p>
      <w:pPr>
        <w:spacing w:after="80" w:line="300" w:lineRule="auto"/>
        <w:numPr>
          <w:ilvl w:val="0"/>
          <w:numId w:val="14"/>
        </w:numPr>
      </w:pPr>
      <w:r>
        <w:t>Czy deklaracja jurysdykcyjna obejmuje zarzucane czyny i może zostać skutecznie cofnięta?</w:t>
      </w:r>
    </w:p>
    <w:p>
      <w:pPr>
        <w:spacing w:after="80" w:line="300" w:lineRule="auto"/>
        <w:numPr>
          <w:ilvl w:val="0"/>
          <w:numId w:val="14"/>
        </w:numPr>
      </w:pPr>
      <w:r>
        <w:t>Czy urzędująca głowa państwa może powołać immunitet wobec Trybunału w tej konfiguracji?</w:t>
      </w:r>
    </w:p>
    <w:p>
      <w:pPr>
        <w:spacing w:after="80" w:line="300" w:lineRule="auto"/>
        <w:numPr>
          <w:ilvl w:val="0"/>
          <w:numId w:val="14"/>
        </w:numPr>
      </w:pPr>
      <w:r>
        <w:t>Jakie skutki dla postępowania ma nielegalne lub nieregularne ujęcie oskarżonej?</w:t>
      </w:r>
    </w:p>
    <w:p>
      <w:pPr>
        <w:spacing w:after="80" w:line="300" w:lineRule="auto"/>
        <w:numPr>
          <w:ilvl w:val="0"/>
          <w:numId w:val="14"/>
        </w:numPr>
      </w:pPr>
      <w:r>
        <w:t>Która forma indywidualnej odpowiedzialności najlepiej odpowiada dowodom?</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16">
        <w:r>
          <w:rPr>
            <w:color w:val="2E74B5"/>
            <w:u w:val="single"/>
          </w:rPr>
          <w:t>Oficjalne ogłoszenie sprawy IBA ICC Moot 2026</w:t>
        </w:r>
      </w:hyperlink>
    </w:p>
    <w:p>
      <w:pPr>
        <w:pStyle w:val="ListBullet"/>
      </w:pPr>
      <w:hyperlink r:id="rId17">
        <w:r>
          <w:rPr>
            <w:color w:val="2E74B5"/>
            <w:u w:val="single"/>
          </w:rPr>
          <w:t>Informacja IBA o konkursie 2026</w:t>
        </w:r>
      </w:hyperlink>
    </w:p>
    <w:p>
      <w:pPr>
        <w:pStyle w:val="Heading1"/>
        <w:pageBreakBefore/>
      </w:pPr>
      <w:r>
        <w:t>K-05  Orchis Worldwide przeciwko Darwin Natural Food</w:t>
      </w:r>
    </w:p>
    <w:p>
      <w:r>
        <w:rPr>
          <w:b/>
          <w:color w:val="1F4D78"/>
        </w:rPr>
        <w:t>CISG, CITES, finansowanie sporu i zmiana regulacyjna</w:t>
      </w:r>
    </w:p>
    <w:p>
      <w:r>
        <w:rPr>
          <w:i/>
          <w:color w:val="5D656F"/>
        </w:rPr>
        <w:t>Adaptacja dydaktyczna problemu 33rd Vis Moot</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K-05</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bardzo wysoka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4–6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sprzedawca; kupujący; finansujący; trybunał arbitrażowy</w:t>
            </w:r>
          </w:p>
        </w:tc>
      </w:tr>
    </w:tbl>
    <w:p/>
    <w:p>
      <w:pPr>
        <w:pStyle w:val="Heading2"/>
      </w:pPr>
      <w:r>
        <w:t>Stan faktyczny</w:t>
      </w:r>
    </w:p>
    <w:p>
      <w:r>
        <w:t>Orchis Worldwide zawarła z Darwin Natural Food umowę sprzedaży dużej partii produktu pochodzenia roślinnego. Towar miał zostać dostarczony w kilku transzach i wykorzystany w linii żywności funkcjonalnej. Umowa odsyłała do regulaminu arbitrażowego SIAC, ale negocjacje i podpisanie przypadły na okres zmiany regulaminu. Klauzula nie wskazywała jednoznacznie wersji.</w:t>
      </w:r>
    </w:p>
    <w:p>
      <w:r>
        <w:t>Po zawarciu umowy właściwy gatunek został objęty surowszym reżimem CITES. Import wymagał nowego pozwolenia. Strony różnie oceniały, kto odpowiada za uzyskanie dokumentów i czy przeszkoda była przewidywalna. Sprzedawca proponował opóźnienie oraz alternatywną trasę dostawy; kupujący odmówił, rozwiązał umowę i zawarł droższą transakcję zastępczą.</w:t>
      </w:r>
    </w:p>
    <w:p>
      <w:r>
        <w:t>Kupujący wszczął arbitraż i korzysta z finansowania przez podmiot trzeci oraz ubezpieczenia kosztów. Sprzedawca żąda ujawnienia pełnej umowy finansowania, zabezpieczenia kosztów oraz wyłączenia arbitra ze względu na relację z finansującym. Kupujący twierdzi, że ujawnił wszystko, co konieczne, a dalsze żądania służą poznaniu jego strategii procesowej.</w:t>
      </w:r>
    </w:p>
    <w:p>
      <w:r>
        <w:t>W sporze materialnym strony różnią się co do skutków zmiany regulacyjnej, obowiązku współdziałania, zwolnienia z odpowiedzialności, prawidłowości rozwiązania umowy i sposobu obliczenia szkody na podstawie transakcji zastępczej.</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15"/>
        </w:numPr>
      </w:pPr>
      <w:r>
        <w:t>Która wersja regulaminu SIAC znajduje zastosowanie i według jakiej reguły temporalnej?</w:t>
      </w:r>
    </w:p>
    <w:p>
      <w:pPr>
        <w:spacing w:after="80" w:line="300" w:lineRule="auto"/>
        <w:numPr>
          <w:ilvl w:val="0"/>
          <w:numId w:val="15"/>
        </w:numPr>
      </w:pPr>
      <w:r>
        <w:t>Jaki zakres ujawnienia finansowania i ubezpieczenia kosztów jest konieczny dla kontroli konfliktów interesów?</w:t>
      </w:r>
    </w:p>
    <w:p>
      <w:pPr>
        <w:spacing w:after="80" w:line="300" w:lineRule="auto"/>
        <w:numPr>
          <w:ilvl w:val="0"/>
          <w:numId w:val="15"/>
        </w:numPr>
      </w:pPr>
      <w:r>
        <w:t>Czy istnieją podstawy do zabezpieczenia kosztów albo wyłączenia arbitra?</w:t>
      </w:r>
    </w:p>
    <w:p>
      <w:pPr>
        <w:spacing w:after="80" w:line="300" w:lineRule="auto"/>
        <w:numPr>
          <w:ilvl w:val="0"/>
          <w:numId w:val="15"/>
        </w:numPr>
      </w:pPr>
      <w:r>
        <w:t>Czy zmiana klasyfikacji CITES stanowi przeszkodę zwalniającą sprzedawcę z odpowiedzialności?</w:t>
      </w:r>
    </w:p>
    <w:p>
      <w:pPr>
        <w:spacing w:after="80" w:line="300" w:lineRule="auto"/>
        <w:numPr>
          <w:ilvl w:val="0"/>
          <w:numId w:val="15"/>
        </w:numPr>
      </w:pPr>
      <w:r>
        <w:t>Czy kupujący skutecznie rozwiązał umowę i prawidłowo ograniczył szkodę?</w:t>
      </w:r>
    </w:p>
    <w:p>
      <w:pPr>
        <w:spacing w:after="80" w:line="300" w:lineRule="auto"/>
        <w:numPr>
          <w:ilvl w:val="0"/>
          <w:numId w:val="15"/>
        </w:numPr>
      </w:pPr>
      <w:r>
        <w:t>Jak obliczyć odszkodowanie, uwzględniając moment i warunki transakcji zastępczej?</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18">
        <w:r>
          <w:rPr>
            <w:color w:val="2E74B5"/>
            <w:u w:val="single"/>
          </w:rPr>
          <w:t>Problem 33rd Vis Moot</w:t>
        </w:r>
      </w:hyperlink>
    </w:p>
    <w:p>
      <w:pPr>
        <w:pStyle w:val="ListBullet"/>
      </w:pPr>
      <w:hyperlink r:id="rId19">
        <w:r>
          <w:rPr>
            <w:color w:val="2E74B5"/>
            <w:u w:val="single"/>
          </w:rPr>
          <w:t>Arbitrator Brief 33rd Vis Moot</w:t>
        </w:r>
      </w:hyperlink>
    </w:p>
    <w:p>
      <w:pPr>
        <w:pStyle w:val="Heading1"/>
        <w:pageBreakBefore/>
      </w:pPr>
      <w:r>
        <w:t>K-06  Inkaton przeciwko Accadii</w:t>
      </w:r>
    </w:p>
    <w:p>
      <w:r>
        <w:rPr>
          <w:b/>
          <w:color w:val="1F4D78"/>
        </w:rPr>
        <w:t>Własność obiektów kosmicznych, ratownictwo i odpowiedzialność</w:t>
      </w:r>
    </w:p>
    <w:p>
      <w:r>
        <w:rPr>
          <w:i/>
          <w:color w:val="5D656F"/>
        </w:rPr>
        <w:t>Adaptacja dydaktyczna problemu Manfred Lachs 2026</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K-06</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bardzo wysoka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4–6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Inkaton; Accadia; Quipu; Sargon</w:t>
            </w:r>
          </w:p>
        </w:tc>
      </w:tr>
    </w:tbl>
    <w:p/>
    <w:p>
      <w:pPr>
        <w:pStyle w:val="Heading2"/>
      </w:pPr>
      <w:r>
        <w:t>Stan faktyczny</w:t>
      </w:r>
    </w:p>
    <w:p>
      <w:r>
        <w:t>Quipu, spółka z Inkatonu, utraciła kontrolę nad satelitą stealth na niskiej orbicie okołoziemskiej. Sargon, spółka z Accadii, uznała obiekt za zagrożenie. Po odmowie zgody przez Quipu jednostronnie przechwyciła satelitę, przewiozła go na własną stację orbitalną i uzyskała w państwie licencjonującym orzeczenie in rem przyznające jej tytuł do obiektu.</w:t>
      </w:r>
    </w:p>
    <w:p>
      <w:r>
        <w:t>Sargon odnowiła satelitę i planowała umieścić go na orbicie księżycowej. Podczas lotu nagła burza protonowa uszkodziła statek. Ładunek został odrzucony i uderzył w instalację Quipu na Księżycu, niszcząc sprzęt, strukturę z regolitu oraz wydobyty hel-3. Załoga Sargon została uratowana i leczona przez personel Quipu.</w:t>
      </w:r>
    </w:p>
    <w:p>
      <w:r>
        <w:t>Po akcji ratowniczej personel Quipu wrócił do wraku i wydobył z niego zastrzeżoną technologię oraz urządzenia. Quipu twierdzi, że zabezpieczała teren i ograniczała dalsze ryzyko. Sargon zarzuca przywłaszczenie tajemnicy technologicznej. Obie spółki żądają wzajemnych rozliczeń za przechwycenie satelity, ratownictwo, szkody i wykorzystanie sprzętu.</w:t>
      </w:r>
    </w:p>
    <w:p>
      <w:r>
        <w:t>Państwa pochodzenia spółek podjęły konsultacje dyplomatyczne, ale każde uczyniło to w innym czasie od uzyskania wiedzy o zdarzeniu. Spór został przekazany do rozstrzygnięcia międzypaństwowego.</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16"/>
        </w:numPr>
      </w:pPr>
      <w:r>
        <w:t>Czy niekontrolowany satelita nadal pozostaje własnością podmiotu rejestrującego i czy można nabyć do niego tytuł w postępowaniu in rem?</w:t>
      </w:r>
    </w:p>
    <w:p>
      <w:pPr>
        <w:spacing w:after="80" w:line="300" w:lineRule="auto"/>
        <w:numPr>
          <w:ilvl w:val="0"/>
          <w:numId w:val="16"/>
        </w:numPr>
      </w:pPr>
      <w:r>
        <w:t>Czy jednostronne usunięcie obiektu można uzasadnić koniecznością, bezpieczeństwem ruchu lub obowiązkiem unikania szkodliwych zakłóceń?</w:t>
      </w:r>
    </w:p>
    <w:p>
      <w:pPr>
        <w:spacing w:after="80" w:line="300" w:lineRule="auto"/>
        <w:numPr>
          <w:ilvl w:val="0"/>
          <w:numId w:val="16"/>
        </w:numPr>
      </w:pPr>
      <w:r>
        <w:t>Które państwo ponosi odpowiedzialność za działalność prywatnych spółek i na jakiej podstawie?</w:t>
      </w:r>
    </w:p>
    <w:p>
      <w:pPr>
        <w:spacing w:after="80" w:line="300" w:lineRule="auto"/>
        <w:numPr>
          <w:ilvl w:val="0"/>
          <w:numId w:val="16"/>
        </w:numPr>
      </w:pPr>
      <w:r>
        <w:t>Jak rozdzielić odpowiedzialność za szkody spowodowane burzą słoneczną, odrzuceniem ładunku i stanem instalacji?</w:t>
      </w:r>
    </w:p>
    <w:p>
      <w:pPr>
        <w:spacing w:after="80" w:line="300" w:lineRule="auto"/>
        <w:numPr>
          <w:ilvl w:val="0"/>
          <w:numId w:val="16"/>
        </w:numPr>
      </w:pPr>
      <w:r>
        <w:t>Jaki zakres ma obowiązek ratownictwa i czy obejmuje późniejsze pozyskanie technologii z wraku?</w:t>
      </w:r>
    </w:p>
    <w:p>
      <w:pPr>
        <w:spacing w:after="80" w:line="300" w:lineRule="auto"/>
        <w:numPr>
          <w:ilvl w:val="0"/>
          <w:numId w:val="16"/>
        </w:numPr>
      </w:pPr>
      <w:r>
        <w:t>Czy wymogi czasowe konsultacji i ochrony dyplomatycznej zostały dochowane?</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20">
        <w:r>
          <w:rPr>
            <w:color w:val="2E74B5"/>
            <w:u w:val="single"/>
          </w:rPr>
          <w:t>Oficjalna strona Manfred Lachs 2026</w:t>
        </w:r>
      </w:hyperlink>
    </w:p>
    <w:p>
      <w:pPr>
        <w:pStyle w:val="ListBullet"/>
      </w:pPr>
      <w:hyperlink r:id="rId21">
        <w:r>
          <w:rPr>
            <w:color w:val="2E74B5"/>
            <w:u w:val="single"/>
          </w:rPr>
          <w:t>Oficjalne streszczenie faktów</w:t>
        </w:r>
      </w:hyperlink>
    </w:p>
    <w:p>
      <w:pPr>
        <w:pStyle w:val="Heading1"/>
        <w:pageBreakBefore/>
      </w:pPr>
      <w:r>
        <w:t>K-07  Anecoyon przeciwko Ridusowi</w:t>
      </w:r>
    </w:p>
    <w:p>
      <w:r>
        <w:rPr>
          <w:b/>
          <w:color w:val="1F4D78"/>
        </w:rPr>
        <w:t>De-extinction, zasoby genetyczne i podział korzyści</w:t>
      </w:r>
    </w:p>
    <w:p>
      <w:r>
        <w:rPr>
          <w:i/>
          <w:color w:val="5D656F"/>
        </w:rPr>
        <w:t>Adaptacja dydaktyczna problemu Stetson IEMCC 2025–2026</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K-07</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bardzo wysoka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4–6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państwo pochodzenia; państwo prowadzące projekt; społeczność rdzenna; instytut badawczy</w:t>
            </w:r>
          </w:p>
        </w:tc>
      </w:tr>
    </w:tbl>
    <w:p/>
    <w:p>
      <w:pPr>
        <w:pStyle w:val="Heading2"/>
      </w:pPr>
      <w:r>
        <w:t>Stan faktyczny</w:t>
      </w:r>
    </w:p>
    <w:p>
      <w:r>
        <w:t>Naukowcy z Ridusu pozyskali z muzealnej skamieniałości fragmenty DNA wymarłej pantery królewskiej. Skamieniałość znaleziono dekady wcześniej na terytorium Anecoyonu i przekazano do muzeum na podstawie umowy, która nie przewidywała sekwencjonowania genetycznego. Cyfrową sekwencję uzupełniono danymi współczesnego gatunku spokrewnionego i wykorzystano technikę edycji genów do stworzenia żywych osobników.</w:t>
      </w:r>
    </w:p>
    <w:p>
      <w:r>
        <w:t>Anecoyon twierdzi, że projekt wymagał jego uprzedniej świadomej zgody oraz zgody społeczności rdzennej, w której tradycji pantera ma znaczenie duchowe. Ridus odpowiada, że organizm był wymarły, próbka znajdowała się legalnie w muzeum, a informacja sekwencyjna nie jest tym samym co fizyczny zasób genetyczny.</w:t>
      </w:r>
    </w:p>
    <w:p>
      <w:r>
        <w:t>Instytut z Ridusu utworzył odpłatny park hodowlany, udzielił licencji na technologię i zapowiedział reintrodukcję gatunku. Jednocześnie argumentuje, że projekt służy ochronie różnorodności biologicznej. Anecoyon żąda udziału w przychodach, dostępu do technologii, kontroli nad reintrodukcją oraz uznania praw społeczności rdzennej.</w:t>
      </w:r>
    </w:p>
    <w:p>
      <w:r>
        <w:t>Strony spierają się również o państwo pochodzenia gatunku, ponieważ historyczny zasięg pantery obejmował oba terytoria. Nie wiadomo, czy odtworzone zwierzę jest prawnie tym samym gatunkiem co organizm wymarły ani jak stosować regulacje handlu zagrożonymi gatunkami.</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17"/>
        </w:numPr>
      </w:pPr>
      <w:r>
        <w:t>Czy DNA pozyskane ze skamieniałości jest zasobem genetycznym objętym reżimem dostępu i podziału korzyści?</w:t>
      </w:r>
    </w:p>
    <w:p>
      <w:pPr>
        <w:spacing w:after="80" w:line="300" w:lineRule="auto"/>
        <w:numPr>
          <w:ilvl w:val="0"/>
          <w:numId w:val="17"/>
        </w:numPr>
      </w:pPr>
      <w:r>
        <w:t>Jak kwalifikować cyfrową informację sekwencyjną i jej wykorzystanie komercyjne?</w:t>
      </w:r>
    </w:p>
    <w:p>
      <w:pPr>
        <w:spacing w:after="80" w:line="300" w:lineRule="auto"/>
        <w:numPr>
          <w:ilvl w:val="0"/>
          <w:numId w:val="17"/>
        </w:numPr>
      </w:pPr>
      <w:r>
        <w:t>Które państwo jest państwem pochodzenia zasobu przy historycznie transgranicznym gatunku?</w:t>
      </w:r>
    </w:p>
    <w:p>
      <w:pPr>
        <w:spacing w:after="80" w:line="300" w:lineRule="auto"/>
        <w:numPr>
          <w:ilvl w:val="0"/>
          <w:numId w:val="17"/>
        </w:numPr>
      </w:pPr>
      <w:r>
        <w:t>Czy wcześniejsze przekazanie eksponatu muzealnego obejmowało zgodę na sekwencjonowanie i de-extinction?</w:t>
      </w:r>
    </w:p>
    <w:p>
      <w:pPr>
        <w:spacing w:after="80" w:line="300" w:lineRule="auto"/>
        <w:numPr>
          <w:ilvl w:val="0"/>
          <w:numId w:val="17"/>
        </w:numPr>
      </w:pPr>
      <w:r>
        <w:t>Jakie znaczenie mają prawa i wiedza tradycyjna społeczności rdzennej?</w:t>
      </w:r>
    </w:p>
    <w:p>
      <w:pPr>
        <w:spacing w:after="80" w:line="300" w:lineRule="auto"/>
        <w:numPr>
          <w:ilvl w:val="0"/>
          <w:numId w:val="17"/>
        </w:numPr>
      </w:pPr>
      <w:r>
        <w:t>Czy odtworzone zwierzę podlega regułom ochrony i handlu dotyczącym gatunku wymarłego, spokrewnionego czy nowo powstałego?</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22">
        <w:r>
          <w:rPr>
            <w:color w:val="2E74B5"/>
            <w:u w:val="single"/>
          </w:rPr>
          <w:t>Oficjalna strona Stetson IEMCC</w:t>
        </w:r>
      </w:hyperlink>
    </w:p>
    <w:p>
      <w:pPr>
        <w:pStyle w:val="ListBullet"/>
      </w:pPr>
      <w:hyperlink r:id="rId23">
        <w:r>
          <w:rPr>
            <w:color w:val="2E74B5"/>
            <w:u w:val="single"/>
          </w:rPr>
          <w:t>Record: Anecoyon v. Ridus</w:t>
        </w:r>
      </w:hyperlink>
    </w:p>
    <w:p>
      <w:pPr>
        <w:pStyle w:val="Heading1"/>
        <w:pageBreakBefore/>
      </w:pPr>
      <w:r>
        <w:t>Część II — najtrudniejsze kazusy z prawa polskiego</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Metoda: </w:t>
            </w:r>
            <w:r>
              <w:t>Kazusy polskie są autorskie i celowo nie podają gotowych numerów artykułów. Rozwiązujący powinien zweryfikować aktualne brzmienie aktów w ELI oraz rozdzielić tryby publicznoprawne, prywatnoprawne, karne i dowodowe.</w:t>
            </w:r>
          </w:p>
        </w:tc>
      </w:tr>
    </w:tbl>
    <w:p>
      <w:pPr>
        <w:spacing w:after="0"/>
      </w:pPr>
    </w:p>
    <w:p>
      <w:pPr>
        <w:pStyle w:val="Heading1"/>
        <w:pageBreakBefore/>
      </w:pPr>
      <w:r>
        <w:t>PL-01  Algorytm zwalnia sygnalistkę</w:t>
      </w:r>
    </w:p>
    <w:p>
      <w:r>
        <w:rPr>
          <w:b/>
          <w:color w:val="1F4D78"/>
        </w:rPr>
        <w:t>Prawo pracy, ochrona sygnalistów, RODO, AI Act i tajemnica przedsiębiorstwa</w:t>
      </w:r>
    </w:p>
    <w:p>
      <w:r>
        <w:rPr>
          <w:i/>
          <w:color w:val="5D656F"/>
        </w:rPr>
        <w:t>Autorski kazus prawa polskiego — fikcyjny stan faktyczny</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PL-01</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ekstremalna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5–7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pracownica; spółka technologiczna; związek zawodowy; UODO; PIP</w:t>
            </w:r>
          </w:p>
        </w:tc>
      </w:tr>
    </w:tbl>
    <w:p/>
    <w:p>
      <w:pPr>
        <w:pStyle w:val="Heading2"/>
      </w:pPr>
      <w:r>
        <w:t>Stan faktyczny</w:t>
      </w:r>
    </w:p>
    <w:p>
      <w:r>
        <w:t>Marta, dyrektorka ds. jakości w Algometrii S.A., zgłasza wewnętrznie, że model rekrutacyjny zaniża ocenę kandydatek po urlopie rodzicielskim. Dołącza fragmenty kodu, dane testowe i korespondencję zarządu, w tym dane osobowe oraz informacje objęte poufnością.</w:t>
      </w:r>
    </w:p>
    <w:p>
      <w:r>
        <w:t>Dwa tygodnie później system PeopleScore obniża jej rating z powodu „nielojalności”, absencji i kontaktów z mediami. Zarząd po krótkiej wideokonferencji wypowiada umowę z przyczyn reorganizacyjnych, likwiduje stanowisko, a po miesiącu tworzy podobne. Dostawca odmawia ujawnienia logiki systemu jako tajemnicy przedsiębiorstwa; związek zawodowy nie wiedział o monitoringu.</w:t>
      </w:r>
    </w:p>
    <w:p>
      <w:r>
        <w:t>Marta przekazuje dokumenty dziennikarzowi i składa skargi do PIP oraz UODO. Spółka żąda zakazu publikacji i odszkodowania. Brakuje części logów systemu wskutek trzydziestodniowej retencji, choć spór był już przewidywalny.</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18"/>
        </w:numPr>
      </w:pPr>
      <w:r>
        <w:t>Czy zgłoszenie korzysta z ochrony, a wypowiedzenie może być działaniem odwetowym?</w:t>
      </w:r>
    </w:p>
    <w:p>
      <w:pPr>
        <w:spacing w:after="80" w:line="300" w:lineRule="auto"/>
        <w:numPr>
          <w:ilvl w:val="0"/>
          <w:numId w:val="18"/>
        </w:numPr>
      </w:pPr>
      <w:r>
        <w:t>Czy reorganizacja była rzeczywista i czy pracodawca dochował gwarancji prawa pracy?</w:t>
      </w:r>
    </w:p>
    <w:p>
      <w:pPr>
        <w:spacing w:after="80" w:line="300" w:lineRule="auto"/>
        <w:numPr>
          <w:ilvl w:val="0"/>
          <w:numId w:val="18"/>
        </w:numPr>
      </w:pPr>
      <w:r>
        <w:t>Czy decyzja była faktycznie zautomatyzowana mimo formalnego udziału zarządu?</w:t>
      </w:r>
    </w:p>
    <w:p>
      <w:pPr>
        <w:spacing w:after="80" w:line="300" w:lineRule="auto"/>
        <w:numPr>
          <w:ilvl w:val="0"/>
          <w:numId w:val="18"/>
        </w:numPr>
      </w:pPr>
      <w:r>
        <w:t>Jak pogodzić kontrolę sądową i prawa do danych z tajemnicą dostawcy?</w:t>
      </w:r>
    </w:p>
    <w:p>
      <w:pPr>
        <w:spacing w:after="80" w:line="300" w:lineRule="auto"/>
        <w:numPr>
          <w:ilvl w:val="0"/>
          <w:numId w:val="18"/>
        </w:numPr>
      </w:pPr>
      <w:r>
        <w:t>Jak ocenić ujawnienie dokumentów mediom i jakie dowody zabezpieczyć natychmiast?</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24">
        <w:r>
          <w:rPr>
            <w:color w:val="2E74B5"/>
            <w:u w:val="single"/>
          </w:rPr>
          <w:t>Kodeks pracy — ELI</w:t>
        </w:r>
      </w:hyperlink>
    </w:p>
    <w:p>
      <w:pPr>
        <w:pStyle w:val="ListBullet"/>
      </w:pPr>
      <w:hyperlink r:id="rId25">
        <w:r>
          <w:rPr>
            <w:color w:val="2E74B5"/>
            <w:u w:val="single"/>
          </w:rPr>
          <w:t>Ustawa o ochronie sygnalistów — ELI</w:t>
        </w:r>
      </w:hyperlink>
    </w:p>
    <w:p>
      <w:pPr>
        <w:pStyle w:val="ListBullet"/>
      </w:pPr>
      <w:hyperlink r:id="rId26">
        <w:r>
          <w:rPr>
            <w:color w:val="2E74B5"/>
            <w:u w:val="single"/>
          </w:rPr>
          <w:t>RODO — EUR-Lex</w:t>
        </w:r>
      </w:hyperlink>
    </w:p>
    <w:p>
      <w:pPr>
        <w:pStyle w:val="ListBullet"/>
      </w:pPr>
      <w:hyperlink r:id="rId27">
        <w:r>
          <w:rPr>
            <w:color w:val="2E74B5"/>
            <w:u w:val="single"/>
          </w:rPr>
          <w:t>AI Act — EUR-Lex</w:t>
        </w:r>
      </w:hyperlink>
    </w:p>
    <w:p>
      <w:pPr>
        <w:pStyle w:val="Heading1"/>
        <w:pageBreakBefore/>
      </w:pPr>
      <w:r>
        <w:t>PL-02  Osiedle na zalewowej łące</w:t>
      </w:r>
    </w:p>
    <w:p>
      <w:r>
        <w:rPr>
          <w:b/>
          <w:color w:val="1F4D78"/>
        </w:rPr>
        <w:t>Planowanie przestrzenne, budownictwo, środowisko, wody i kontrola administracyjna</w:t>
      </w:r>
    </w:p>
    <w:p>
      <w:r>
        <w:rPr>
          <w:i/>
          <w:color w:val="5D656F"/>
        </w:rPr>
        <w:t>Autorski kazus prawa polskiego — fikcyjna inwestycja samorządowa</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PL-02</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ekstremalna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6–8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deweloper; gmina; Wody Polskie; organizacja ekologiczna; sąsiedzi</w:t>
            </w:r>
          </w:p>
        </w:tc>
      </w:tr>
    </w:tbl>
    <w:p/>
    <w:p>
      <w:pPr>
        <w:pStyle w:val="Heading2"/>
      </w:pPr>
      <w:r>
        <w:t>Stan faktyczny</w:t>
      </w:r>
    </w:p>
    <w:p>
      <w:r>
        <w:t>Gmina sprzedaje deweloperowi łąkę w dolinie rzeki po uchwaleniu planu dopuszczającego osiedle. Prognoza korzysta ze starych map, a część radnych ma rodzinne powiązania z podwykonawcą inwestora. Inwestor dzieli projekt na osiedle, drogę i zbiornik retencyjny; każde postępowanie prowadzone jest osobno bez pełnej oceny skumulowanej.</w:t>
      </w:r>
    </w:p>
    <w:p>
      <w:r>
        <w:t>Po pozwoleniu na budowę pojawia się nowa mapa zagrożenia powodziowego, a Wody Polskie kwestionują retencję. Inwestor sprzedał część lokali konsumentom i uruchomił finansowanie. Organizacja ekologiczna i sąsiedzi skarżą plan oraz decyzje, powołując się także na brak realnego udziału społeczeństwa.</w:t>
      </w:r>
    </w:p>
    <w:p>
      <w:r>
        <w:t>Po ulewie zalane zostają droga i wykop. Nadzór wstrzymuje roboty, gmina planuje awaryjny wał z pieniędzy publicznych. Spór obejmuje ważność kolejnych aktów, prawa nabyte, bezpieczeństwo, odszkodowania i rozkład kosztów.</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19"/>
        </w:numPr>
      </w:pPr>
      <w:r>
        <w:t>Czy konflikt interesów radnych wpływa na legalność planu?</w:t>
      </w:r>
    </w:p>
    <w:p>
      <w:pPr>
        <w:spacing w:after="80" w:line="300" w:lineRule="auto"/>
        <w:numPr>
          <w:ilvl w:val="0"/>
          <w:numId w:val="19"/>
        </w:numPr>
      </w:pPr>
      <w:r>
        <w:t>Czy trzy elementy tworzą jedno przedsięwzięcie wymagające łącznej oceny?</w:t>
      </w:r>
    </w:p>
    <w:p>
      <w:pPr>
        <w:spacing w:after="80" w:line="300" w:lineRule="auto"/>
        <w:numPr>
          <w:ilvl w:val="0"/>
          <w:numId w:val="19"/>
        </w:numPr>
      </w:pPr>
      <w:r>
        <w:t>Jak nowa wiedza o powodzi wpływa na decyzje ostateczne i roboty w toku?</w:t>
      </w:r>
    </w:p>
    <w:p>
      <w:pPr>
        <w:spacing w:after="80" w:line="300" w:lineRule="auto"/>
        <w:numPr>
          <w:ilvl w:val="0"/>
          <w:numId w:val="19"/>
        </w:numPr>
      </w:pPr>
      <w:r>
        <w:t>Kto może zaskarżyć poszczególne akty i w jakim trybie?</w:t>
      </w:r>
    </w:p>
    <w:p>
      <w:pPr>
        <w:spacing w:after="80" w:line="300" w:lineRule="auto"/>
        <w:numPr>
          <w:ilvl w:val="0"/>
          <w:numId w:val="19"/>
        </w:numPr>
      </w:pPr>
      <w:r>
        <w:t>Jak rozdzielić skutki publicznoprawne od roszczeń inwestora, gminy i nabywców?</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28">
        <w:r>
          <w:rPr>
            <w:color w:val="2E74B5"/>
            <w:u w:val="single"/>
          </w:rPr>
          <w:t>Planowanie przestrzenne — ELI</w:t>
        </w:r>
      </w:hyperlink>
    </w:p>
    <w:p>
      <w:pPr>
        <w:pStyle w:val="ListBullet"/>
      </w:pPr>
      <w:hyperlink r:id="rId29">
        <w:r>
          <w:rPr>
            <w:color w:val="2E74B5"/>
            <w:u w:val="single"/>
          </w:rPr>
          <w:t>Prawo budowlane — ELI</w:t>
        </w:r>
      </w:hyperlink>
    </w:p>
    <w:p>
      <w:pPr>
        <w:pStyle w:val="ListBullet"/>
      </w:pPr>
      <w:hyperlink r:id="rId30">
        <w:r>
          <w:rPr>
            <w:color w:val="2E74B5"/>
            <w:u w:val="single"/>
          </w:rPr>
          <w:t>Ustawa środowiskowa i OOŚ — ELI</w:t>
        </w:r>
      </w:hyperlink>
    </w:p>
    <w:p>
      <w:pPr>
        <w:pStyle w:val="ListBullet"/>
      </w:pPr>
      <w:hyperlink r:id="rId31">
        <w:r>
          <w:rPr>
            <w:color w:val="2E74B5"/>
            <w:u w:val="single"/>
          </w:rPr>
          <w:t>Prawo wodne — ELI</w:t>
        </w:r>
      </w:hyperlink>
    </w:p>
    <w:p>
      <w:pPr>
        <w:pStyle w:val="Heading1"/>
        <w:pageBreakBefore/>
      </w:pPr>
      <w:r>
        <w:t>PL-03  Fundacja po śmierci fundatora</w:t>
      </w:r>
    </w:p>
    <w:p>
      <w:r>
        <w:rPr>
          <w:b/>
          <w:color w:val="1F4D78"/>
        </w:rPr>
        <w:t>Sukcesja, zachowek, majątek małżeński, governance, upadłość i podatki</w:t>
      </w:r>
    </w:p>
    <w:p>
      <w:r>
        <w:rPr>
          <w:i/>
          <w:color w:val="5D656F"/>
        </w:rPr>
        <w:t>Autorski kazus prawa polskiego — fikcyjny konflikt rodzinny i wierzycielski</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PL-03</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ekstremalna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6–8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fundacja rodzinna; małżonka; dzieci; wierzyciele; zarząd spółki</w:t>
            </w:r>
          </w:p>
        </w:tc>
      </w:tr>
    </w:tbl>
    <w:p/>
    <w:p>
      <w:pPr>
        <w:pStyle w:val="Heading2"/>
      </w:pPr>
      <w:r>
        <w:t>Stan faktyczny</w:t>
      </w:r>
    </w:p>
    <w:p>
      <w:r>
        <w:t>Jan wnosi do fundacji rodzinnej akcje spółki i nieruchomości. Statut uprzywilejowuje córkę pracującą w biznesie, a świadczenia syna uzależnia od terapii. Żona twierdzi, że część mienia pochodziła z majątku wspólnego i została wniesiona bez jej zgody.</w:t>
      </w:r>
    </w:p>
    <w:p>
      <w:r>
        <w:t>Przed śmiercią Jan przenosi znak towarowy do fundacji po zaniżonej cenie, a spółka płaci wysokie opłaty licencyjne. Testament pozostawia fundacji niemal cały pozostały majątek. Dzieci żądają zachowku, zaś wierzyciele ujawniają poręczenie i roszczenie odszkodowawcze.</w:t>
      </w:r>
    </w:p>
    <w:p>
      <w:r>
        <w:t>Spółka traci płynność, lecz fundacja wypłaca świadczenia córce i chce sprzedać nieruchomość podmiotowi powiązanemu. Organ podatkowy bada działalność i przepływy. Rodzina spiera się o kontynuację biznesu, a wierzyciele rozważają podważenie transferów.</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20"/>
        </w:numPr>
      </w:pPr>
      <w:r>
        <w:t>Które aktywa skutecznie weszły do fundacji i jakie znaczenie ma majątek wspólny?</w:t>
      </w:r>
    </w:p>
    <w:p>
      <w:pPr>
        <w:spacing w:after="80" w:line="300" w:lineRule="auto"/>
        <w:numPr>
          <w:ilvl w:val="0"/>
          <w:numId w:val="20"/>
        </w:numPr>
      </w:pPr>
      <w:r>
        <w:t>Jak ocenić roszczenia spadkowe przy transferach za życia i świadczeniach fundacyjnych?</w:t>
      </w:r>
    </w:p>
    <w:p>
      <w:pPr>
        <w:spacing w:after="80" w:line="300" w:lineRule="auto"/>
        <w:numPr>
          <w:ilvl w:val="0"/>
          <w:numId w:val="20"/>
        </w:numPr>
      </w:pPr>
      <w:r>
        <w:t>Jakie środki mają wierzyciele wobec fundacji, beneficjentów i spółki?</w:t>
      </w:r>
    </w:p>
    <w:p>
      <w:pPr>
        <w:spacing w:after="80" w:line="300" w:lineRule="auto"/>
        <w:numPr>
          <w:ilvl w:val="0"/>
          <w:numId w:val="20"/>
        </w:numPr>
      </w:pPr>
      <w:r>
        <w:t>Jak konflikt interesów wpływa na wypłaty i transakcję powiązaną?</w:t>
      </w:r>
    </w:p>
    <w:p>
      <w:pPr>
        <w:spacing w:after="80" w:line="300" w:lineRule="auto"/>
        <w:numPr>
          <w:ilvl w:val="0"/>
          <w:numId w:val="20"/>
        </w:numPr>
      </w:pPr>
      <w:r>
        <w:t>Jak oddzielić kryzys fundacji od niewypłacalności spółki i ryzyka podatkowego?</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32">
        <w:r>
          <w:rPr>
            <w:color w:val="2E74B5"/>
            <w:u w:val="single"/>
          </w:rPr>
          <w:t>Ustawa o fundacji rodzinnej — ELI</w:t>
        </w:r>
      </w:hyperlink>
    </w:p>
    <w:p>
      <w:pPr>
        <w:pStyle w:val="ListBullet"/>
      </w:pPr>
      <w:hyperlink r:id="rId33">
        <w:r>
          <w:rPr>
            <w:color w:val="2E74B5"/>
            <w:u w:val="single"/>
          </w:rPr>
          <w:t>Kodeks cywilny — ELI</w:t>
        </w:r>
      </w:hyperlink>
    </w:p>
    <w:p>
      <w:pPr>
        <w:pStyle w:val="ListBullet"/>
      </w:pPr>
      <w:hyperlink r:id="rId34">
        <w:r>
          <w:rPr>
            <w:color w:val="2E74B5"/>
            <w:u w:val="single"/>
          </w:rPr>
          <w:t>Prawo upadłościowe — ELI</w:t>
        </w:r>
      </w:hyperlink>
    </w:p>
    <w:p>
      <w:pPr>
        <w:pStyle w:val="ListBullet"/>
      </w:pPr>
      <w:hyperlink r:id="rId35">
        <w:r>
          <w:rPr>
            <w:color w:val="2E74B5"/>
            <w:u w:val="single"/>
          </w:rPr>
          <w:t>Ustawa o CIT — ELI</w:t>
        </w:r>
      </w:hyperlink>
    </w:p>
    <w:p>
      <w:pPr>
        <w:pStyle w:val="Heading1"/>
        <w:pageBreakBefore/>
      </w:pPr>
      <w:r>
        <w:t>PL-04  Szpital podpowiada diagnozę</w:t>
      </w:r>
    </w:p>
    <w:p>
      <w:r>
        <w:rPr>
          <w:b/>
          <w:color w:val="1F4D78"/>
        </w:rPr>
        <w:t>Prawa pacjenta, błąd medyczny, wyrób medyczny, AI i odpowiedzialność wielopodmiotowa</w:t>
      </w:r>
    </w:p>
    <w:p>
      <w:r>
        <w:rPr>
          <w:i/>
          <w:color w:val="5D656F"/>
        </w:rPr>
        <w:t>Autorski kazus prawa polskiego — fikcyjny system klinicznego wsparcia decyzji</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PL-04</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ekstremalna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5–7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pacjentka; szpital; lekarz; producent; ubezpieczyciel; RPP</w:t>
            </w:r>
          </w:p>
        </w:tc>
      </w:tr>
    </w:tbl>
    <w:p/>
    <w:p>
      <w:pPr>
        <w:pStyle w:val="Heading2"/>
      </w:pPr>
      <w:r>
        <w:t>Stan faktyczny</w:t>
      </w:r>
    </w:p>
    <w:p>
      <w:r>
        <w:t>Publiczny szpital wdraża MedPrompt do triażu i wskazywania rozpoznań. Producent nazywa go wsparciem, lecz interfejs pokazuje „rekomendację kliniczną”. Umowa ogranicza audyt, a aktualizacje wdrażane są automatycznie.</w:t>
      </w:r>
    </w:p>
    <w:p>
      <w:r>
        <w:t>Anna trafia z nietypowymi objawami udaru. System ocenia ryzyko nisko, bo formularz nie zawiera informacji o rzadkiej terapii. Lekarz akceptuje wynik bez pełnego badania, leczenie jest spóźnione i powstaje trwały uszczerbek.</w:t>
      </w:r>
    </w:p>
    <w:p>
      <w:r>
        <w:t>Aktualizacja zwiększyła liczbę błędów w grupie pacjentek. Ostrzeżenie trafiło tylko do IT, a szpital nie przeszkolił lekarzy. Dokumentacja nie zachowała pełnych danych wejściowych ani wersji modelu. Strony przerzucają odpowiedzialność, a ubezpieczyciele spierają się o zakres polis.</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21"/>
        </w:numPr>
      </w:pPr>
      <w:r>
        <w:t>Jaki standard staranności obowiązywał lekarza i szpital przy użyciu systemu?</w:t>
      </w:r>
    </w:p>
    <w:p>
      <w:pPr>
        <w:spacing w:after="80" w:line="300" w:lineRule="auto"/>
        <w:numPr>
          <w:ilvl w:val="0"/>
          <w:numId w:val="21"/>
        </w:numPr>
      </w:pPr>
      <w:r>
        <w:t>Jak zakwalifikować system i aktualizację oraz role podmiotów?</w:t>
      </w:r>
    </w:p>
    <w:p>
      <w:pPr>
        <w:spacing w:after="80" w:line="300" w:lineRule="auto"/>
        <w:numPr>
          <w:ilvl w:val="0"/>
          <w:numId w:val="21"/>
        </w:numPr>
      </w:pPr>
      <w:r>
        <w:t>Jak rozdzielić odpowiedzialność lekarza, szpitala, producenta i integratora?</w:t>
      </w:r>
    </w:p>
    <w:p>
      <w:pPr>
        <w:spacing w:after="80" w:line="300" w:lineRule="auto"/>
        <w:numPr>
          <w:ilvl w:val="0"/>
          <w:numId w:val="21"/>
        </w:numPr>
      </w:pPr>
      <w:r>
        <w:t>Jak ustalić przyczynowość i rozmiar szkody przy niepełnej dokumentacji?</w:t>
      </w:r>
    </w:p>
    <w:p>
      <w:pPr>
        <w:spacing w:after="80" w:line="300" w:lineRule="auto"/>
        <w:numPr>
          <w:ilvl w:val="0"/>
          <w:numId w:val="21"/>
        </w:numPr>
      </w:pPr>
      <w:r>
        <w:t>Jak ocenić informację dla pacjentki, przetwarzanie danych i zabezpieczenie dowodów?</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36">
        <w:r>
          <w:rPr>
            <w:color w:val="2E74B5"/>
            <w:u w:val="single"/>
          </w:rPr>
          <w:t>Prawa pacjenta — ELI</w:t>
        </w:r>
      </w:hyperlink>
    </w:p>
    <w:p>
      <w:pPr>
        <w:pStyle w:val="ListBullet"/>
      </w:pPr>
      <w:hyperlink r:id="rId37">
        <w:r>
          <w:rPr>
            <w:color w:val="2E74B5"/>
            <w:u w:val="single"/>
          </w:rPr>
          <w:t>Działalność lecznicza — ELI</w:t>
        </w:r>
      </w:hyperlink>
    </w:p>
    <w:p>
      <w:pPr>
        <w:pStyle w:val="ListBullet"/>
      </w:pPr>
      <w:hyperlink r:id="rId38">
        <w:r>
          <w:rPr>
            <w:color w:val="2E74B5"/>
            <w:u w:val="single"/>
          </w:rPr>
          <w:t>Wyroby medyczne — ELI</w:t>
        </w:r>
      </w:hyperlink>
    </w:p>
    <w:p>
      <w:pPr>
        <w:pStyle w:val="ListBullet"/>
      </w:pPr>
      <w:hyperlink r:id="rId27">
        <w:r>
          <w:rPr>
            <w:color w:val="2E74B5"/>
            <w:u w:val="single"/>
          </w:rPr>
          <w:t>AI Act — EUR-Lex</w:t>
        </w:r>
      </w:hyperlink>
    </w:p>
    <w:p>
      <w:pPr>
        <w:pStyle w:val="Heading1"/>
        <w:pageBreakBefore/>
      </w:pPr>
      <w:r>
        <w:t>PL-05  Chmura dla metropolii</w:t>
      </w:r>
    </w:p>
    <w:p>
      <w:r>
        <w:rPr>
          <w:b/>
          <w:color w:val="1F4D78"/>
        </w:rPr>
        <w:t>Zamówienia publiczne, cyberbezpieczeństwo, RODO, tajemnice i ciągłość usług</w:t>
      </w:r>
    </w:p>
    <w:p>
      <w:r>
        <w:rPr>
          <w:i/>
          <w:color w:val="5D656F"/>
        </w:rPr>
        <w:t>Autorski kazus prawa polskiego — fikcyjne strategiczne zamówienie IT</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PL-05</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ekstremalna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5–7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metropolia; konsorcjum; dostawca chmury; konkurent; KIO; CSIRT</w:t>
            </w:r>
          </w:p>
        </w:tc>
      </w:tr>
    </w:tbl>
    <w:p/>
    <w:p>
      <w:pPr>
        <w:pStyle w:val="Heading2"/>
      </w:pPr>
      <w:r>
        <w:t>Stan faktyczny</w:t>
      </w:r>
    </w:p>
    <w:p>
      <w:r>
        <w:t>Metropolia zamawia platformę dla transportu, świadczeń i zgłoszeń. Kryterium „suwerenności technologicznej” premiuje centra danych w Polsce, lecz nie wyjaśnia oceny. Najtańsze konsorcjum używa globalnej chmury i referencji innej spółki z grupy; znaczną część wyjaśnień utajniono.</w:t>
      </w:r>
    </w:p>
    <w:p>
      <w:r>
        <w:t>Po wyborze oferty dochodzi do incydentu u dostawcy chmury. Zamawiający chce dodać lokalne zarządzanie kluczami i prawo natychmiastowego audytu. Konsorcjum wskazuje na istotną zmianę zakresu i ceny.</w:t>
      </w:r>
    </w:p>
    <w:p>
      <w:r>
        <w:t>Konkurent wnosi odwołanie do KIO. Jednocześnie obecny system jest podatny, a opóźnienie grozi przerwą w usługach. Podpisanie umowy może jednak utrwalić niezweryfikowany łańcuch dostaw i ograniczyć przenoszalność danych.</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22"/>
        </w:numPr>
      </w:pPr>
      <w:r>
        <w:t>Czy kryterium jest związane z przedmiotem, mierzalne i niedyskryminacyjne?</w:t>
      </w:r>
    </w:p>
    <w:p>
      <w:pPr>
        <w:spacing w:after="80" w:line="300" w:lineRule="auto"/>
        <w:numPr>
          <w:ilvl w:val="0"/>
          <w:numId w:val="22"/>
        </w:numPr>
      </w:pPr>
      <w:r>
        <w:t>Jak ocenić poleganie na zasobach grupy i udział podmiotów trzecich?</w:t>
      </w:r>
    </w:p>
    <w:p>
      <w:pPr>
        <w:spacing w:after="80" w:line="300" w:lineRule="auto"/>
        <w:numPr>
          <w:ilvl w:val="0"/>
          <w:numId w:val="22"/>
        </w:numPr>
      </w:pPr>
      <w:r>
        <w:t>Co może pozostać tajne wobec konkurenta i KIO?</w:t>
      </w:r>
    </w:p>
    <w:p>
      <w:pPr>
        <w:spacing w:after="80" w:line="300" w:lineRule="auto"/>
        <w:numPr>
          <w:ilvl w:val="0"/>
          <w:numId w:val="22"/>
        </w:numPr>
      </w:pPr>
      <w:r>
        <w:t>Czy nowe wymagania można wprowadzić bez naruszenia równego traktowania?</w:t>
      </w:r>
    </w:p>
    <w:p>
      <w:pPr>
        <w:spacing w:after="80" w:line="300" w:lineRule="auto"/>
        <w:numPr>
          <w:ilvl w:val="0"/>
          <w:numId w:val="22"/>
        </w:numPr>
      </w:pPr>
      <w:r>
        <w:t>Jak połączyć cyberbezpieczeństwo, RODO, ciągłość usług i środek tymczasowy?</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39">
        <w:r>
          <w:rPr>
            <w:color w:val="2E74B5"/>
            <w:u w:val="single"/>
          </w:rPr>
          <w:t>Prawo zamówień publicznych — ELI</w:t>
        </w:r>
      </w:hyperlink>
    </w:p>
    <w:p>
      <w:pPr>
        <w:pStyle w:val="ListBullet"/>
      </w:pPr>
      <w:hyperlink r:id="rId40">
        <w:r>
          <w:rPr>
            <w:color w:val="2E74B5"/>
            <w:u w:val="single"/>
          </w:rPr>
          <w:t>Krajowy system cyberbezpieczeństwa — ELI</w:t>
        </w:r>
      </w:hyperlink>
    </w:p>
    <w:p>
      <w:pPr>
        <w:pStyle w:val="ListBullet"/>
      </w:pPr>
      <w:hyperlink r:id="rId26">
        <w:r>
          <w:rPr>
            <w:color w:val="2E74B5"/>
            <w:u w:val="single"/>
          </w:rPr>
          <w:t>RODO — EUR-Lex</w:t>
        </w:r>
      </w:hyperlink>
    </w:p>
    <w:p>
      <w:pPr>
        <w:pStyle w:val="Heading1"/>
        <w:pageBreakBefore/>
      </w:pPr>
      <w:r>
        <w:t>PL-06  Karuzela, faktoring i milczący zarząd</w:t>
      </w:r>
    </w:p>
    <w:p>
      <w:r>
        <w:rPr>
          <w:b/>
          <w:color w:val="1F4D78"/>
        </w:rPr>
        <w:t>VAT, KKS, AML, odpowiedzialność organów spółki i dowody cyfrowe</w:t>
      </w:r>
    </w:p>
    <w:p>
      <w:r>
        <w:rPr>
          <w:i/>
          <w:color w:val="5D656F"/>
        </w:rPr>
        <w:t>Autorski kazus prawa polskiego — fikcyjne transakcje wysokiego ryzyka</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PL-06</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ekstremalna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6–8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spółka; zarząd; dyrektor finansowy; bank; faktor; KAS; prokuratura</w:t>
            </w:r>
          </w:p>
        </w:tc>
      </w:tr>
    </w:tbl>
    <w:p/>
    <w:p>
      <w:pPr>
        <w:pStyle w:val="Heading2"/>
      </w:pPr>
      <w:r>
        <w:t>Stan faktyczny</w:t>
      </w:r>
    </w:p>
    <w:p>
      <w:r>
        <w:t>Electra S.A. kupuje procesory od nowych dostawców i odsprzedaje je w Unii. Obrót gwałtownie rośnie, płatności idą przez faktora, a dokumenty transportowe mają powtarzające się numery. Dyrektor finansowy zgłasza brak magazynu dostawcy i częste zmiany rachunków; prezes zleca krótki przegląd, ale kontynuuje handel.</w:t>
      </w:r>
    </w:p>
    <w:p>
      <w:r>
        <w:t>KAS kwestionuje odliczenie i rozliczenie dostaw oraz zabezpiecza rachunki. Bank wcześniej zamknął alerty AML po wyjaśnieniu faktora, lecz po kontroli składa zawiadomienie. Faktor wypowiada umowę i żąda wykupu wierzytelności.</w:t>
      </w:r>
    </w:p>
    <w:p>
      <w:r>
        <w:t>Prokuratura zabezpiecza pocztę, w tym korespondencję z prawnikami. Część wiadomości usunięto automatycznie. Dyrektor finansowy rozważa współpracę z organami, spółka traci płynność, a akcjonariusze zarzucają zarządowi brak compliance.</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23"/>
        </w:numPr>
      </w:pPr>
      <w:r>
        <w:t>Jak rozdzielić wymiar podatkowy, KKS, AML, korporacyjny i kontraktowy?</w:t>
      </w:r>
    </w:p>
    <w:p>
      <w:pPr>
        <w:spacing w:after="80" w:line="300" w:lineRule="auto"/>
        <w:numPr>
          <w:ilvl w:val="0"/>
          <w:numId w:val="23"/>
        </w:numPr>
      </w:pPr>
      <w:r>
        <w:t>Czy spółka dochowała należytej staranności wobec czerwonych flag?</w:t>
      </w:r>
    </w:p>
    <w:p>
      <w:pPr>
        <w:spacing w:after="80" w:line="300" w:lineRule="auto"/>
        <w:numPr>
          <w:ilvl w:val="0"/>
          <w:numId w:val="23"/>
        </w:numPr>
      </w:pPr>
      <w:r>
        <w:t>Komu można indywidualnie przypisać wiedzę, decyzję i stronę podmiotową?</w:t>
      </w:r>
    </w:p>
    <w:p>
      <w:pPr>
        <w:spacing w:after="80" w:line="300" w:lineRule="auto"/>
        <w:numPr>
          <w:ilvl w:val="0"/>
          <w:numId w:val="23"/>
        </w:numPr>
      </w:pPr>
      <w:r>
        <w:t>Jak ocenić działania banku i faktora oraz tajemnicę analizy AML?</w:t>
      </w:r>
    </w:p>
    <w:p>
      <w:pPr>
        <w:spacing w:after="80" w:line="300" w:lineRule="auto"/>
        <w:numPr>
          <w:ilvl w:val="0"/>
          <w:numId w:val="23"/>
        </w:numPr>
      </w:pPr>
      <w:r>
        <w:t>Jak chronić tajemnicę zawodową, zabezpieczyć dowody i płynność?</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41">
        <w:r>
          <w:rPr>
            <w:color w:val="2E74B5"/>
            <w:u w:val="single"/>
          </w:rPr>
          <w:t>Ustawa o VAT — ELI</w:t>
        </w:r>
      </w:hyperlink>
    </w:p>
    <w:p>
      <w:pPr>
        <w:pStyle w:val="ListBullet"/>
      </w:pPr>
      <w:hyperlink r:id="rId42">
        <w:r>
          <w:rPr>
            <w:color w:val="2E74B5"/>
            <w:u w:val="single"/>
          </w:rPr>
          <w:t>Kodeks karny skarbowy — ELI</w:t>
        </w:r>
      </w:hyperlink>
    </w:p>
    <w:p>
      <w:pPr>
        <w:pStyle w:val="ListBullet"/>
      </w:pPr>
      <w:hyperlink r:id="rId43">
        <w:r>
          <w:rPr>
            <w:color w:val="2E74B5"/>
            <w:u w:val="single"/>
          </w:rPr>
          <w:t>Ustawa AML — ELI</w:t>
        </w:r>
      </w:hyperlink>
    </w:p>
    <w:p>
      <w:pPr>
        <w:pStyle w:val="ListBullet"/>
      </w:pPr>
      <w:hyperlink r:id="rId44">
        <w:r>
          <w:rPr>
            <w:color w:val="2E74B5"/>
            <w:u w:val="single"/>
          </w:rPr>
          <w:t>Kodeks spółek handlowych — ELI</w:t>
        </w:r>
      </w:hyperlink>
    </w:p>
    <w:p>
      <w:pPr>
        <w:pStyle w:val="Heading1"/>
        <w:pageBreakBefore/>
      </w:pPr>
      <w:r>
        <w:t>PL-07  Deepfake w wyborach samorządowych</w:t>
      </w:r>
    </w:p>
    <w:p>
      <w:r>
        <w:rPr>
          <w:b/>
          <w:color w:val="1F4D78"/>
        </w:rPr>
        <w:t>Tryb wyborczy, dobra osobiste, prawo autorskie, dane, DSA i dowody cyfrowe</w:t>
      </w:r>
    </w:p>
    <w:p>
      <w:r>
        <w:rPr>
          <w:i/>
          <w:color w:val="5D656F"/>
        </w:rPr>
        <w:t>Autorski kazus prawa polskiego — fikcyjna kampania syntetyczna</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Kod</w:t>
            </w:r>
          </w:p>
        </w:tc>
        <w:tc>
          <w:tcPr>
            <w:tcW w:type="dxa" w:w="6660"/>
            <w:vAlign w:val="center"/>
            <w:tcMar>
              <w:top w:w="80" w:type="dxa"/>
              <w:start w:w="120" w:type="dxa"/>
              <w:bottom w:w="80" w:type="dxa"/>
              <w:end w:w="120" w:type="dxa"/>
            </w:tcMar>
          </w:tcPr>
          <w:p>
            <w:r>
              <w:t>PL-07</w:t>
            </w:r>
          </w:p>
        </w:tc>
      </w:tr>
      <w:tr>
        <w:tc>
          <w:tcPr>
            <w:tcW w:type="dxa" w:w="2700"/>
            <w:vAlign w:val="center"/>
            <w:tcMar>
              <w:top w:w="80" w:type="dxa"/>
              <w:start w:w="120" w:type="dxa"/>
              <w:bottom w:w="80" w:type="dxa"/>
              <w:end w:w="120" w:type="dxa"/>
            </w:tcMar>
            <w:shd w:fill="E8EEF5"/>
          </w:tcPr>
          <w:p>
            <w:r>
              <w:rPr>
                <w:b/>
              </w:rPr>
              <w:t>Poziom</w:t>
            </w:r>
          </w:p>
        </w:tc>
        <w:tc>
          <w:tcPr>
            <w:tcW w:type="dxa" w:w="6660"/>
            <w:vAlign w:val="center"/>
            <w:tcMar>
              <w:top w:w="80" w:type="dxa"/>
              <w:start w:w="120" w:type="dxa"/>
              <w:bottom w:w="80" w:type="dxa"/>
              <w:end w:w="120" w:type="dxa"/>
            </w:tcMar>
          </w:tcPr>
          <w:p>
            <w:r>
              <w:t>ekstremalna</w:t>
            </w:r>
          </w:p>
        </w:tc>
      </w:tr>
      <w:tr>
        <w:tc>
          <w:tcPr>
            <w:tcW w:type="dxa" w:w="2700"/>
            <w:vAlign w:val="center"/>
            <w:tcMar>
              <w:top w:w="80" w:type="dxa"/>
              <w:start w:w="120" w:type="dxa"/>
              <w:bottom w:w="80" w:type="dxa"/>
              <w:end w:w="120" w:type="dxa"/>
            </w:tcMar>
            <w:shd w:fill="E8EEF5"/>
          </w:tcPr>
          <w:p>
            <w:r>
              <w:rPr>
                <w:b/>
              </w:rPr>
              <w:t>Sugerowany czas</w:t>
            </w:r>
          </w:p>
        </w:tc>
        <w:tc>
          <w:tcPr>
            <w:tcW w:type="dxa" w:w="6660"/>
            <w:vAlign w:val="center"/>
            <w:tcMar>
              <w:top w:w="80" w:type="dxa"/>
              <w:start w:w="120" w:type="dxa"/>
              <w:bottom w:w="80" w:type="dxa"/>
              <w:end w:w="120" w:type="dxa"/>
            </w:tcMar>
          </w:tcPr>
          <w:p>
            <w:r>
              <w:t>5–7 godzin</w:t>
            </w:r>
          </w:p>
        </w:tc>
      </w:tr>
      <w:tr>
        <w:tc>
          <w:tcPr>
            <w:tcW w:type="dxa" w:w="2700"/>
            <w:vAlign w:val="center"/>
            <w:tcMar>
              <w:top w:w="80" w:type="dxa"/>
              <w:start w:w="120" w:type="dxa"/>
              <w:bottom w:w="80" w:type="dxa"/>
              <w:end w:w="120" w:type="dxa"/>
            </w:tcMar>
            <w:shd w:fill="E8EEF5"/>
          </w:tcPr>
          <w:p>
            <w:r>
              <w:rPr>
                <w:b/>
              </w:rPr>
              <w:t>Role</w:t>
            </w:r>
          </w:p>
        </w:tc>
        <w:tc>
          <w:tcPr>
            <w:tcW w:type="dxa" w:w="6660"/>
            <w:vAlign w:val="center"/>
            <w:tcMar>
              <w:top w:w="80" w:type="dxa"/>
              <w:start w:w="120" w:type="dxa"/>
              <w:bottom w:w="80" w:type="dxa"/>
              <w:end w:w="120" w:type="dxa"/>
            </w:tcMar>
          </w:tcPr>
          <w:p>
            <w:r>
              <w:t>kandydatka; kontrkandydat; komitet; platforma; agencja; PKW</w:t>
            </w:r>
          </w:p>
        </w:tc>
      </w:tr>
    </w:tbl>
    <w:p/>
    <w:p>
      <w:pPr>
        <w:pStyle w:val="Heading2"/>
      </w:pPr>
      <w:r>
        <w:t>Stan faktyczny</w:t>
      </w:r>
    </w:p>
    <w:p>
      <w:r>
        <w:t>Trzy dni przed głosowaniem pojawia się film, na którym Lena Wilk rzekomo obiecuje deweloperowi zmianę planu za finansowanie kampanii. Film łączy prawdziwy wywiad z syntetyczną rozmową. Sponsoruje go fundacja formalnie niezależna od kontrkandydata, lecz oba podmioty obsługuje ta sama agencja i panel reklamowy.</w:t>
      </w:r>
    </w:p>
    <w:p>
      <w:r>
        <w:t>Kontrkandydat udostępnia film z komentarzem „mieszkańcy mają prawo wiedzieć”. Platforma oznacza treść jako sporną, lecz nie usuwa jej. Biblioteka reklam zawiera niepełne dane sponsora. Komitet Leny uruchamia szczególny tryb wyborczy i przygotowuje roszczenia o dobra osobiste.</w:t>
      </w:r>
    </w:p>
    <w:p>
      <w:r>
        <w:t>Prywatny ekspert wykrywa ślady syntezy, ale nie ma pliku źródłowego; drugi wskazuje na artefakty kompresji. Do ciszy pozostają godziny, a kopie krążą w komunikatorach.</w:t>
      </w:r>
    </w:p>
    <w:p>
      <w:pPr>
        <w:pStyle w:val="Heading2"/>
      </w:pPr>
      <w:r>
        <w:t>Polecenie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Zadanie: </w:t>
            </w:r>
            <w:r>
              <w:t>Przygotuj memorandum obejmujące dopuszczalność, prawo właściwe, analizę materialną, argumenty obu stron, ryzyka dowodowe oraz proponowane rozstrzygnięcie. Nie zakładaj faktów niewskazanych w kazusie.</w:t>
            </w:r>
          </w:p>
        </w:tc>
      </w:tr>
    </w:tbl>
    <w:p>
      <w:pPr>
        <w:spacing w:after="0"/>
      </w:pPr>
    </w:p>
    <w:p>
      <w:pPr>
        <w:pStyle w:val="Heading2"/>
      </w:pPr>
      <w:r>
        <w:t>Pytania problemowe</w:t>
      </w:r>
    </w:p>
    <w:p>
      <w:pPr>
        <w:spacing w:after="80" w:line="300" w:lineRule="auto"/>
        <w:numPr>
          <w:ilvl w:val="0"/>
          <w:numId w:val="24"/>
        </w:numPr>
      </w:pPr>
      <w:r>
        <w:t>Czy film i jego udostępnienie podlegają szczególnemu trybowi wyborczemu i wobec kogo?</w:t>
      </w:r>
    </w:p>
    <w:p>
      <w:pPr>
        <w:spacing w:after="80" w:line="300" w:lineRule="auto"/>
        <w:numPr>
          <w:ilvl w:val="0"/>
          <w:numId w:val="24"/>
        </w:numPr>
      </w:pPr>
      <w:r>
        <w:t>Jak ustalić koordynację fundacji, agencji, komitetu i kontrkandydata?</w:t>
      </w:r>
    </w:p>
    <w:p>
      <w:pPr>
        <w:spacing w:after="80" w:line="300" w:lineRule="auto"/>
        <w:numPr>
          <w:ilvl w:val="0"/>
          <w:numId w:val="24"/>
        </w:numPr>
      </w:pPr>
      <w:r>
        <w:t>Jakie roszczenia chronią dobra osobiste, wizerunek, głos i utwór?</w:t>
      </w:r>
    </w:p>
    <w:p>
      <w:pPr>
        <w:spacing w:after="80" w:line="300" w:lineRule="auto"/>
        <w:numPr>
          <w:ilvl w:val="0"/>
          <w:numId w:val="24"/>
        </w:numPr>
      </w:pPr>
      <w:r>
        <w:t>Jakie obowiązki ma platforma wobec zgłoszenia, reklamy i zachowania danych?</w:t>
      </w:r>
    </w:p>
    <w:p>
      <w:pPr>
        <w:spacing w:after="80" w:line="300" w:lineRule="auto"/>
        <w:numPr>
          <w:ilvl w:val="0"/>
          <w:numId w:val="24"/>
        </w:numPr>
      </w:pPr>
      <w:r>
        <w:t>Jaki standard dowodu i środek ochrony są możliwe w trybie pilnym?</w:t>
      </w:r>
    </w:p>
    <w:p>
      <w:pPr>
        <w:pStyle w:val="Heading2"/>
      </w:pPr>
      <w:r>
        <w:t>Oczekiwany format pracy</w:t>
      </w:r>
    </w:p>
    <w:p>
      <w:pPr>
        <w:pStyle w:val="ListBullet"/>
      </w:pPr>
      <w:r>
        <w:t>maksymalnie 2500 słów</w:t>
      </w:r>
    </w:p>
    <w:p>
      <w:pPr>
        <w:pStyle w:val="ListBullet"/>
      </w:pPr>
      <w:r>
        <w:t>teza wstępna i konkluzja</w:t>
      </w:r>
    </w:p>
    <w:p>
      <w:pPr>
        <w:pStyle w:val="ListBullet"/>
      </w:pPr>
      <w:r>
        <w:t>macierz argumentów stron</w:t>
      </w:r>
    </w:p>
    <w:p>
      <w:pPr>
        <w:pStyle w:val="ListBullet"/>
      </w:pPr>
      <w:r>
        <w:t>lista braków faktycznych i dowodów rozstrzygających</w:t>
      </w:r>
    </w:p>
    <w:p>
      <w:pPr>
        <w:pStyle w:val="ListBullet"/>
      </w:pPr>
      <w:r>
        <w:t>propozycja środka ochrony lub sentencji</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45">
        <w:r>
          <w:rPr>
            <w:color w:val="2E74B5"/>
            <w:u w:val="single"/>
          </w:rPr>
          <w:t>Kodeks wyborczy — ELI</w:t>
        </w:r>
      </w:hyperlink>
    </w:p>
    <w:p>
      <w:pPr>
        <w:pStyle w:val="ListBullet"/>
      </w:pPr>
      <w:hyperlink r:id="rId33">
        <w:r>
          <w:rPr>
            <w:color w:val="2E74B5"/>
            <w:u w:val="single"/>
          </w:rPr>
          <w:t>Kodeks cywilny — ELI</w:t>
        </w:r>
      </w:hyperlink>
    </w:p>
    <w:p>
      <w:pPr>
        <w:pStyle w:val="ListBullet"/>
      </w:pPr>
      <w:hyperlink r:id="rId46">
        <w:r>
          <w:rPr>
            <w:color w:val="2E74B5"/>
            <w:u w:val="single"/>
          </w:rPr>
          <w:t>Prawo autorskie — ELI</w:t>
        </w:r>
      </w:hyperlink>
    </w:p>
    <w:p>
      <w:pPr>
        <w:pStyle w:val="ListBullet"/>
      </w:pPr>
      <w:hyperlink r:id="rId47">
        <w:r>
          <w:rPr>
            <w:color w:val="2E74B5"/>
            <w:u w:val="single"/>
          </w:rPr>
          <w:t>Digital Services Act — EUR-Lex</w:t>
        </w:r>
      </w:hyperlink>
    </w:p>
    <w:p>
      <w:pPr>
        <w:pStyle w:val="Heading1"/>
        <w:pageBreakBefore/>
      </w:pPr>
      <w:r>
        <w:t>Informacja o charakterze materiału</w:t>
      </w:r>
    </w:p>
    <w:p>
      <w:r>
        <w:t>Część międzynarodowa zawiera autorskie, skrócone adaptacje dydaktyczne oficjalnych problemów konkursowych. Część polska obejmuje w pełni autorskie, fikcyjne stany faktyczne. Obie części wymagają samodzielnej weryfikacji prawa obowiązującego w dniu rozwiązania.</w:t>
      </w:r>
    </w:p>
    <w:p>
      <w:r>
        <w:t>Dokument służy ćwiczeniu issue spotting, argumentacji adversarialnej i projektowania środków ochrony. Nie jest opinią prawną w konkretnej sprawie.</w:t>
      </w:r>
    </w:p>
    <w:p>
      <w:r>
        <w:t>Materiał techniczno-szkoleniowy dla prawników. Przed wykorzystaniem zawodowym wymaga sprawdzenia aktualnego brzmienia przepisów, właściwości, terminów i orzecznictwa.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color w:val="5D656F"/>
        <w:sz w:val="18"/>
      </w:rPr>
      <w:t xml:space="preserve">Strona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D656F"/>
        <w:sz w:val="18"/>
      </w:rPr>
      <w:t>Bank kazusów wieloaspektowych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300" w:lineRule="auto"/>
      </w:pPr>
    </w:lvl>
  </w:abstractNum>
  <w:num w:numId="17">
    <w:abstractNumId w:val="16"/>
  </w:num>
  <w:abstractNum w:abstractNumId="17">
    <w:multiLevelType w:val="singleLevel"/>
    <w:lvl w:ilvl="0">
      <w:start w:val="1"/>
      <w:numFmt w:val="decimal"/>
      <w:lvlText w:val="%1."/>
      <w:suff w:val="tab"/>
      <w:pPr>
        <w:tabs>
          <w:tab w:val="num" w:pos="540"/>
        </w:tabs>
        <w:ind w:left="540" w:hanging="270"/>
        <w:spacing w:after="80" w:line="300" w:lineRule="auto"/>
      </w:pPr>
    </w:lvl>
  </w:abstractNum>
  <w:num w:numId="18">
    <w:abstractNumId w:val="17"/>
  </w:num>
  <w:abstractNum w:abstractNumId="18">
    <w:multiLevelType w:val="singleLevel"/>
    <w:lvl w:ilvl="0">
      <w:start w:val="1"/>
      <w:numFmt w:val="decimal"/>
      <w:lvlText w:val="%1."/>
      <w:suff w:val="tab"/>
      <w:pPr>
        <w:tabs>
          <w:tab w:val="num" w:pos="540"/>
        </w:tabs>
        <w:ind w:left="540" w:hanging="270"/>
        <w:spacing w:after="80" w:line="300" w:lineRule="auto"/>
      </w:pPr>
    </w:lvl>
  </w:abstractNum>
  <w:num w:numId="19">
    <w:abstractNumId w:val="18"/>
  </w:num>
  <w:abstractNum w:abstractNumId="19">
    <w:multiLevelType w:val="singleLevel"/>
    <w:lvl w:ilvl="0">
      <w:start w:val="1"/>
      <w:numFmt w:val="decimal"/>
      <w:lvlText w:val="%1."/>
      <w:suff w:val="tab"/>
      <w:pPr>
        <w:tabs>
          <w:tab w:val="num" w:pos="540"/>
        </w:tabs>
        <w:ind w:left="540" w:hanging="270"/>
        <w:spacing w:after="80" w:line="300" w:lineRule="auto"/>
      </w:pPr>
    </w:lvl>
  </w:abstractNum>
  <w:num w:numId="20">
    <w:abstractNumId w:val="19"/>
  </w:num>
  <w:abstractNum w:abstractNumId="20">
    <w:multiLevelType w:val="singleLevel"/>
    <w:lvl w:ilvl="0">
      <w:start w:val="1"/>
      <w:numFmt w:val="decimal"/>
      <w:lvlText w:val="%1."/>
      <w:suff w:val="tab"/>
      <w:pPr>
        <w:tabs>
          <w:tab w:val="num" w:pos="540"/>
        </w:tabs>
        <w:ind w:left="540" w:hanging="270"/>
        <w:spacing w:after="80" w:line="300" w:lineRule="auto"/>
      </w:pPr>
    </w:lvl>
  </w:abstractNum>
  <w:num w:numId="21">
    <w:abstractNumId w:val="20"/>
  </w:num>
  <w:abstractNum w:abstractNumId="21">
    <w:multiLevelType w:val="singleLevel"/>
    <w:lvl w:ilvl="0">
      <w:start w:val="1"/>
      <w:numFmt w:val="decimal"/>
      <w:lvlText w:val="%1."/>
      <w:suff w:val="tab"/>
      <w:pPr>
        <w:tabs>
          <w:tab w:val="num" w:pos="540"/>
        </w:tabs>
        <w:ind w:left="540" w:hanging="270"/>
        <w:spacing w:after="80" w:line="300" w:lineRule="auto"/>
      </w:pPr>
    </w:lvl>
  </w:abstractNum>
  <w:num w:numId="22">
    <w:abstractNumId w:val="21"/>
  </w:num>
  <w:abstractNum w:abstractNumId="22">
    <w:multiLevelType w:val="singleLevel"/>
    <w:lvl w:ilvl="0">
      <w:start w:val="1"/>
      <w:numFmt w:val="decimal"/>
      <w:lvlText w:val="%1."/>
      <w:suff w:val="tab"/>
      <w:pPr>
        <w:tabs>
          <w:tab w:val="num" w:pos="540"/>
        </w:tabs>
        <w:ind w:left="540" w:hanging="270"/>
        <w:spacing w:after="80" w:line="300" w:lineRule="auto"/>
      </w:pPr>
    </w:lvl>
  </w:abstractNum>
  <w:num w:numId="23">
    <w:abstractNumId w:val="22"/>
  </w:num>
  <w:abstractNum w:abstractNumId="23">
    <w:multiLevelType w:val="singleLevel"/>
    <w:lvl w:ilvl="0">
      <w:start w:val="1"/>
      <w:numFmt w:val="decimal"/>
      <w:lvlText w:val="%1."/>
      <w:suff w:val="tab"/>
      <w:pPr>
        <w:tabs>
          <w:tab w:val="num" w:pos="540"/>
        </w:tabs>
        <w:ind w:left="540" w:hanging="270"/>
        <w:spacing w:after="80" w:line="300" w:lineRule="auto"/>
      </w:pPr>
    </w:lvl>
  </w:abstract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uropeanlawmootcourt.eu/the-case/" TargetMode="External"/><Relationship Id="rId12" Type="http://schemas.openxmlformats.org/officeDocument/2006/relationships/hyperlink" Target="https://europeanlawmootcourt.eu/wp-content/uploads/2026/09/Case-26-27.pdf" TargetMode="External"/><Relationship Id="rId13" Type="http://schemas.openxmlformats.org/officeDocument/2006/relationships/hyperlink" Target="https://www.ilsa.org/History/Jessup%202026/Problem.pdf" TargetMode="External"/><Relationship Id="rId14" Type="http://schemas.openxmlformats.org/officeDocument/2006/relationships/hyperlink" Target="https://www.ilsa.org/History/Jessup%202026/BenchMemo.pdf" TargetMode="External"/><Relationship Id="rId15" Type="http://schemas.openxmlformats.org/officeDocument/2006/relationships/hyperlink" Target="https://www.law.ox.ac.uk/sites/default/files/2025-09/2025-2026_Price%20Media%20Law%20Moot%20Court%20Competition%20Case.pdf" TargetMode="External"/><Relationship Id="rId16" Type="http://schemas.openxmlformats.org/officeDocument/2006/relationships/hyperlink" Target="https://www.iccmoot.com/index.php/2025/08/25/our-2026-iba-iccmcc-case-and-rules-of-procedure-are-live/" TargetMode="External"/><Relationship Id="rId17" Type="http://schemas.openxmlformats.org/officeDocument/2006/relationships/hyperlink" Target="https://www.ibanet.org/Australias-Bond-University-team-wins-2026-IBA-ICC-Moot-Court-Competition-in-The-Hague" TargetMode="External"/><Relationship Id="rId18" Type="http://schemas.openxmlformats.org/officeDocument/2006/relationships/hyperlink" Target="https://www.vismoot.org/wp-content/uploads/2025/10/33rd-Vis-Moot_Problem_FINAL.pdf" TargetMode="External"/><Relationship Id="rId19" Type="http://schemas.openxmlformats.org/officeDocument/2006/relationships/hyperlink" Target="https://www.vismoot.org/wp-content/uploads/2026/01/33rd_Vis-Moot_Arbitrator-Brief_FINAL.pdf" TargetMode="External"/><Relationship Id="rId20" Type="http://schemas.openxmlformats.org/officeDocument/2006/relationships/hyperlink" Target="https://iisl.space/mlslmcc-2026/" TargetMode="External"/><Relationship Id="rId21" Type="http://schemas.openxmlformats.org/officeDocument/2006/relationships/hyperlink" Target="https://iisl.space/wp-content/uploads/2025/08/2026_MLMCC_Summary-Inkaton-v-Accadia.pdf" TargetMode="External"/><Relationship Id="rId22" Type="http://schemas.openxmlformats.org/officeDocument/2006/relationships/hyperlink" Target="https://www.stetson.edu/law/international/iemcc/" TargetMode="External"/><Relationship Id="rId23" Type="http://schemas.openxmlformats.org/officeDocument/2006/relationships/hyperlink" Target="https://www.stetson.edu/law/international/iemcc/media/2025-stetson-iemcc-record--updated-10.16.2025-.pdf" TargetMode="External"/><Relationship Id="rId24" Type="http://schemas.openxmlformats.org/officeDocument/2006/relationships/hyperlink" Target="https://eli.gov.pl/eli/DU/1974/141/ogl" TargetMode="External"/><Relationship Id="rId25" Type="http://schemas.openxmlformats.org/officeDocument/2006/relationships/hyperlink" Target="https://eli.gov.pl/eli/DU/2024/928/ogl" TargetMode="External"/><Relationship Id="rId26" Type="http://schemas.openxmlformats.org/officeDocument/2006/relationships/hyperlink" Target="https://eur-lex.europa.eu/eli/reg/2016/679/oj" TargetMode="External"/><Relationship Id="rId27" Type="http://schemas.openxmlformats.org/officeDocument/2006/relationships/hyperlink" Target="https://eur-lex.europa.eu/eli/reg/2024/1689/oj" TargetMode="External"/><Relationship Id="rId28" Type="http://schemas.openxmlformats.org/officeDocument/2006/relationships/hyperlink" Target="https://eli.gov.pl/eli/DU/2003/717/ogl" TargetMode="External"/><Relationship Id="rId29" Type="http://schemas.openxmlformats.org/officeDocument/2006/relationships/hyperlink" Target="https://eli.gov.pl/eli/DU/1994/414/ogl" TargetMode="External"/><Relationship Id="rId30" Type="http://schemas.openxmlformats.org/officeDocument/2006/relationships/hyperlink" Target="https://eli.gov.pl/eli/DU/2008/1227/ogl" TargetMode="External"/><Relationship Id="rId31" Type="http://schemas.openxmlformats.org/officeDocument/2006/relationships/hyperlink" Target="https://eli.gov.pl/eli/DU/2017/1566/ogl" TargetMode="External"/><Relationship Id="rId32" Type="http://schemas.openxmlformats.org/officeDocument/2006/relationships/hyperlink" Target="https://eli.gov.pl/eli/DU/2023/326/ogl" TargetMode="External"/><Relationship Id="rId33" Type="http://schemas.openxmlformats.org/officeDocument/2006/relationships/hyperlink" Target="https://eli.gov.pl/eli/DU/1964/93/ogl" TargetMode="External"/><Relationship Id="rId34" Type="http://schemas.openxmlformats.org/officeDocument/2006/relationships/hyperlink" Target="https://eli.gov.pl/eli/DU/2003/535/ogl" TargetMode="External"/><Relationship Id="rId35" Type="http://schemas.openxmlformats.org/officeDocument/2006/relationships/hyperlink" Target="https://eli.gov.pl/eli/DU/1992/86/ogl" TargetMode="External"/><Relationship Id="rId36" Type="http://schemas.openxmlformats.org/officeDocument/2006/relationships/hyperlink" Target="https://eli.gov.pl/eli/DU/2009/417/ogl" TargetMode="External"/><Relationship Id="rId37" Type="http://schemas.openxmlformats.org/officeDocument/2006/relationships/hyperlink" Target="https://eli.gov.pl/eli/DU/2011/654/ogl" TargetMode="External"/><Relationship Id="rId38" Type="http://schemas.openxmlformats.org/officeDocument/2006/relationships/hyperlink" Target="https://eli.gov.pl/eli/DU/2022/974/ogl" TargetMode="External"/><Relationship Id="rId39" Type="http://schemas.openxmlformats.org/officeDocument/2006/relationships/hyperlink" Target="https://eli.gov.pl/eli/DU/2019/2019/ogl" TargetMode="External"/><Relationship Id="rId40" Type="http://schemas.openxmlformats.org/officeDocument/2006/relationships/hyperlink" Target="https://eli.gov.pl/eli/DU/2018/1560/ogl" TargetMode="External"/><Relationship Id="rId41" Type="http://schemas.openxmlformats.org/officeDocument/2006/relationships/hyperlink" Target="https://eli.gov.pl/eli/DU/2004/535/ogl" TargetMode="External"/><Relationship Id="rId42" Type="http://schemas.openxmlformats.org/officeDocument/2006/relationships/hyperlink" Target="https://eli.gov.pl/eli/DU/1999/930/ogl" TargetMode="External"/><Relationship Id="rId43" Type="http://schemas.openxmlformats.org/officeDocument/2006/relationships/hyperlink" Target="https://eli.gov.pl/eli/DU/2018/723/ogl" TargetMode="External"/><Relationship Id="rId44" Type="http://schemas.openxmlformats.org/officeDocument/2006/relationships/hyperlink" Target="https://eli.gov.pl/eli/DU/2000/1037/ogl" TargetMode="External"/><Relationship Id="rId45" Type="http://schemas.openxmlformats.org/officeDocument/2006/relationships/hyperlink" Target="https://eli.gov.pl/eli/DU/2011/112/ogl" TargetMode="External"/><Relationship Id="rId46" Type="http://schemas.openxmlformats.org/officeDocument/2006/relationships/hyperlink" Target="https://eli.gov.pl/eli/DU/1994/83/ogl" TargetMode="External"/><Relationship Id="rId47" Type="http://schemas.openxmlformats.org/officeDocument/2006/relationships/hyperlink" Target="https://eur-lex.europa.eu/eli/reg/2022/2065/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