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after="320"/>
        <w:jc w:val="center"/>
      </w:pPr>
      <w:r>
        <w:rPr>
          <w:b/>
          <w:color w:val="997013"/>
          <w:sz w:val="20"/>
        </w:rPr>
        <w:t>KLUCZ ODPOWIEDZI</w:t>
      </w:r>
    </w:p>
    <w:p>
      <w:pPr>
        <w:pStyle w:val="Title"/>
        <w:jc w:val="center"/>
      </w:pPr>
      <w:r>
        <w:t>Kazusy prawne wieloaspektowe</w:t>
      </w:r>
    </w:p>
    <w:p>
      <w:pPr>
        <w:pStyle w:val="Subtitle"/>
        <w:jc w:val="center"/>
      </w:pPr>
      <w:r>
        <w:t>Model analizy, argumenty stron i rubryki oceniania</w:t>
      </w:r>
    </w:p>
    <w:p>
      <w:pPr>
        <w:spacing w:before="1400"/>
        <w:jc w:val="center"/>
      </w:pPr>
      <w:r>
        <w:rPr>
          <w:color w:val="5D656F"/>
          <w:sz w:val="21"/>
        </w:rPr>
        <w:t>Klucz autorski — nie jest oficjalnym stanowiskiem organizatorów moot courts</w:t>
      </w:r>
    </w:p>
    <w:p>
      <w:pPr>
        <w:spacing w:before="720"/>
        <w:jc w:val="center"/>
      </w:pPr>
      <w:r>
        <w:rPr>
          <w:b/>
          <w:color w:val="0B2545"/>
          <w:sz w:val="22"/>
        </w:rPr>
        <w:t>Materiał szkoleniowy dla prawników</w:t>
      </w:r>
    </w:p>
    <w:p>
      <w:r>
        <w:br w:type="page"/>
      </w:r>
    </w:p>
    <w:p>
      <w:pPr>
        <w:pStyle w:val="Heading1"/>
      </w:pPr>
      <w:r>
        <w:t>Jak czytać klucz</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Ważne: </w:t>
            </w:r>
            <w:r>
              <w:t>W problemach moot court często nie istnieje jedna bezsporna odpowiedź. Klucz nagradza poprawne rozpoznanie reżimów, dyscyplinę przesłanek, pracę na faktach, odpowiedź na kontrargument i adekwatny środek ochrony. Odmienna konkluzja może otrzymać pełne punkty, jeżeli jest konsekwentnie uzasadniona.</w:t>
            </w:r>
          </w:p>
        </w:tc>
      </w:tr>
    </w:tbl>
    <w:p>
      <w:pPr>
        <w:spacing w:after="0"/>
      </w:pPr>
    </w:p>
    <w:p>
      <w:pPr>
        <w:pStyle w:val="Heading2"/>
      </w:pPr>
      <w:r>
        <w:t>Skala ogólna</w:t>
      </w:r>
    </w:p>
    <w:p>
      <w:pPr>
        <w:pStyle w:val="ListBullet"/>
      </w:pPr>
      <w:r>
        <w:t>90–100: analiza kompletna, hierarchiczna, adversarialna i operacyjna.</w:t>
      </w:r>
    </w:p>
    <w:p>
      <w:pPr>
        <w:pStyle w:val="ListBullet"/>
      </w:pPr>
      <w:r>
        <w:t>75–89: analiza bardzo dobra, z drobnymi lukami w kompetencjach, dowodach lub środkach.</w:t>
      </w:r>
    </w:p>
    <w:p>
      <w:pPr>
        <w:pStyle w:val="ListBullet"/>
      </w:pPr>
      <w:r>
        <w:t>60–74: poprawne rozpoznanie głównych problemów, lecz nierówna analiza przesłanek.</w:t>
      </w:r>
    </w:p>
    <w:p>
      <w:pPr>
        <w:pStyle w:val="ListBullet"/>
      </w:pPr>
      <w:r>
        <w:t>40–59: częściowy issue spotting; wnioski przeważają nad analizą.</w:t>
      </w:r>
    </w:p>
    <w:p>
      <w:pPr>
        <w:pStyle w:val="ListBullet"/>
      </w:pPr>
      <w:r>
        <w:t>0–39: pominięcie reżimów podstawowych, dopowiadanie faktów lub brak argumentu przeciwnego.</w:t>
      </w:r>
    </w:p>
    <w:p>
      <w:pPr>
        <w:pStyle w:val="Heading2"/>
      </w:pPr>
      <w:r>
        <w:t>Błędy wspólne</w:t>
      </w:r>
    </w:p>
    <w:p>
      <w:pPr>
        <w:pStyle w:val="ListBullet"/>
      </w:pPr>
      <w:r>
        <w:t>traktowanie wszczęcia postępowania jak ostatecznej decyzji</w:t>
      </w:r>
    </w:p>
    <w:p>
      <w:pPr>
        <w:pStyle w:val="ListBullet"/>
      </w:pPr>
      <w:r>
        <w:t>mieszanie jurysdykcji z prawem materialnym i wykonalnością</w:t>
      </w:r>
    </w:p>
    <w:p>
      <w:pPr>
        <w:pStyle w:val="ListBullet"/>
      </w:pPr>
      <w:r>
        <w:t>przypisanie spółki państwu wyłącznie na podstawie własności</w:t>
      </w:r>
    </w:p>
    <w:p>
      <w:pPr>
        <w:pStyle w:val="ListBullet"/>
      </w:pPr>
      <w:r>
        <w:t>automatyczne uznanie technologii lub cyberataku za siłę wyższą</w:t>
      </w:r>
    </w:p>
    <w:p>
      <w:pPr>
        <w:pStyle w:val="ListBullet"/>
      </w:pPr>
      <w:r>
        <w:t>pomijanie środka naprawczego i skutku proceduralnego</w:t>
      </w:r>
    </w:p>
    <w:p>
      <w:pPr>
        <w:pStyle w:val="ListBullet"/>
      </w:pPr>
      <w:r>
        <w:t>podawanie jednej konkluzji bez najmocniejszego kontrargumentu</w:t>
      </w:r>
    </w:p>
    <w:p>
      <w:pPr>
        <w:pStyle w:val="Heading1"/>
        <w:pageBreakBefore/>
      </w:pPr>
      <w:r>
        <w:t>K-01  Heliox przeciwko Królestwu Solarii</w:t>
      </w:r>
    </w:p>
    <w:p>
      <w:r>
        <w:rPr>
          <w:b/>
        </w:rPr>
        <w:t>Transformacja energetyczna, pomoc państwa i arbitraż inwestycyjny</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Najsilniejsze rozwiązanie rozdziela trzy płaszczyzny. Wadliwa konsultacja nie powinna automatycznie unicestwiać wszystkich indywidualnych certyfikatów, lecz wzmacnia kontrolę legalności i środków naprawczych. Odzyskanie pomocy wymaga podstawy w kompetencji właściwego organu oraz ustalenia rzeczywistej korzyści; ryczałt jednakowy dla technologii o odmiennych kosztach jest szczególnie podatny na zarzut nieproporcjonalności. Wyrok arbitrażowy nie powinien być uznany za nieważny wyłącznie dlatego, że dotyka pomocy państwa, ale wykonanie może wymagać skoordynowania z decyzją Komisji. Sąd powinien szukać środka czasowego chroniącego obie wartości, zamiast definitywnie zamykać jedną ze ścieżek.</w:t>
            </w:r>
          </w:p>
        </w:tc>
      </w:tr>
    </w:tbl>
    <w:p>
      <w:pPr>
        <w:spacing w:after="0"/>
      </w:pPr>
    </w:p>
    <w:p>
      <w:pPr>
        <w:pStyle w:val="Heading2"/>
      </w:pPr>
      <w:r>
        <w:t>Mapa zagadnień</w:t>
      </w:r>
    </w:p>
    <w:p>
      <w:r>
        <w:rPr>
          <w:b/>
          <w:color w:val="0B2545"/>
        </w:rPr>
        <w:t xml:space="preserve">Dopuszczalność i pierwszeństwo. </w:t>
      </w:r>
      <w:r>
        <w:t>Rozdziel kompetencje Komisji, sądu krajowego i trybunału arbitrażowego. Nie utożsamiaj wszczęcia postępowania Komisji z decyzją końcową.</w:t>
      </w:r>
    </w:p>
    <w:p>
      <w:r>
        <w:rPr>
          <w:b/>
          <w:color w:val="0B2545"/>
        </w:rPr>
        <w:t xml:space="preserve">Aarhus i skutki proceduralne. </w:t>
      </w:r>
      <w:r>
        <w:t>Zbadaj zakres obowiązku konsultacji, związek uchybienia z ważnością środka oraz ochronę sytuacji prawnych powstałych przed stwierdzeniem naruszenia.</w:t>
      </w:r>
    </w:p>
    <w:p>
      <w:r>
        <w:rPr>
          <w:b/>
          <w:color w:val="0B2545"/>
        </w:rPr>
        <w:t xml:space="preserve">Pomoc państwa i odzyskanie. </w:t>
      </w:r>
      <w:r>
        <w:t>Przeanalizuj istnienie selektywnej korzyści, źródło finansowania, wpływ na konkurencję oraz wymóg indywidualnego ustalenia korzyści.</w:t>
      </w:r>
    </w:p>
    <w:p>
      <w:r>
        <w:rPr>
          <w:b/>
          <w:color w:val="0B2545"/>
        </w:rPr>
        <w:t xml:space="preserve">Zaufanie i proporcjonalność. </w:t>
      </w:r>
      <w:r>
        <w:t>Oceń znaczenie certyfikatów, stabilizacji ustawowej, ostrzeżeń ekologów i publicznej opinii ministerstwa. Zestaw to z obowiązkiem lojalnej współpracy.</w:t>
      </w:r>
    </w:p>
    <w:p>
      <w:r>
        <w:rPr>
          <w:b/>
          <w:color w:val="0B2545"/>
        </w:rPr>
        <w:t xml:space="preserve">Arbitraż i egzekucja. </w:t>
      </w:r>
      <w:r>
        <w:t>Oddziel jurysdykcję arbitrażową, odpowiedzialność odszkodowawczą i dopuszczalność wykonania wyroku w konkretnym państwie.</w:t>
      </w:r>
    </w:p>
    <w:p>
      <w:pPr>
        <w:pStyle w:val="Heading2"/>
      </w:pPr>
      <w:r>
        <w:t>Najsilniejsze argumenty strony A</w:t>
      </w:r>
    </w:p>
    <w:p>
      <w:pPr>
        <w:pStyle w:val="ListBullet"/>
      </w:pPr>
      <w:r>
        <w:t>Inwestor z państwa trzeciego korzysta z odrębnej ochrony traktatowej; nie jest to klasyczny spór wewnątrzunijny.</w:t>
      </w:r>
    </w:p>
    <w:p>
      <w:pPr>
        <w:pStyle w:val="ListBullet"/>
      </w:pPr>
      <w:r>
        <w:t>Imienne certyfikaty i wyraźna klauzula stabilizacyjna tworzyły silną podstawę zaufania, a ryzyko regulacyjne nie obejmowało arbitralnego odzyskania ryczałtowego.</w:t>
      </w:r>
    </w:p>
    <w:p>
      <w:pPr>
        <w:pStyle w:val="ListBullet"/>
      </w:pPr>
      <w:r>
        <w:t>Samo wszczęcie postępowania Komisji nie przesądzało, że wszystkie świadczenia były pomocą ani że każda korzyść była niezgodna.</w:t>
      </w:r>
    </w:p>
    <w:p>
      <w:pPr>
        <w:pStyle w:val="ListBullet"/>
      </w:pPr>
      <w:r>
        <w:t>Odmowa wykonania wyroku bez jasnej podstawy i bez kontroli proporcjonalności podważałaby skuteczność ochrony inwestycji.</w:t>
      </w:r>
    </w:p>
    <w:p>
      <w:pPr>
        <w:pStyle w:val="Heading2"/>
      </w:pPr>
      <w:r>
        <w:t>Najsilniejsze argumenty strony B</w:t>
      </w:r>
    </w:p>
    <w:p>
      <w:pPr>
        <w:pStyle w:val="ListBullet"/>
      </w:pPr>
      <w:r>
        <w:t>Inwestor znał zarzuty dotyczące konsultacji i pomocy państwa; zaufanie do niezgłoszonego programu nie może być bezwarunkowe.</w:t>
      </w:r>
    </w:p>
    <w:p>
      <w:pPr>
        <w:pStyle w:val="ListBullet"/>
      </w:pPr>
      <w:r>
        <w:t>Państwo i sądy krajowe nie mogą przez odszkodowanie odtworzyć korzyści, której prawo UE nakazuje zaprzestać lub odzyskać.</w:t>
      </w:r>
    </w:p>
    <w:p>
      <w:pPr>
        <w:pStyle w:val="ListBullet"/>
      </w:pPr>
      <w:r>
        <w:t>Ochrona traktatowa nie usuwa obowiązków Solarii wynikających z członkostwa w UE ani kompetencji Komisji.</w:t>
      </w:r>
    </w:p>
    <w:p>
      <w:pPr>
        <w:pStyle w:val="ListBullet"/>
      </w:pPr>
      <w:r>
        <w:t>Środki tymczasowe mogą być konieczne dla zachowania skuteczności przyszłej decyzji Komisji.</w:t>
      </w:r>
    </w:p>
    <w:p>
      <w:pPr>
        <w:pStyle w:val="Heading2"/>
      </w:pPr>
      <w:r>
        <w:t>Proponowana sekwencja odpowiedzi</w:t>
      </w:r>
    </w:p>
    <w:p>
      <w:pPr>
        <w:spacing w:after="80" w:line="300" w:lineRule="auto"/>
        <w:numPr>
          <w:ilvl w:val="0"/>
          <w:numId w:val="10"/>
        </w:numPr>
      </w:pPr>
      <w:r>
        <w:t>Ustal jurysdykcję, dopuszczalność i zakres kompetencji każdego organu.</w:t>
      </w:r>
    </w:p>
    <w:p>
      <w:pPr>
        <w:spacing w:after="80" w:line="300" w:lineRule="auto"/>
        <w:numPr>
          <w:ilvl w:val="0"/>
          <w:numId w:val="10"/>
        </w:numPr>
      </w:pPr>
      <w:r>
        <w:t>Zbuduj listę przesłanek dla każdego roszczenia i zarzutu.</w:t>
      </w:r>
    </w:p>
    <w:p>
      <w:pPr>
        <w:spacing w:after="80" w:line="300" w:lineRule="auto"/>
        <w:numPr>
          <w:ilvl w:val="0"/>
          <w:numId w:val="10"/>
        </w:numPr>
      </w:pPr>
      <w:r>
        <w:t>Przypisz fakty oraz braki dowodowe do poszczególnych przesłanek.</w:t>
      </w:r>
    </w:p>
    <w:p>
      <w:pPr>
        <w:spacing w:after="80" w:line="300" w:lineRule="auto"/>
        <w:numPr>
          <w:ilvl w:val="0"/>
          <w:numId w:val="10"/>
        </w:numPr>
      </w:pPr>
      <w:r>
        <w:t>Przedstaw najmocniejszy argument strony przeciwnej i replikę.</w:t>
      </w:r>
    </w:p>
    <w:p>
      <w:pPr>
        <w:spacing w:after="80" w:line="300" w:lineRule="auto"/>
        <w:numPr>
          <w:ilvl w:val="0"/>
          <w:numId w:val="10"/>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Identyfikacja reżimów i kompetencji</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Aarhus i skutki uchybień</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Pomoc państwa i odzyskanie</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Zaufanie, równość, proporcjonalność</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Arbitraż i egzekucja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Środki i konstrukcja opinii</w:t>
            </w:r>
          </w:p>
        </w:tc>
        <w:tc>
          <w:tcPr>
            <w:tcW w:type="dxa" w:w="1200"/>
            <w:vAlign w:val="center"/>
            <w:tcMar>
              <w:top w:w="80" w:type="dxa"/>
              <w:start w:w="120" w:type="dxa"/>
              <w:bottom w:w="80" w:type="dxa"/>
              <w:end w:w="120" w:type="dxa"/>
            </w:tcMar>
          </w:tcPr>
          <w:p>
            <w:pPr>
              <w:jc w:val="center"/>
            </w:pPr>
            <w:r>
              <w:t>10</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11">
        <w:r>
          <w:rPr>
            <w:color w:val="2E74B5"/>
            <w:u w:val="single"/>
          </w:rPr>
          <w:t>Oficjalna strona ELMC</w:t>
        </w:r>
      </w:hyperlink>
    </w:p>
    <w:p>
      <w:pPr>
        <w:pStyle w:val="ListBullet"/>
      </w:pPr>
      <w:hyperlink r:id="rId12">
        <w:r>
          <w:rPr>
            <w:color w:val="2E74B5"/>
            <w:u w:val="single"/>
          </w:rPr>
          <w:t>Pełny problem ELMC 2026–2027</w:t>
        </w:r>
      </w:hyperlink>
    </w:p>
    <w:p>
      <w:pPr>
        <w:pStyle w:val="Heading1"/>
        <w:pageBreakBefore/>
      </w:pPr>
      <w:r>
        <w:t>K-02  Spór o Wąwóz Gordyjski</w:t>
      </w:r>
    </w:p>
    <w:p>
      <w:r>
        <w:rPr>
          <w:b/>
        </w:rPr>
        <w:t>Ludność rdzenna, minerały krytyczne i odpowiedzialność państwa</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Rozstrzygnięcie powinno uznać, że Restovia miała szeroki zakres władztwa nad zasobami, ale musiała zapewnić udział realny, dostępny i poprzedzający przesądzenie projektu. Formalne konsultacje nie są równoznaczne ze zgodą; zarazem skala ingerencji w miejsce sakralne podwyższa wymagany standard. Sama własność NEXCA przez państwo nie wystarcza do atrybucji, lecz zgody polityczne i kontrola nad konkretnym projektem mogą ją uzasadnić. Wypadek autonomicznego pojazdu należy badać przede wszystkim jako problem należytej staranności, chyba że ujawnią się dowody państwowego kierowania operacją. Ekstradycja wymaga osobnej, traktatowej analizy i nie powinna być automatycznie pochodną odpowiedzialności międzynarodowej.</w:t>
            </w:r>
          </w:p>
        </w:tc>
      </w:tr>
    </w:tbl>
    <w:p>
      <w:pPr>
        <w:spacing w:after="0"/>
      </w:pPr>
    </w:p>
    <w:p>
      <w:pPr>
        <w:pStyle w:val="Heading2"/>
      </w:pPr>
      <w:r>
        <w:t>Mapa zagadnień</w:t>
      </w:r>
    </w:p>
    <w:p>
      <w:r>
        <w:rPr>
          <w:b/>
          <w:color w:val="0B2545"/>
        </w:rPr>
        <w:t xml:space="preserve">Wykładnia traktatu. </w:t>
      </w:r>
      <w:r>
        <w:t>Oceń zwykłe znaczenie pojęcia „włączenia”, kontekst, cel ochronny i późniejszą praktykę stron.</w:t>
      </w:r>
    </w:p>
    <w:p>
      <w:r>
        <w:rPr>
          <w:b/>
          <w:color w:val="0B2545"/>
        </w:rPr>
        <w:t xml:space="preserve">Prawa ludności rdzennej. </w:t>
      </w:r>
      <w:r>
        <w:t>Oddziel konsultację w dobrej wierze od standardu uprzedniej zgody oraz wyjaśnij wagę deklaracji niewiążących i zwyczaju.</w:t>
      </w:r>
    </w:p>
    <w:p>
      <w:r>
        <w:rPr>
          <w:b/>
          <w:color w:val="0B2545"/>
        </w:rPr>
        <w:t xml:space="preserve">Atrybucja. </w:t>
      </w:r>
      <w:r>
        <w:t>Zbadaj status spółki, kontrolę nad konkretnym projektem, polecenia państwa oraz wykonywanie funkcji publicznych.</w:t>
      </w:r>
    </w:p>
    <w:p>
      <w:r>
        <w:rPr>
          <w:b/>
          <w:color w:val="0B2545"/>
        </w:rPr>
        <w:t xml:space="preserve">Due diligence technologiczne. </w:t>
      </w:r>
      <w:r>
        <w:t>Przeanalizuj przewidywalność cyberzagrożenia, zabezpieczenia, nadzór człowieka, aktualizacje i reakcję po incydencie.</w:t>
      </w:r>
    </w:p>
    <w:p>
      <w:r>
        <w:rPr>
          <w:b/>
          <w:color w:val="0B2545"/>
        </w:rPr>
        <w:t xml:space="preserve">Ekstradycja. </w:t>
      </w:r>
      <w:r>
        <w:t>Zbadaj podwójną karalność, standard procesu, zakres wyjątku traktatowego i dostępność gwarancji.</w:t>
      </w:r>
    </w:p>
    <w:p>
      <w:pPr>
        <w:pStyle w:val="Heading2"/>
      </w:pPr>
      <w:r>
        <w:t>Najsilniejsze argumenty strony A</w:t>
      </w:r>
    </w:p>
    <w:p>
      <w:pPr>
        <w:pStyle w:val="ListBullet"/>
      </w:pPr>
      <w:r>
        <w:t>Skala i sakralny charakter ingerencji przemawiają za standardem wyższym niż formalne konsultacje.</w:t>
      </w:r>
    </w:p>
    <w:p>
      <w:pPr>
        <w:pStyle w:val="ListBullet"/>
      </w:pPr>
      <w:r>
        <w:t>Tysiące stron technicznego materiału bez realnego wsparcia językowego i eksperckiego nie gwarantują świadomego udziału.</w:t>
      </w:r>
    </w:p>
    <w:p>
      <w:pPr>
        <w:pStyle w:val="ListBullet"/>
      </w:pPr>
      <w:r>
        <w:t>NEXCA działała w ramach polityki państwa, za zgodą parlamentu i ministerstwa; projekt był ściśle kontrolowany politycznie.</w:t>
      </w:r>
    </w:p>
    <w:p>
      <w:pPr>
        <w:pStyle w:val="ListBullet"/>
      </w:pPr>
      <w:r>
        <w:t>Restovia nie wykazała, że postępowanie wobec kierowniczki zapewni standard wymagany traktatem ekstradycyjnym.</w:t>
      </w:r>
    </w:p>
    <w:p>
      <w:pPr>
        <w:pStyle w:val="Heading2"/>
      </w:pPr>
      <w:r>
        <w:t>Najsilniejsze argumenty strony B</w:t>
      </w:r>
    </w:p>
    <w:p>
      <w:pPr>
        <w:pStyle w:val="ListBullet"/>
      </w:pPr>
      <w:r>
        <w:t>Umowa przewiduje udział w decyzji, ale nie daje prawa weta; Restovia przyjęła część zabezpieczeń proponowanych przez elderów.</w:t>
      </w:r>
    </w:p>
    <w:p>
      <w:pPr>
        <w:pStyle w:val="ListBullet"/>
      </w:pPr>
      <w:r>
        <w:t>Brak jednolitego stanowiska Pilemon i świadomy bojkot nie mogą automatycznie unieważniać procesu konsultacyjnego.</w:t>
      </w:r>
    </w:p>
    <w:p>
      <w:pPr>
        <w:pStyle w:val="ListBullet"/>
      </w:pPr>
      <w:r>
        <w:t>Własność państwowa i regulacja korporacji nie wystarczają do przypisania każdego działania operacyjnego państwu.</w:t>
      </w:r>
    </w:p>
    <w:p>
      <w:pPr>
        <w:pStyle w:val="ListBullet"/>
      </w:pPr>
      <w:r>
        <w:t>Incydent mógł być skutkiem zewnętrznego cyberataku, a nie zaniedbania NEXCA lub polecenia Alekostrii.</w:t>
      </w:r>
    </w:p>
    <w:p>
      <w:pPr>
        <w:pStyle w:val="Heading2"/>
      </w:pPr>
      <w:r>
        <w:t>Proponowana sekwencja odpowiedzi</w:t>
      </w:r>
    </w:p>
    <w:p>
      <w:pPr>
        <w:spacing w:after="80" w:line="300" w:lineRule="auto"/>
        <w:numPr>
          <w:ilvl w:val="0"/>
          <w:numId w:val="11"/>
        </w:numPr>
      </w:pPr>
      <w:r>
        <w:t>Ustal jurysdykcję, dopuszczalność i zakres kompetencji każdego organu.</w:t>
      </w:r>
    </w:p>
    <w:p>
      <w:pPr>
        <w:spacing w:after="80" w:line="300" w:lineRule="auto"/>
        <w:numPr>
          <w:ilvl w:val="0"/>
          <w:numId w:val="11"/>
        </w:numPr>
      </w:pPr>
      <w:r>
        <w:t>Zbuduj listę przesłanek dla każdego roszczenia i zarzutu.</w:t>
      </w:r>
    </w:p>
    <w:p>
      <w:pPr>
        <w:spacing w:after="80" w:line="300" w:lineRule="auto"/>
        <w:numPr>
          <w:ilvl w:val="0"/>
          <w:numId w:val="11"/>
        </w:numPr>
      </w:pPr>
      <w:r>
        <w:t>Przypisz fakty oraz braki dowodowe do poszczególnych przesłanek.</w:t>
      </w:r>
    </w:p>
    <w:p>
      <w:pPr>
        <w:spacing w:after="80" w:line="300" w:lineRule="auto"/>
        <w:numPr>
          <w:ilvl w:val="0"/>
          <w:numId w:val="11"/>
        </w:numPr>
      </w:pPr>
      <w:r>
        <w:t>Przedstaw najmocniejszy argument strony przeciwnej i replikę.</w:t>
      </w:r>
    </w:p>
    <w:p>
      <w:pPr>
        <w:spacing w:after="80" w:line="300" w:lineRule="auto"/>
        <w:numPr>
          <w:ilvl w:val="0"/>
          <w:numId w:val="11"/>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Wykładnia traktatu i konsultacje</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Prawa ludności rdzennej</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Atrybucja NEXCA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Technologia i należyta staranność</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Ekstradycja</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Środki naprawcze i struktura</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13">
        <w:r>
          <w:rPr>
            <w:color w:val="2E74B5"/>
            <w:u w:val="single"/>
          </w:rPr>
          <w:t>Problem Jessup 2026</w:t>
        </w:r>
      </w:hyperlink>
    </w:p>
    <w:p>
      <w:pPr>
        <w:pStyle w:val="ListBullet"/>
      </w:pPr>
      <w:hyperlink r:id="rId14">
        <w:r>
          <w:rPr>
            <w:color w:val="2E74B5"/>
            <w:u w:val="single"/>
          </w:rPr>
          <w:t>Confidential Bench Memorandum Jessup 2026</w:t>
        </w:r>
      </w:hyperlink>
    </w:p>
    <w:p>
      <w:pPr>
        <w:pStyle w:val="Heading1"/>
        <w:pageBreakBefore/>
      </w:pPr>
      <w:r>
        <w:t>K-03  Vitoria i Graviola przeciwko Uxi</w:t>
      </w:r>
    </w:p>
    <w:p>
      <w:r>
        <w:rPr>
          <w:b/>
        </w:rPr>
        <w:t>Inwigilacja cyfrowa, wolność prasy i bezpieczeństwo narodowe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Najlepsza odpowiedź uzna silny interes bezpieczeństwa, ale stwierdzi niedostatek gwarancji. Nadzór urządzenia dziennikarki, ochrona źródeł i prior restraint wymagają szczególnie rygorystycznego testu oraz niezależnej kontroli. Samo polubienie nie powinno przesądzać o podżeganiu bez kontekstu, zamiaru i realnego ryzyka. Sąd powinien oddzielić informacje rzeczywiście operacyjne od debaty o legalności rozpoznawania twarzy. Kumulacja środków może wskazywać na represyjny efekt, nawet jeżeli każdy organ formalnie działał osobno.</w:t>
            </w:r>
          </w:p>
        </w:tc>
      </w:tr>
    </w:tbl>
    <w:p>
      <w:pPr>
        <w:spacing w:after="0"/>
      </w:pPr>
    </w:p>
    <w:p>
      <w:pPr>
        <w:pStyle w:val="Heading2"/>
      </w:pPr>
      <w:r>
        <w:t>Mapa zagadnień</w:t>
      </w:r>
    </w:p>
    <w:p>
      <w:r>
        <w:rPr>
          <w:b/>
          <w:color w:val="0B2545"/>
        </w:rPr>
        <w:t xml:space="preserve">Legalność ingerencji. </w:t>
      </w:r>
      <w:r>
        <w:t>Zbadaj dostępność, precyzję i przewidywalność podstawy prawnej oraz realność niezależnej kontroli.</w:t>
      </w:r>
    </w:p>
    <w:p>
      <w:r>
        <w:rPr>
          <w:b/>
          <w:color w:val="0B2545"/>
        </w:rPr>
        <w:t xml:space="preserve">Konieczność i proporcjonalność. </w:t>
      </w:r>
      <w:r>
        <w:t>Wymagaj konkretnego związku między osobą, danymi i zagrożeniem; zbadaj środki mniej dolegliwe.</w:t>
      </w:r>
    </w:p>
    <w:p>
      <w:r>
        <w:rPr>
          <w:b/>
          <w:color w:val="0B2545"/>
        </w:rPr>
        <w:t xml:space="preserve">Prasa i źródła. </w:t>
      </w:r>
      <w:r>
        <w:t>Uwzględnij szczególny efekt mrożący inwigilacji dziennikarza oraz potrzebę proceduralnych gwarancji.</w:t>
      </w:r>
    </w:p>
    <w:p>
      <w:r>
        <w:rPr>
          <w:b/>
          <w:color w:val="0B2545"/>
        </w:rPr>
        <w:t xml:space="preserve">Atrybucja aktywności online. </w:t>
      </w:r>
      <w:r>
        <w:t>Oddziel reakcję na cudzą wypowiedź od autorstwa, rozpowszechniania i wezwania do przemocy.</w:t>
      </w:r>
    </w:p>
    <w:p>
      <w:r>
        <w:rPr>
          <w:b/>
          <w:color w:val="0B2545"/>
        </w:rPr>
        <w:t xml:space="preserve">Kumulacja środków. </w:t>
      </w:r>
      <w:r>
        <w:t>Oceń całość operacji państwa, a nie każdą ingerencję w izolacji.</w:t>
      </w:r>
    </w:p>
    <w:p>
      <w:pPr>
        <w:pStyle w:val="Heading2"/>
      </w:pPr>
      <w:r>
        <w:t>Najsilniejsze argumenty strony A</w:t>
      </w:r>
    </w:p>
    <w:p>
      <w:pPr>
        <w:pStyle w:val="ListBullet"/>
      </w:pPr>
      <w:r>
        <w:t>Kategorie ustawy są zbyt szerokie, a tajność materiału uniemożliwia skuteczne zakwestionowanie podstaw nadzoru.</w:t>
      </w:r>
    </w:p>
    <w:p>
      <w:pPr>
        <w:pStyle w:val="ListBullet"/>
      </w:pPr>
      <w:r>
        <w:t>Zdalny dostęp do urządzenia dziennikarki i identyfikacja źródła mają szczególnie silny efekt mrożący.</w:t>
      </w:r>
    </w:p>
    <w:p>
      <w:pPr>
        <w:pStyle w:val="ListBullet"/>
      </w:pPr>
      <w:r>
        <w:t>Polubienie komentarza nie jest równoznaczne z przyjęciem jego treści ani wezwaniem do bezprawnego działania.</w:t>
      </w:r>
    </w:p>
    <w:p>
      <w:pPr>
        <w:pStyle w:val="ListBullet"/>
      </w:pPr>
      <w:r>
        <w:t>Całkowita blokada publikacji jest środkiem skrajnym; możliwe były redakcja szczegółów technicznych lub odroczenie fragmentu.</w:t>
      </w:r>
    </w:p>
    <w:p>
      <w:pPr>
        <w:pStyle w:val="Heading2"/>
      </w:pPr>
      <w:r>
        <w:t>Najsilniejsze argumenty strony B</w:t>
      </w:r>
    </w:p>
    <w:p>
      <w:pPr>
        <w:pStyle w:val="ListBullet"/>
      </w:pPr>
      <w:r>
        <w:t>Uxi reagowało na realne zagrożenie transgraniczne, a Vitoria miała dostęp do niejawnych informacji i kontakty z dziennikarką.</w:t>
      </w:r>
    </w:p>
    <w:p>
      <w:pPr>
        <w:pStyle w:val="ListBullet"/>
      </w:pPr>
      <w:r>
        <w:t>Kontrola graniczna ma szczególny charakter, a zatrzymanie i kopiowanie danych podlegały procedurze ustawowej.</w:t>
      </w:r>
    </w:p>
    <w:p>
      <w:pPr>
        <w:pStyle w:val="ListBullet"/>
      </w:pPr>
      <w:r>
        <w:t>Publikacja mogła ujawnić zdolności operacyjne oraz umożliwić obchodzenie systemu bezpieczeństwa.</w:t>
      </w:r>
    </w:p>
    <w:p>
      <w:pPr>
        <w:pStyle w:val="ListBullet"/>
      </w:pPr>
      <w:r>
        <w:t>Sankcje podejmowały różne organy w ramach odrębnych kompetencji, a nie jeden organ w celu represji.</w:t>
      </w:r>
    </w:p>
    <w:p>
      <w:pPr>
        <w:pStyle w:val="Heading2"/>
      </w:pPr>
      <w:r>
        <w:t>Proponowana sekwencja odpowiedzi</w:t>
      </w:r>
    </w:p>
    <w:p>
      <w:pPr>
        <w:spacing w:after="80" w:line="300" w:lineRule="auto"/>
        <w:numPr>
          <w:ilvl w:val="0"/>
          <w:numId w:val="12"/>
        </w:numPr>
      </w:pPr>
      <w:r>
        <w:t>Ustal jurysdykcję, dopuszczalność i zakres kompetencji każdego organu.</w:t>
      </w:r>
    </w:p>
    <w:p>
      <w:pPr>
        <w:spacing w:after="80" w:line="300" w:lineRule="auto"/>
        <w:numPr>
          <w:ilvl w:val="0"/>
          <w:numId w:val="12"/>
        </w:numPr>
      </w:pPr>
      <w:r>
        <w:t>Zbuduj listę przesłanek dla każdego roszczenia i zarzutu.</w:t>
      </w:r>
    </w:p>
    <w:p>
      <w:pPr>
        <w:spacing w:after="80" w:line="300" w:lineRule="auto"/>
        <w:numPr>
          <w:ilvl w:val="0"/>
          <w:numId w:val="12"/>
        </w:numPr>
      </w:pPr>
      <w:r>
        <w:t>Przypisz fakty oraz braki dowodowe do poszczególnych przesłanek.</w:t>
      </w:r>
    </w:p>
    <w:p>
      <w:pPr>
        <w:spacing w:after="80" w:line="300" w:lineRule="auto"/>
        <w:numPr>
          <w:ilvl w:val="0"/>
          <w:numId w:val="12"/>
        </w:numPr>
      </w:pPr>
      <w:r>
        <w:t>Przedstaw najmocniejszy argument strony przeciwnej i replikę.</w:t>
      </w:r>
    </w:p>
    <w:p>
      <w:pPr>
        <w:spacing w:after="80" w:line="300" w:lineRule="auto"/>
        <w:numPr>
          <w:ilvl w:val="0"/>
          <w:numId w:val="12"/>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Prywatność i podstawa prawna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Proporcjonalność nadzoru</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Wolność prasy i źródła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Wypowiedzi w mediach społecznościowych</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Prior restraint</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Środki ochrony i argumentacja</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15">
        <w:r>
          <w:rPr>
            <w:color w:val="2E74B5"/>
            <w:u w:val="single"/>
          </w:rPr>
          <w:t>Problem Price Media Law Moot 2025–2026</w:t>
        </w:r>
      </w:hyperlink>
    </w:p>
    <w:p>
      <w:pPr>
        <w:pStyle w:val="Heading1"/>
        <w:pageBreakBefore/>
      </w:pPr>
      <w:r>
        <w:t>K-04  Prokurator przeciwko Drogannie Syrax</w:t>
      </w:r>
    </w:p>
    <w:p>
      <w:r>
        <w:rPr>
          <w:b/>
        </w:rPr>
        <w:t>Pomoc medyczna, jurysdykcja MTK i immunitet głowy państwa</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Kluczowe jest unikanie automatyzmów. Oskarżenie musi wykazać nie tylko kryzys medyczny, ale związek z konfliktem, wymagany element świadomości lub zamiaru oraz indywidualny wkład Syrax. Deklarację jurysdykcyjną należy interpretować ściśle według jej zakresu sytuacyjnego i czasowego. Immunitet i wadliwe doprowadzenie są poważne, lecz analitycznie odrębne od jurysdykcji przedmiotowej. Najbardziej wyważone rozstrzygnięcie dopuszcza dalsze postępowanie, jeśli zakres deklaracji jest spełniony, jednocześnie zapewniając środek naprawczy za naruszenia przy zatrzymaniu i wymagając od oskarżenia doprecyzowania formy odpowiedzialności.</w:t>
            </w:r>
          </w:p>
        </w:tc>
      </w:tr>
    </w:tbl>
    <w:p>
      <w:pPr>
        <w:spacing w:after="0"/>
      </w:pPr>
    </w:p>
    <w:p>
      <w:pPr>
        <w:pStyle w:val="Heading2"/>
      </w:pPr>
      <w:r>
        <w:t>Mapa zagadnień</w:t>
      </w:r>
    </w:p>
    <w:p>
      <w:r>
        <w:rPr>
          <w:b/>
          <w:color w:val="0B2545"/>
        </w:rPr>
        <w:t xml:space="preserve">Jurysdykcja. </w:t>
      </w:r>
      <w:r>
        <w:t>Ustal podstawę terytorialną, czasową i przedmiotową, a dopiero potem przejdź do immunitetu.</w:t>
      </w:r>
    </w:p>
    <w:p>
      <w:r>
        <w:rPr>
          <w:b/>
          <w:color w:val="0B2545"/>
        </w:rPr>
        <w:t xml:space="preserve">Kwalifikacja czynu. </w:t>
      </w:r>
      <w:r>
        <w:t>Zbadaj charakter pomocy, cel ograniczeń, proporcjonalność kontroli i świadomość konsekwencji humanitarnych.</w:t>
      </w:r>
    </w:p>
    <w:p>
      <w:r>
        <w:rPr>
          <w:b/>
          <w:color w:val="0B2545"/>
        </w:rPr>
        <w:t xml:space="preserve">Odpowiedzialność indywidualna. </w:t>
      </w:r>
      <w:r>
        <w:t>Nie mieszaj polecenia, współsprawstwa, pomocnictwa i odpowiedzialności przełożonego; przypisz dowody do jednej konstrukcji.</w:t>
      </w:r>
    </w:p>
    <w:p>
      <w:r>
        <w:rPr>
          <w:b/>
          <w:color w:val="0B2545"/>
        </w:rPr>
        <w:t xml:space="preserve">Immunitet. </w:t>
      </w:r>
      <w:r>
        <w:t>Oddziel immunitet przed sądem krajowym od sytuacji przed trybunałem międzynarodowym i uwzględnij podstawę jurysdykcji.</w:t>
      </w:r>
    </w:p>
    <w:p>
      <w:r>
        <w:rPr>
          <w:b/>
          <w:color w:val="0B2545"/>
        </w:rPr>
        <w:t xml:space="preserve">Irregular rendition. </w:t>
      </w:r>
      <w:r>
        <w:t>Oceń wagę naruszenia, dostępne środki naprawcze i wpływ na rzetelność procesu.</w:t>
      </w:r>
    </w:p>
    <w:p>
      <w:pPr>
        <w:pStyle w:val="Heading2"/>
      </w:pPr>
      <w:r>
        <w:t>Najsilniejsze argumenty strony A</w:t>
      </w:r>
    </w:p>
    <w:p>
      <w:pPr>
        <w:pStyle w:val="ListBullet"/>
      </w:pPr>
      <w:r>
        <w:t>Systematyczne blokowanie niezbędnej pomocy, mimo udokumentowanych skutków, wskazuje na świadome użycie cierpienia ludności jako metody walki.</w:t>
      </w:r>
    </w:p>
    <w:p>
      <w:pPr>
        <w:pStyle w:val="ListBullet"/>
      </w:pPr>
      <w:r>
        <w:t>Deklaracja jurysdykcyjna obowiązuje w odniesieniu do sytuacji objętej jej zakresem niezależnie od późniejszej zmiany rządu.</w:t>
      </w:r>
    </w:p>
    <w:p>
      <w:pPr>
        <w:pStyle w:val="ListBullet"/>
      </w:pPr>
      <w:r>
        <w:t>Funkcja głowy państwa nie blokuje wykonywania jurysdykcji przez Trybunał w sprawie najpoważniejszych zbrodni.</w:t>
      </w:r>
    </w:p>
    <w:p>
      <w:pPr>
        <w:pStyle w:val="ListBullet"/>
      </w:pPr>
      <w:r>
        <w:t>Nieprawidłowość zatrzymania może prowadzić do środków naprawczych, ale nie usuwa automatycznie jurysdykcji.</w:t>
      </w:r>
    </w:p>
    <w:p>
      <w:pPr>
        <w:pStyle w:val="Heading2"/>
      </w:pPr>
      <w:r>
        <w:t>Najsilniejsze argumenty strony B</w:t>
      </w:r>
    </w:p>
    <w:p>
      <w:pPr>
        <w:pStyle w:val="ListBullet"/>
      </w:pPr>
      <w:r>
        <w:t>Kontrole służyły zapobieganiu przemytowi, a opóźnienia nie dowodzą zamiaru popełnienia zbrodni.</w:t>
      </w:r>
    </w:p>
    <w:p>
      <w:pPr>
        <w:pStyle w:val="ListBullet"/>
      </w:pPr>
      <w:r>
        <w:t>Zakres deklaracji jest wąski i nie powinien być rozszerzany na czyny albo okresy, których państwo wyraźnie nie objęło.</w:t>
      </w:r>
    </w:p>
    <w:p>
      <w:pPr>
        <w:pStyle w:val="ListBullet"/>
      </w:pPr>
      <w:r>
        <w:t>Wobec braku pełnego mechanizmu współpracy immunitet urzędującej głowy państwa pozostaje przeszkodą.</w:t>
      </w:r>
    </w:p>
    <w:p>
      <w:pPr>
        <w:pStyle w:val="ListBullet"/>
      </w:pPr>
      <w:r>
        <w:t>Sposób ujęcia był rażącym naruszeniem, które podważa integralność postępowania i wymaga realnej sankcji.</w:t>
      </w:r>
    </w:p>
    <w:p>
      <w:pPr>
        <w:pStyle w:val="Heading2"/>
      </w:pPr>
      <w:r>
        <w:t>Proponowana sekwencja odpowiedzi</w:t>
      </w:r>
    </w:p>
    <w:p>
      <w:pPr>
        <w:spacing w:after="80" w:line="300" w:lineRule="auto"/>
        <w:numPr>
          <w:ilvl w:val="0"/>
          <w:numId w:val="13"/>
        </w:numPr>
      </w:pPr>
      <w:r>
        <w:t>Ustal jurysdykcję, dopuszczalność i zakres kompetencji każdego organu.</w:t>
      </w:r>
    </w:p>
    <w:p>
      <w:pPr>
        <w:spacing w:after="80" w:line="300" w:lineRule="auto"/>
        <w:numPr>
          <w:ilvl w:val="0"/>
          <w:numId w:val="13"/>
        </w:numPr>
      </w:pPr>
      <w:r>
        <w:t>Zbuduj listę przesłanek dla każdego roszczenia i zarzutu.</w:t>
      </w:r>
    </w:p>
    <w:p>
      <w:pPr>
        <w:spacing w:after="80" w:line="300" w:lineRule="auto"/>
        <w:numPr>
          <w:ilvl w:val="0"/>
          <w:numId w:val="13"/>
        </w:numPr>
      </w:pPr>
      <w:r>
        <w:t>Przypisz fakty oraz braki dowodowe do poszczególnych przesłanek.</w:t>
      </w:r>
    </w:p>
    <w:p>
      <w:pPr>
        <w:spacing w:after="80" w:line="300" w:lineRule="auto"/>
        <w:numPr>
          <w:ilvl w:val="0"/>
          <w:numId w:val="13"/>
        </w:numPr>
      </w:pPr>
      <w:r>
        <w:t>Przedstaw najmocniejszy argument strony przeciwnej i replikę.</w:t>
      </w:r>
    </w:p>
    <w:p>
      <w:pPr>
        <w:spacing w:after="80" w:line="300" w:lineRule="auto"/>
        <w:numPr>
          <w:ilvl w:val="0"/>
          <w:numId w:val="13"/>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Jurysdykcja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Znamiona zbrodni i nexus</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Odpowiedzialność indywidualna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Immunitet</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Sposób ujęcia i prawa procesowe</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Środki i struktura</w:t>
            </w:r>
          </w:p>
        </w:tc>
        <w:tc>
          <w:tcPr>
            <w:tcW w:type="dxa" w:w="1200"/>
            <w:vAlign w:val="center"/>
            <w:tcMar>
              <w:top w:w="80" w:type="dxa"/>
              <w:start w:w="120" w:type="dxa"/>
              <w:bottom w:w="80" w:type="dxa"/>
              <w:end w:w="120" w:type="dxa"/>
            </w:tcMar>
          </w:tcPr>
          <w:p>
            <w:pPr>
              <w:jc w:val="center"/>
            </w:pPr>
            <w:r>
              <w:t>10</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16">
        <w:r>
          <w:rPr>
            <w:color w:val="2E74B5"/>
            <w:u w:val="single"/>
          </w:rPr>
          <w:t>Oficjalne ogłoszenie sprawy IBA ICC Moot 2026</w:t>
        </w:r>
      </w:hyperlink>
    </w:p>
    <w:p>
      <w:pPr>
        <w:pStyle w:val="ListBullet"/>
      </w:pPr>
      <w:hyperlink r:id="rId17">
        <w:r>
          <w:rPr>
            <w:color w:val="2E74B5"/>
            <w:u w:val="single"/>
          </w:rPr>
          <w:t>Informacja IBA o konkursie 2026</w:t>
        </w:r>
      </w:hyperlink>
    </w:p>
    <w:p>
      <w:pPr>
        <w:pStyle w:val="Heading1"/>
        <w:pageBreakBefore/>
      </w:pPr>
      <w:r>
        <w:t>K-05  Orchis Worldwide przeciwko Darwin Natural Food</w:t>
      </w:r>
    </w:p>
    <w:p>
      <w:r>
        <w:rPr>
          <w:b/>
        </w:rPr>
        <w:t>CISG, CITES, finansowanie sporu i zmiana regulacyjna</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Proceduralnie najbardziej przekonujące jest zastosowanie regulaminu obowiązującego przy wszczęciu arbitrażu, chyba że klauzula wyraźnie zamraża wcześniejszą wersję. Ujawnienie powinno objąć tożsamość finansującego i informacje konieczne do konflikt check; pełna umowa wymaga dodatkowej potrzeby. W prawie materialnym zmiana CITES może być przeszkodą, ale tylko gdy strona nie przejęła ryzyka zezwoleń i podjęła rozsądne działania zastępcze. Odszkodowanie zależy od tego, czy rozwiązanie było skuteczne i czy transakcja zastępcza była dokonana rozsądnie, terminowo i na porównywalnych warunkach.</w:t>
            </w:r>
          </w:p>
        </w:tc>
      </w:tr>
    </w:tbl>
    <w:p>
      <w:pPr>
        <w:spacing w:after="0"/>
      </w:pPr>
    </w:p>
    <w:p>
      <w:pPr>
        <w:pStyle w:val="Heading2"/>
      </w:pPr>
      <w:r>
        <w:t>Mapa zagadnień</w:t>
      </w:r>
    </w:p>
    <w:p>
      <w:r>
        <w:rPr>
          <w:b/>
          <w:color w:val="0B2545"/>
        </w:rPr>
        <w:t xml:space="preserve">Regulamin arbitrażowy. </w:t>
      </w:r>
      <w:r>
        <w:t>Rozdziel datę umowy, datę wszczęcia arbitrażu i inkorporację regulaminu jako warunki ustalenia wersji.</w:t>
      </w:r>
    </w:p>
    <w:p>
      <w:r>
        <w:rPr>
          <w:b/>
          <w:color w:val="0B2545"/>
        </w:rPr>
        <w:t xml:space="preserve">Funding disclosure. </w:t>
      </w:r>
      <w:r>
        <w:t>Wymagaj ujawnienia tożsamości i relacji istotnych dla bezstronności, ale chroń uprzywilejowaną strategię i warunki komercyjne.</w:t>
      </w:r>
    </w:p>
    <w:p>
      <w:r>
        <w:rPr>
          <w:b/>
          <w:color w:val="0B2545"/>
        </w:rPr>
        <w:t xml:space="preserve">Przeszkoda regulacyjna. </w:t>
      </w:r>
      <w:r>
        <w:t>Zbadaj kontrolę strony, przewidywalność, możliwość uniknięcia oraz zawiadomienie kontrahenta.</w:t>
      </w:r>
    </w:p>
    <w:p>
      <w:r>
        <w:rPr>
          <w:b/>
          <w:color w:val="0B2545"/>
        </w:rPr>
        <w:t xml:space="preserve">Rozwiązanie i szkoda. </w:t>
      </w:r>
      <w:r>
        <w:t>Oceń fundamentalność naruszenia, rozsądność terminu i podobieństwo transakcji zastępczej.</w:t>
      </w:r>
    </w:p>
    <w:p>
      <w:r>
        <w:rPr>
          <w:b/>
          <w:color w:val="0B2545"/>
        </w:rPr>
        <w:t xml:space="preserve">Ciężar dowodu. </w:t>
      </w:r>
      <w:r>
        <w:t>Przypisz osobno dowody przeszkody, minimalizacji i wysokości szkody.</w:t>
      </w:r>
    </w:p>
    <w:p>
      <w:pPr>
        <w:pStyle w:val="Heading2"/>
      </w:pPr>
      <w:r>
        <w:t>Najsilniejsze argumenty strony A</w:t>
      </w:r>
    </w:p>
    <w:p>
      <w:pPr>
        <w:pStyle w:val="ListBullet"/>
      </w:pPr>
      <w:r>
        <w:t>Wersja regulaminu obowiązująca w chwili wszczęcia arbitrażu ma charakter proceduralny i powinna być stosowana do postępowania.</w:t>
      </w:r>
    </w:p>
    <w:p>
      <w:pPr>
        <w:pStyle w:val="ListBullet"/>
      </w:pPr>
      <w:r>
        <w:t>Tożsamość finansującego wystarcza do kontroli konfliktów; pełna umowa jest nieproporcjonalna i ujawnia strategię.</w:t>
      </w:r>
    </w:p>
    <w:p>
      <w:pPr>
        <w:pStyle w:val="ListBullet"/>
      </w:pPr>
      <w:r>
        <w:t>Zmiana CITES była zewnętrzna, niemożliwa do rozsądnego przewidzenia i uniemożliwiła legalny import.</w:t>
      </w:r>
    </w:p>
    <w:p>
      <w:pPr>
        <w:pStyle w:val="ListBullet"/>
      </w:pPr>
      <w:r>
        <w:t>Transakcja zastępcza była racjonalną reakcją na zagrożenie ciągłości produkcji.</w:t>
      </w:r>
    </w:p>
    <w:p>
      <w:pPr>
        <w:pStyle w:val="Heading2"/>
      </w:pPr>
      <w:r>
        <w:t>Najsilniejsze argumenty strony B</w:t>
      </w:r>
    </w:p>
    <w:p>
      <w:pPr>
        <w:pStyle w:val="ListBullet"/>
      </w:pPr>
      <w:r>
        <w:t>Strony inkorporowały wersję istniejącą przy zawarciu umowy albo wyraźnie ustaliły stabilność procedury.</w:t>
      </w:r>
    </w:p>
    <w:p>
      <w:pPr>
        <w:pStyle w:val="ListBullet"/>
      </w:pPr>
      <w:r>
        <w:t>Finansowanie i ubezpieczenie wpływają na ryzyko kosztowe; dodatkowe ujawnienie i security for costs są uzasadnione.</w:t>
      </w:r>
    </w:p>
    <w:p>
      <w:pPr>
        <w:pStyle w:val="ListBullet"/>
      </w:pPr>
      <w:r>
        <w:t>Sprzedawca jako profesjonalista branżowy powinien był przewidzieć ryzyko regulacyjne i zapewnić pozwolenia.</w:t>
      </w:r>
    </w:p>
    <w:p>
      <w:pPr>
        <w:pStyle w:val="ListBullet"/>
      </w:pPr>
      <w:r>
        <w:t>Kupujący rozwiązał umowę przedwcześnie, odrzucił rozsądną alternatywę i zawarł transakcję nieporównywalną.</w:t>
      </w:r>
    </w:p>
    <w:p>
      <w:pPr>
        <w:pStyle w:val="Heading2"/>
      </w:pPr>
      <w:r>
        <w:t>Proponowana sekwencja odpowiedzi</w:t>
      </w:r>
    </w:p>
    <w:p>
      <w:pPr>
        <w:spacing w:after="80" w:line="300" w:lineRule="auto"/>
        <w:numPr>
          <w:ilvl w:val="0"/>
          <w:numId w:val="14"/>
        </w:numPr>
      </w:pPr>
      <w:r>
        <w:t>Ustal jurysdykcję, dopuszczalność i zakres kompetencji każdego organu.</w:t>
      </w:r>
    </w:p>
    <w:p>
      <w:pPr>
        <w:spacing w:after="80" w:line="300" w:lineRule="auto"/>
        <w:numPr>
          <w:ilvl w:val="0"/>
          <w:numId w:val="14"/>
        </w:numPr>
      </w:pPr>
      <w:r>
        <w:t>Zbuduj listę przesłanek dla każdego roszczenia i zarzutu.</w:t>
      </w:r>
    </w:p>
    <w:p>
      <w:pPr>
        <w:spacing w:after="80" w:line="300" w:lineRule="auto"/>
        <w:numPr>
          <w:ilvl w:val="0"/>
          <w:numId w:val="14"/>
        </w:numPr>
      </w:pPr>
      <w:r>
        <w:t>Przypisz fakty oraz braki dowodowe do poszczególnych przesłanek.</w:t>
      </w:r>
    </w:p>
    <w:p>
      <w:pPr>
        <w:spacing w:after="80" w:line="300" w:lineRule="auto"/>
        <w:numPr>
          <w:ilvl w:val="0"/>
          <w:numId w:val="14"/>
        </w:numPr>
      </w:pPr>
      <w:r>
        <w:t>Przedstaw najmocniejszy argument strony przeciwnej i replikę.</w:t>
      </w:r>
    </w:p>
    <w:p>
      <w:pPr>
        <w:spacing w:after="80" w:line="300" w:lineRule="auto"/>
        <w:numPr>
          <w:ilvl w:val="0"/>
          <w:numId w:val="14"/>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Wersja regulaminu i jurysdykcja</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Funding, disclosure, konflikty</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Security for costs</w:t>
            </w:r>
          </w:p>
        </w:tc>
        <w:tc>
          <w:tcPr>
            <w:tcW w:type="dxa" w:w="1200"/>
            <w:vAlign w:val="center"/>
            <w:tcMar>
              <w:top w:w="80" w:type="dxa"/>
              <w:start w:w="120" w:type="dxa"/>
              <w:bottom w:w="80" w:type="dxa"/>
              <w:end w:w="120" w:type="dxa"/>
            </w:tcMar>
          </w:tcPr>
          <w:p>
            <w:pPr>
              <w:jc w:val="center"/>
            </w:pPr>
            <w:r>
              <w:t>10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CITES i zwolnienie</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Rozwiązanie i minimalizacja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Odszkodowanie i dowody</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18">
        <w:r>
          <w:rPr>
            <w:color w:val="2E74B5"/>
            <w:u w:val="single"/>
          </w:rPr>
          <w:t>Problem 33rd Vis Moot</w:t>
        </w:r>
      </w:hyperlink>
    </w:p>
    <w:p>
      <w:pPr>
        <w:pStyle w:val="ListBullet"/>
      </w:pPr>
      <w:hyperlink r:id="rId19">
        <w:r>
          <w:rPr>
            <w:color w:val="2E74B5"/>
            <w:u w:val="single"/>
          </w:rPr>
          <w:t>Arbitrator Brief 33rd Vis Moot</w:t>
        </w:r>
      </w:hyperlink>
    </w:p>
    <w:p>
      <w:pPr>
        <w:pStyle w:val="Heading1"/>
        <w:pageBreakBefore/>
      </w:pPr>
      <w:r>
        <w:t>K-06  Inkaton przeciwko Accadii</w:t>
      </w:r>
    </w:p>
    <w:p>
      <w:r>
        <w:rPr>
          <w:b/>
        </w:rPr>
        <w:t>Własność obiektów kosmicznych, ratownictwo i odpowiedzialność</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Najlepsze rozwiązanie odrzuca utożsamienie braku kontroli z porzuceniem. Krajowe orzeczenie in rem nie powinno samo rozstrzygać tytułu międzynarodowo, ale Sargon może bronić samego usunięcia jako działania koniecznego dla bezpieczeństwa, jeśli wykaże brak mniej inwazyjnych środków. Odpowiedzialność za szkody księżycowe wymaga analizy reżimu właściwego dla miejsca i charakteru zdarzenia oraz udziału burzy słonecznej w łańcuchu przyczynowym. Ratowanie załogi było obowiązkiem humanitarnym; pozyskanie technologii wymaga odrębnego uzasadnienia i powinno być ograniczone do bezpieczeństwa oraz zwrotu właścicielowi.</w:t>
            </w:r>
          </w:p>
        </w:tc>
      </w:tr>
    </w:tbl>
    <w:p>
      <w:pPr>
        <w:spacing w:after="0"/>
      </w:pPr>
    </w:p>
    <w:p>
      <w:pPr>
        <w:pStyle w:val="Heading2"/>
      </w:pPr>
      <w:r>
        <w:t>Mapa zagadnień</w:t>
      </w:r>
    </w:p>
    <w:p>
      <w:r>
        <w:rPr>
          <w:b/>
          <w:color w:val="0B2545"/>
        </w:rPr>
        <w:t xml:space="preserve">Własność i jurysdykcja. </w:t>
      </w:r>
      <w:r>
        <w:t>Oddziel utratę kontroli od utraty tytułu. Zbadaj skuteczność krajowego orzeczenia wobec innego państwa i rejestracji obiektu.</w:t>
      </w:r>
    </w:p>
    <w:p>
      <w:r>
        <w:rPr>
          <w:b/>
          <w:color w:val="0B2545"/>
        </w:rPr>
        <w:t xml:space="preserve">Autoryzacja i nadzór. </w:t>
      </w:r>
      <w:r>
        <w:t>Ustal państwa właściwe dla spółek, licencji, rejestracji i poszczególnych obiektów.</w:t>
      </w:r>
    </w:p>
    <w:p>
      <w:r>
        <w:rPr>
          <w:b/>
          <w:color w:val="0B2545"/>
        </w:rPr>
        <w:t xml:space="preserve">Odpowiedzialność za szkodę. </w:t>
      </w:r>
      <w:r>
        <w:t>Zbuduj łańcuch przyczynowy: pogoda kosmiczna, decyzja operacyjna, odrzucenie ładunku, miejsce i rodzaj szkody.</w:t>
      </w:r>
    </w:p>
    <w:p>
      <w:r>
        <w:rPr>
          <w:b/>
          <w:color w:val="0B2545"/>
        </w:rPr>
        <w:t xml:space="preserve">Ratownictwo i salvage. </w:t>
      </w:r>
      <w:r>
        <w:t>Nie zakładaj automatycznego prawa do wynagrodzenia lub własności; rozdziel ratowanie osób od pozyskania rzeczy.</w:t>
      </w:r>
    </w:p>
    <w:p>
      <w:r>
        <w:rPr>
          <w:b/>
          <w:color w:val="0B2545"/>
        </w:rPr>
        <w:t xml:space="preserve">Dopuszczalność roszczeń. </w:t>
      </w:r>
      <w:r>
        <w:t>Zbadaj terminy, notyfikację i wcześniejsze wykorzystanie środków przez spółki.</w:t>
      </w:r>
    </w:p>
    <w:p>
      <w:pPr>
        <w:pStyle w:val="Heading2"/>
      </w:pPr>
      <w:r>
        <w:t>Najsilniejsze argumenty strony A</w:t>
      </w:r>
    </w:p>
    <w:p>
      <w:pPr>
        <w:pStyle w:val="ListBullet"/>
      </w:pPr>
      <w:r>
        <w:t>Utrata kontroli nie oznacza porzucenia satelity, a orzeczenie państwa trzeciego nie może jednostronnie pozbawić Quipu własności.</w:t>
      </w:r>
    </w:p>
    <w:p>
      <w:pPr>
        <w:pStyle w:val="ListBullet"/>
      </w:pPr>
      <w:r>
        <w:t>Sargon zignorowała sprzeciw właściciela i sama stworzyła ryzyko, przemieszczając satelitę w przestrzeń księżycową.</w:t>
      </w:r>
    </w:p>
    <w:p>
      <w:pPr>
        <w:pStyle w:val="ListBullet"/>
      </w:pPr>
      <w:r>
        <w:t>Accadia odpowiada za autoryzację i ciągły nadzór nad działalnością swojego podmiotu.</w:t>
      </w:r>
    </w:p>
    <w:p>
      <w:pPr>
        <w:pStyle w:val="ListBullet"/>
      </w:pPr>
      <w:r>
        <w:t>Ratownictwo nie usprawiedliwia zatrzymania lub eksploatacji cudzej technologii.</w:t>
      </w:r>
    </w:p>
    <w:p>
      <w:pPr>
        <w:pStyle w:val="Heading2"/>
      </w:pPr>
      <w:r>
        <w:t>Najsilniejsze argumenty strony B</w:t>
      </w:r>
    </w:p>
    <w:p>
      <w:pPr>
        <w:pStyle w:val="ListBullet"/>
      </w:pPr>
      <w:r>
        <w:t>Niekontrolowany obiekt stealth stanowił wyjątkowe zagrożenie; usunięcie było konieczne i proporcjonalne.</w:t>
      </w:r>
    </w:p>
    <w:p>
      <w:pPr>
        <w:pStyle w:val="ListBullet"/>
      </w:pPr>
      <w:r>
        <w:t>Sargon działała na podstawie ważnej licencji i tytułu uzyskanego w dopuszczalnej procedurze krajowej.</w:t>
      </w:r>
    </w:p>
    <w:p>
      <w:pPr>
        <w:pStyle w:val="ListBullet"/>
      </w:pPr>
      <w:r>
        <w:t>Burza protonowa była nadzwyczajnym zdarzeniem zewnętrznym, przerywającym lub ograniczającym odpowiedzialność.</w:t>
      </w:r>
    </w:p>
    <w:p>
      <w:pPr>
        <w:pStyle w:val="ListBullet"/>
      </w:pPr>
      <w:r>
        <w:t>Personel Quipu przekroczył potrzeby ratownictwa, demontując i wykorzystując zastrzeżone urządzenia.</w:t>
      </w:r>
    </w:p>
    <w:p>
      <w:pPr>
        <w:pStyle w:val="Heading2"/>
      </w:pPr>
      <w:r>
        <w:t>Proponowana sekwencja odpowiedzi</w:t>
      </w:r>
    </w:p>
    <w:p>
      <w:pPr>
        <w:spacing w:after="80" w:line="300" w:lineRule="auto"/>
        <w:numPr>
          <w:ilvl w:val="0"/>
          <w:numId w:val="15"/>
        </w:numPr>
      </w:pPr>
      <w:r>
        <w:t>Ustal jurysdykcję, dopuszczalność i zakres kompetencji każdego organu.</w:t>
      </w:r>
    </w:p>
    <w:p>
      <w:pPr>
        <w:spacing w:after="80" w:line="300" w:lineRule="auto"/>
        <w:numPr>
          <w:ilvl w:val="0"/>
          <w:numId w:val="15"/>
        </w:numPr>
      </w:pPr>
      <w:r>
        <w:t>Zbuduj listę przesłanek dla każdego roszczenia i zarzutu.</w:t>
      </w:r>
    </w:p>
    <w:p>
      <w:pPr>
        <w:spacing w:after="80" w:line="300" w:lineRule="auto"/>
        <w:numPr>
          <w:ilvl w:val="0"/>
          <w:numId w:val="15"/>
        </w:numPr>
      </w:pPr>
      <w:r>
        <w:t>Przypisz fakty oraz braki dowodowe do poszczególnych przesłanek.</w:t>
      </w:r>
    </w:p>
    <w:p>
      <w:pPr>
        <w:spacing w:after="80" w:line="300" w:lineRule="auto"/>
        <w:numPr>
          <w:ilvl w:val="0"/>
          <w:numId w:val="15"/>
        </w:numPr>
      </w:pPr>
      <w:r>
        <w:t>Przedstaw najmocniejszy argument strony przeciwnej i replikę.</w:t>
      </w:r>
    </w:p>
    <w:p>
      <w:pPr>
        <w:spacing w:after="80" w:line="300" w:lineRule="auto"/>
        <w:numPr>
          <w:ilvl w:val="0"/>
          <w:numId w:val="15"/>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Własność i status obiektu</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Konieczność usunięcia</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Odpowiedzialność państw</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Szkoda i przyczynowość</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Ratownictwo i technologia</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Dopuszczalność i środki</w:t>
            </w:r>
          </w:p>
        </w:tc>
        <w:tc>
          <w:tcPr>
            <w:tcW w:type="dxa" w:w="1200"/>
            <w:vAlign w:val="center"/>
            <w:tcMar>
              <w:top w:w="80" w:type="dxa"/>
              <w:start w:w="120" w:type="dxa"/>
              <w:bottom w:w="80" w:type="dxa"/>
              <w:end w:w="120" w:type="dxa"/>
            </w:tcMar>
          </w:tcPr>
          <w:p>
            <w:pPr>
              <w:jc w:val="center"/>
            </w:pPr>
            <w:r>
              <w:t>10</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20">
        <w:r>
          <w:rPr>
            <w:color w:val="2E74B5"/>
            <w:u w:val="single"/>
          </w:rPr>
          <w:t>Oficjalna strona Manfred Lachs 2026</w:t>
        </w:r>
      </w:hyperlink>
    </w:p>
    <w:p>
      <w:pPr>
        <w:pStyle w:val="ListBullet"/>
      </w:pPr>
      <w:hyperlink r:id="rId21">
        <w:r>
          <w:rPr>
            <w:color w:val="2E74B5"/>
            <w:u w:val="single"/>
          </w:rPr>
          <w:t>Oficjalne streszczenie faktów</w:t>
        </w:r>
      </w:hyperlink>
    </w:p>
    <w:p>
      <w:pPr>
        <w:pStyle w:val="Heading1"/>
        <w:pageBreakBefore/>
      </w:pPr>
      <w:r>
        <w:t>K-07  Anecoyon przeciwko Ridusowi</w:t>
      </w:r>
    </w:p>
    <w:p>
      <w:r>
        <w:rPr>
          <w:b/>
        </w:rPr>
        <w:t>De-extinction, zasoby genetyczne i podział korzyści</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Rozwiązanie powinno zacząć się od osi czasu i rozdzielenia kolejnych czynności. Samo dawne, legalne nabycie skamieniałości nie musi obejmować późniejszego sekwencjonowania i komercyjnego de-extinction. Najsilniejszy argument Anecoyonu dotyczy nowego wykorzystania i celu systemu podziału korzyści; najsilniejszy argument Ridusu dotyczy zakazu retroakcji i niejasnego statusu informacji cyfrowej. Właściwym środkiem jest raczej wynegocjowany pakiet korzyści, udział społeczności, wspólna kontrola ryzyka i dostęp do technologii niż proste zakazanie projektu lub wyłączne przyznanie własności jednemu państwu.</w:t>
            </w:r>
          </w:p>
        </w:tc>
      </w:tr>
    </w:tbl>
    <w:p>
      <w:pPr>
        <w:spacing w:after="0"/>
      </w:pPr>
    </w:p>
    <w:p>
      <w:pPr>
        <w:pStyle w:val="Heading2"/>
      </w:pPr>
      <w:r>
        <w:t>Mapa zagadnień</w:t>
      </w:r>
    </w:p>
    <w:p>
      <w:r>
        <w:rPr>
          <w:b/>
          <w:color w:val="0B2545"/>
        </w:rPr>
        <w:t xml:space="preserve">Zakres przedmiotowy. </w:t>
      </w:r>
      <w:r>
        <w:t>Oddziel próbkę fizyczną, DNA, dane sekwencyjne, wiedzę tradycyjną i technologię edycji.</w:t>
      </w:r>
    </w:p>
    <w:p>
      <w:r>
        <w:rPr>
          <w:b/>
          <w:color w:val="0B2545"/>
        </w:rPr>
        <w:t xml:space="preserve">Zakres czasowy. </w:t>
      </w:r>
      <w:r>
        <w:t>Ustal daty pozyskania próbki, wejścia w życie właściwych instrumentów, sekwencjonowania i komercjalizacji.</w:t>
      </w:r>
    </w:p>
    <w:p>
      <w:r>
        <w:rPr>
          <w:b/>
          <w:color w:val="0B2545"/>
        </w:rPr>
        <w:t xml:space="preserve">Zgoda i warunki transferu. </w:t>
      </w:r>
      <w:r>
        <w:t>Zbadaj treść umowy muzealnej, cel pierwotnego dostępu i możliwość nowego wykorzystania.</w:t>
      </w:r>
    </w:p>
    <w:p>
      <w:r>
        <w:rPr>
          <w:b/>
          <w:color w:val="0B2545"/>
        </w:rPr>
        <w:t xml:space="preserve">Podział korzyści. </w:t>
      </w:r>
      <w:r>
        <w:t>Rozważ korzyści pieniężne i niepieniężne, badawcze, technologiczne i ochronne.</w:t>
      </w:r>
    </w:p>
    <w:p>
      <w:r>
        <w:rPr>
          <w:b/>
          <w:color w:val="0B2545"/>
        </w:rPr>
        <w:t xml:space="preserve">Status odtworzonego organizmu. </w:t>
      </w:r>
      <w:r>
        <w:t>Przeanalizuj alternatywne kwalifikacje i ich konsekwencje dla ochrony, handlu i dobrostanu.</w:t>
      </w:r>
    </w:p>
    <w:p>
      <w:pPr>
        <w:pStyle w:val="Heading2"/>
      </w:pPr>
      <w:r>
        <w:t>Najsilniejsze argumenty strony A</w:t>
      </w:r>
    </w:p>
    <w:p>
      <w:pPr>
        <w:pStyle w:val="ListBullet"/>
      </w:pPr>
      <w:r>
        <w:t>Nowe wykorzystanie próbki i komercjalizacja danych wykraczają poza pierwotne cele muzealne i wymagają nowej zgody.</w:t>
      </w:r>
    </w:p>
    <w:p>
      <w:pPr>
        <w:pStyle w:val="ListBullet"/>
      </w:pPr>
      <w:r>
        <w:t>Fizyczny materiał pochodził z Anecoyonu, a projekt wykorzystuje kulturowe znaczenie pantery i wiedzę społeczności.</w:t>
      </w:r>
    </w:p>
    <w:p>
      <w:pPr>
        <w:pStyle w:val="ListBullet"/>
      </w:pPr>
      <w:r>
        <w:t>Obejście reżimu przez zamianę próbki w dane podważa cel sprawiedliwego podziału korzyści.</w:t>
      </w:r>
    </w:p>
    <w:p>
      <w:pPr>
        <w:pStyle w:val="ListBullet"/>
      </w:pPr>
      <w:r>
        <w:t>Reintrodukcja bez współpracy z państwem pochodzenia tworzy ryzyka ekologiczne i kulturowe.</w:t>
      </w:r>
    </w:p>
    <w:p>
      <w:pPr>
        <w:pStyle w:val="Heading2"/>
      </w:pPr>
      <w:r>
        <w:t>Najsilniejsze argumenty strony B</w:t>
      </w:r>
    </w:p>
    <w:p>
      <w:pPr>
        <w:pStyle w:val="ListBullet"/>
      </w:pPr>
      <w:r>
        <w:t>Próbkę pozyskano legalnie przed powstaniem współczesnych obowiązków, a reguły nie powinny działać wstecz.</w:t>
      </w:r>
    </w:p>
    <w:p>
      <w:pPr>
        <w:pStyle w:val="ListBullet"/>
      </w:pPr>
      <w:r>
        <w:t>Cyfrowa sekwencja i syntetycznie zmodyfikowany organizm nie są tożsame z pierwotnym zasobem.</w:t>
      </w:r>
    </w:p>
    <w:p>
      <w:pPr>
        <w:pStyle w:val="ListBullet"/>
      </w:pPr>
      <w:r>
        <w:t>Gatunek występował transgranicznie, więc Anecoyon nie ma wyłącznego tytułu do korzyści.</w:t>
      </w:r>
    </w:p>
    <w:p>
      <w:pPr>
        <w:pStyle w:val="ListBullet"/>
      </w:pPr>
      <w:r>
        <w:t>Projekt służy ochronie i badaniom, a przychody finansują hodowlę oraz przyszłą reintrodukcję.</w:t>
      </w:r>
    </w:p>
    <w:p>
      <w:pPr>
        <w:pStyle w:val="Heading2"/>
      </w:pPr>
      <w:r>
        <w:t>Proponowana sekwencja odpowiedzi</w:t>
      </w:r>
    </w:p>
    <w:p>
      <w:pPr>
        <w:spacing w:after="80" w:line="300" w:lineRule="auto"/>
        <w:numPr>
          <w:ilvl w:val="0"/>
          <w:numId w:val="16"/>
        </w:numPr>
      </w:pPr>
      <w:r>
        <w:t>Ustal jurysdykcję, dopuszczalność i zakres kompetencji każdego organu.</w:t>
      </w:r>
    </w:p>
    <w:p>
      <w:pPr>
        <w:spacing w:after="80" w:line="300" w:lineRule="auto"/>
        <w:numPr>
          <w:ilvl w:val="0"/>
          <w:numId w:val="16"/>
        </w:numPr>
      </w:pPr>
      <w:r>
        <w:t>Zbuduj listę przesłanek dla każdego roszczenia i zarzutu.</w:t>
      </w:r>
    </w:p>
    <w:p>
      <w:pPr>
        <w:spacing w:after="80" w:line="300" w:lineRule="auto"/>
        <w:numPr>
          <w:ilvl w:val="0"/>
          <w:numId w:val="16"/>
        </w:numPr>
      </w:pPr>
      <w:r>
        <w:t>Przypisz fakty oraz braki dowodowe do poszczególnych przesłanek.</w:t>
      </w:r>
    </w:p>
    <w:p>
      <w:pPr>
        <w:spacing w:after="80" w:line="300" w:lineRule="auto"/>
        <w:numPr>
          <w:ilvl w:val="0"/>
          <w:numId w:val="16"/>
        </w:numPr>
      </w:pPr>
      <w:r>
        <w:t>Przedstaw najmocniejszy argument strony przeciwnej i replikę.</w:t>
      </w:r>
    </w:p>
    <w:p>
      <w:pPr>
        <w:spacing w:after="80" w:line="300" w:lineRule="auto"/>
        <w:numPr>
          <w:ilvl w:val="0"/>
          <w:numId w:val="16"/>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Zakres i definicje</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Oś czasu i retroakcja</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Zgoda i transfer muzealny</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DSI i komercjalizacja</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Społeczność rdzenna i korzyści</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Status zwierząt i środki</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22">
        <w:r>
          <w:rPr>
            <w:color w:val="2E74B5"/>
            <w:u w:val="single"/>
          </w:rPr>
          <w:t>Oficjalna strona Stetson IEMCC</w:t>
        </w:r>
      </w:hyperlink>
    </w:p>
    <w:p>
      <w:pPr>
        <w:pStyle w:val="ListBullet"/>
      </w:pPr>
      <w:hyperlink r:id="rId23">
        <w:r>
          <w:rPr>
            <w:color w:val="2E74B5"/>
            <w:u w:val="single"/>
          </w:rPr>
          <w:t>Record: Anecoyon v. Ridus</w:t>
        </w:r>
      </w:hyperlink>
    </w:p>
    <w:p>
      <w:pPr>
        <w:pStyle w:val="Heading1"/>
        <w:pageBreakBefore/>
      </w:pPr>
      <w:r>
        <w:t>Część II — klucz do kazusów z prawa polskiego</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7F9FC"/>
          </w:tcPr>
          <w:p>
            <w:pPr>
              <w:spacing w:after="40"/>
            </w:pPr>
            <w:r>
              <w:rPr>
                <w:b/>
                <w:color w:val="0B2545"/>
              </w:rPr>
              <w:t xml:space="preserve">Założenie: </w:t>
            </w:r>
            <w:r>
              <w:t>Klucz polski wskazuje model issue spotting, kolejność analizy i argumenty przeciwne. Nie zastępuje aktualizacji przepisów ani doboru orzecznictwa do konkretnego dnia i stanu faktycznego.</w:t>
            </w:r>
          </w:p>
        </w:tc>
      </w:tr>
    </w:tbl>
    <w:p>
      <w:pPr>
        <w:spacing w:after="0"/>
      </w:pPr>
    </w:p>
    <w:p>
      <w:pPr>
        <w:pStyle w:val="Heading1"/>
        <w:pageBreakBefore/>
      </w:pPr>
      <w:r>
        <w:t>PL-01  Algorytm zwalnia sygnalistkę</w:t>
      </w:r>
    </w:p>
    <w:p>
      <w:r>
        <w:rPr>
          <w:b/>
        </w:rPr>
        <w:t>Prawo pracy, ochrona sygnalistów, RODO, AI Act i tajemnica przedsiębiorstwa</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Najpierw należy odtworzyć rzeczywisty proces decyzyjny i oś czasu. Jeśli zarząd nie miał realnej możliwości kontroli rekomendacji, argument o czysto pomocniczym systemie słabnie. Ochrona sygnalistki nie legalizuje automatycznie każdego sposobu pozyskania i ujawnienia danych, ale środki wobec niej trzeba ocenić osobno i proporcjonalnie. Priorytetem jest zabezpieczenie logów, wersji modelu, kryteriów ratingu i materiałów zarządu przy ochronie tajemnicy.</w:t>
            </w:r>
          </w:p>
        </w:tc>
      </w:tr>
    </w:tbl>
    <w:p>
      <w:pPr>
        <w:spacing w:after="0"/>
      </w:pPr>
    </w:p>
    <w:p>
      <w:pPr>
        <w:pStyle w:val="Heading2"/>
      </w:pPr>
      <w:r>
        <w:t>Mapa zagadnień</w:t>
      </w:r>
    </w:p>
    <w:p>
      <w:r>
        <w:rPr>
          <w:b/>
          <w:color w:val="0B2545"/>
        </w:rPr>
        <w:t xml:space="preserve">Oś czasu i ciężar dowodu. </w:t>
      </w:r>
      <w:r>
        <w:t>Zestaw zgłoszenie, zmianę ratingu, decyzję zarządu i odtworzenie stanowiska; oddziel przyczynę deklarowaną od rzeczywistej.</w:t>
      </w:r>
    </w:p>
    <w:p>
      <w:r>
        <w:rPr>
          <w:b/>
          <w:color w:val="0B2545"/>
        </w:rPr>
        <w:t xml:space="preserve">Sygnaliści i prawo pracy. </w:t>
      </w:r>
      <w:r>
        <w:t>Zbadaj zakres zgłoszenia, warunki ujawnienia publicznego, autentyczność reorganizacji i rolę związku zawodowego.</w:t>
      </w:r>
    </w:p>
    <w:p>
      <w:r>
        <w:rPr>
          <w:b/>
          <w:color w:val="0B2545"/>
        </w:rPr>
        <w:t xml:space="preserve">Dane i AI. </w:t>
      </w:r>
      <w:r>
        <w:t>Ustal role podmiotów, cele, podstawę przetwarzania, profilowanie, nadzór człowieka i obowiązki dokumentacyjne.</w:t>
      </w:r>
    </w:p>
    <w:p>
      <w:r>
        <w:rPr>
          <w:b/>
          <w:color w:val="0B2545"/>
        </w:rPr>
        <w:t xml:space="preserve">Dowody i tajemnice. </w:t>
      </w:r>
      <w:r>
        <w:t>Zaplanuj zabezpieczenie logów, wersji modelu i korespondencji z kontrolowanym dostępem do informacji poufnych.</w:t>
      </w:r>
    </w:p>
    <w:p>
      <w:pPr>
        <w:pStyle w:val="Heading2"/>
      </w:pPr>
      <w:r>
        <w:t>Najsilniejsze argumenty strony A</w:t>
      </w:r>
    </w:p>
    <w:p>
      <w:pPr>
        <w:pStyle w:val="ListBullet"/>
      </w:pPr>
      <w:r>
        <w:t>Bliskość czasowa i odtworzenie stanowiska wspierają tezę o odwecie i pozorności reorganizacji.</w:t>
      </w:r>
    </w:p>
    <w:p>
      <w:pPr>
        <w:pStyle w:val="ListBullet"/>
      </w:pPr>
      <w:r>
        <w:t>Formalne zatwierdzenie nie jest realnym nadzorem, jeżeli zarząd nie rozumiał danych i nie mógł zmienić wyniku.</w:t>
      </w:r>
    </w:p>
    <w:p>
      <w:pPr>
        <w:pStyle w:val="ListBullet"/>
      </w:pPr>
      <w:r>
        <w:t>Tajemnica przedsiębiorstwa nie wyłącza kontroli sądowej; możliwe są biegły, anonimizacja i ograniczony dostęp.</w:t>
      </w:r>
    </w:p>
    <w:p>
      <w:pPr>
        <w:pStyle w:val="Heading2"/>
      </w:pPr>
      <w:r>
        <w:t>Najsilniejsze argumenty strony B</w:t>
      </w:r>
    </w:p>
    <w:p>
      <w:pPr>
        <w:pStyle w:val="ListBullet"/>
      </w:pPr>
      <w:r>
        <w:t>Zgłoszenie mogło dotyczyć sporu jakościowego poza zakresem ustawy, a materiały pozyskano z przekroczeniem uprawnień.</w:t>
      </w:r>
    </w:p>
    <w:p>
      <w:pPr>
        <w:pStyle w:val="ListBullet"/>
      </w:pPr>
      <w:r>
        <w:t>Model był jednym z wielu źródeł, a decyzję podjął zarząd w ramach szerszej reorganizacji.</w:t>
      </w:r>
    </w:p>
    <w:p>
      <w:pPr>
        <w:pStyle w:val="ListBullet"/>
      </w:pPr>
      <w:r>
        <w:t>Ujawnienie danych klientów i kodu nie było konieczne do wykazania problemu.</w:t>
      </w:r>
    </w:p>
    <w:p>
      <w:pPr>
        <w:pStyle w:val="Heading2"/>
      </w:pPr>
      <w:r>
        <w:t>Proponowana sekwencja odpowiedzi</w:t>
      </w:r>
    </w:p>
    <w:p>
      <w:pPr>
        <w:spacing w:after="80" w:line="300" w:lineRule="auto"/>
        <w:numPr>
          <w:ilvl w:val="0"/>
          <w:numId w:val="17"/>
        </w:numPr>
      </w:pPr>
      <w:r>
        <w:t>Ustal jurysdykcję, dopuszczalność i zakres kompetencji każdego organu.</w:t>
      </w:r>
    </w:p>
    <w:p>
      <w:pPr>
        <w:spacing w:after="80" w:line="300" w:lineRule="auto"/>
        <w:numPr>
          <w:ilvl w:val="0"/>
          <w:numId w:val="17"/>
        </w:numPr>
      </w:pPr>
      <w:r>
        <w:t>Zbuduj listę przesłanek dla każdego roszczenia i zarzutu.</w:t>
      </w:r>
    </w:p>
    <w:p>
      <w:pPr>
        <w:spacing w:after="80" w:line="300" w:lineRule="auto"/>
        <w:numPr>
          <w:ilvl w:val="0"/>
          <w:numId w:val="17"/>
        </w:numPr>
      </w:pPr>
      <w:r>
        <w:t>Przypisz fakty oraz braki dowodowe do poszczególnych przesłanek.</w:t>
      </w:r>
    </w:p>
    <w:p>
      <w:pPr>
        <w:spacing w:after="80" w:line="300" w:lineRule="auto"/>
        <w:numPr>
          <w:ilvl w:val="0"/>
          <w:numId w:val="17"/>
        </w:numPr>
      </w:pPr>
      <w:r>
        <w:t>Przedstaw najmocniejszy argument strony przeciwnej i replikę.</w:t>
      </w:r>
    </w:p>
    <w:p>
      <w:pPr>
        <w:spacing w:after="80" w:line="300" w:lineRule="auto"/>
        <w:numPr>
          <w:ilvl w:val="0"/>
          <w:numId w:val="17"/>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Odwet i oś czasu</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Prawo pracy</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Sygnaliści</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RODO i AI</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Ujawnienie i tajemnice</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Dowody i środki</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24">
        <w:r>
          <w:rPr>
            <w:color w:val="2E74B5"/>
            <w:u w:val="single"/>
          </w:rPr>
          <w:t>Kodeks pracy — ELI</w:t>
        </w:r>
      </w:hyperlink>
    </w:p>
    <w:p>
      <w:pPr>
        <w:pStyle w:val="ListBullet"/>
      </w:pPr>
      <w:hyperlink r:id="rId25">
        <w:r>
          <w:rPr>
            <w:color w:val="2E74B5"/>
            <w:u w:val="single"/>
          </w:rPr>
          <w:t>Ustawa o ochronie sygnalistów — ELI</w:t>
        </w:r>
      </w:hyperlink>
    </w:p>
    <w:p>
      <w:pPr>
        <w:pStyle w:val="ListBullet"/>
      </w:pPr>
      <w:hyperlink r:id="rId26">
        <w:r>
          <w:rPr>
            <w:color w:val="2E74B5"/>
            <w:u w:val="single"/>
          </w:rPr>
          <w:t>RODO — EUR-Lex</w:t>
        </w:r>
      </w:hyperlink>
    </w:p>
    <w:p>
      <w:pPr>
        <w:pStyle w:val="ListBullet"/>
      </w:pPr>
      <w:hyperlink r:id="rId27">
        <w:r>
          <w:rPr>
            <w:color w:val="2E74B5"/>
            <w:u w:val="single"/>
          </w:rPr>
          <w:t>AI Act — EUR-Lex</w:t>
        </w:r>
      </w:hyperlink>
    </w:p>
    <w:p>
      <w:pPr>
        <w:pStyle w:val="Heading1"/>
        <w:pageBreakBefore/>
      </w:pPr>
      <w:r>
        <w:t>PL-02  Osiedle na zalewowej łące</w:t>
      </w:r>
    </w:p>
    <w:p>
      <w:r>
        <w:rPr>
          <w:b/>
        </w:rPr>
        <w:t>Planowanie przestrzenne, budownictwo, środowisko, wody i kontrola administracyjna</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Kazus wymaga mapy zależnych aktów, ponieważ wada planu nie daje automatycznie tego samego skutku co wada decyzji środowiskowej lub budowlanej. Nowa mapa nie działa sama przez się wstecz, lecz może uzasadniać środki bezpieczeństwa przy konkretnym zagrożeniu. Prawa inwestora i nabywców wpływają na proporcjonalność oraz odszkodowanie, ale nie wyłączają ochrony życia i środowiska. Publicznoprawny los inwestycji i prywatne rozliczenia wymagają osobnych konkluzji.</w:t>
            </w:r>
          </w:p>
        </w:tc>
      </w:tr>
    </w:tbl>
    <w:p>
      <w:pPr>
        <w:spacing w:after="0"/>
      </w:pPr>
    </w:p>
    <w:p>
      <w:pPr>
        <w:pStyle w:val="Heading2"/>
      </w:pPr>
      <w:r>
        <w:t>Mapa zagadnień</w:t>
      </w:r>
    </w:p>
    <w:p>
      <w:r>
        <w:rPr>
          <w:b/>
          <w:color w:val="0B2545"/>
        </w:rPr>
        <w:t xml:space="preserve">Łańcuch aktów. </w:t>
      </w:r>
      <w:r>
        <w:t>Narysuj zależności między planem, oceną środowiskową, zgodami wodnymi, pozwoleniem i nadzorem.</w:t>
      </w:r>
    </w:p>
    <w:p>
      <w:r>
        <w:rPr>
          <w:b/>
          <w:color w:val="0B2545"/>
        </w:rPr>
        <w:t xml:space="preserve">Konflikt interesów. </w:t>
      </w:r>
      <w:r>
        <w:t>Oddziel wadę procedury planistycznej, wpływ na wynik i kontrolę aktu miejscowego.</w:t>
      </w:r>
    </w:p>
    <w:p>
      <w:r>
        <w:rPr>
          <w:b/>
          <w:color w:val="0B2545"/>
        </w:rPr>
        <w:t xml:space="preserve">Dzielenie przedsięwzięcia. </w:t>
      </w:r>
      <w:r>
        <w:t>Badaj jedność funkcjonalną, przestrzenną i czasową oraz oddziaływania skumulowane.</w:t>
      </w:r>
    </w:p>
    <w:p>
      <w:r>
        <w:rPr>
          <w:b/>
          <w:color w:val="0B2545"/>
        </w:rPr>
        <w:t xml:space="preserve">Trwałość a zagrożenie. </w:t>
      </w:r>
      <w:r>
        <w:t>Rozróżnij wadę pierwotną, nowy fakt i bezpośrednie ryzyko; dobierz tryb i środek proporcjonalny.</w:t>
      </w:r>
    </w:p>
    <w:p>
      <w:pPr>
        <w:pStyle w:val="Heading2"/>
      </w:pPr>
      <w:r>
        <w:t>Najsilniejsze argumenty strony A</w:t>
      </w:r>
    </w:p>
    <w:p>
      <w:pPr>
        <w:pStyle w:val="ListBullet"/>
      </w:pPr>
      <w:r>
        <w:t>Inwestor działał w zaufaniu do planu i decyzji; nowa mapa nie unicestwia automatycznie praw nabytych.</w:t>
      </w:r>
    </w:p>
    <w:p>
      <w:pPr>
        <w:pStyle w:val="ListBullet"/>
      </w:pPr>
      <w:r>
        <w:t>Etapy mają odrębne funkcje i harmonogram, a ryzyko można ograniczyć technicznie.</w:t>
      </w:r>
    </w:p>
    <w:p>
      <w:pPr>
        <w:pStyle w:val="ListBullet"/>
      </w:pPr>
      <w:r>
        <w:t>Gmina znała historię terenu i może odpowiadać za nierzetelne planowanie.</w:t>
      </w:r>
    </w:p>
    <w:p>
      <w:pPr>
        <w:pStyle w:val="Heading2"/>
      </w:pPr>
      <w:r>
        <w:t>Najsilniejsze argumenty strony B</w:t>
      </w:r>
    </w:p>
    <w:p>
      <w:pPr>
        <w:pStyle w:val="ListBullet"/>
      </w:pPr>
      <w:r>
        <w:t>Projekt jest gospodarczo jednym osiedlem, a podział ograniczył analizę kumulacji i udział społeczeństwa.</w:t>
      </w:r>
    </w:p>
    <w:p>
      <w:pPr>
        <w:pStyle w:val="ListBullet"/>
      </w:pPr>
      <w:r>
        <w:t>Ochrona życia uzasadnia natychmiastowe środki niezależnie od późniejszych odszkodowań.</w:t>
      </w:r>
    </w:p>
    <w:p>
      <w:pPr>
        <w:pStyle w:val="ListBullet"/>
      </w:pPr>
      <w:r>
        <w:t>Profesjonalny inwestor powinien samodzielnie zbadać warunki hydrologiczne.</w:t>
      </w:r>
    </w:p>
    <w:p>
      <w:pPr>
        <w:pStyle w:val="Heading2"/>
      </w:pPr>
      <w:r>
        <w:t>Proponowana sekwencja odpowiedzi</w:t>
      </w:r>
    </w:p>
    <w:p>
      <w:pPr>
        <w:spacing w:after="80" w:line="300" w:lineRule="auto"/>
        <w:numPr>
          <w:ilvl w:val="0"/>
          <w:numId w:val="18"/>
        </w:numPr>
      </w:pPr>
      <w:r>
        <w:t>Ustal jurysdykcję, dopuszczalność i zakres kompetencji każdego organu.</w:t>
      </w:r>
    </w:p>
    <w:p>
      <w:pPr>
        <w:spacing w:after="80" w:line="300" w:lineRule="auto"/>
        <w:numPr>
          <w:ilvl w:val="0"/>
          <w:numId w:val="18"/>
        </w:numPr>
      </w:pPr>
      <w:r>
        <w:t>Zbuduj listę przesłanek dla każdego roszczenia i zarzutu.</w:t>
      </w:r>
    </w:p>
    <w:p>
      <w:pPr>
        <w:spacing w:after="80" w:line="300" w:lineRule="auto"/>
        <w:numPr>
          <w:ilvl w:val="0"/>
          <w:numId w:val="18"/>
        </w:numPr>
      </w:pPr>
      <w:r>
        <w:t>Przypisz fakty oraz braki dowodowe do poszczególnych przesłanek.</w:t>
      </w:r>
    </w:p>
    <w:p>
      <w:pPr>
        <w:spacing w:after="80" w:line="300" w:lineRule="auto"/>
        <w:numPr>
          <w:ilvl w:val="0"/>
          <w:numId w:val="18"/>
        </w:numPr>
      </w:pPr>
      <w:r>
        <w:t>Przedstaw najmocniejszy argument strony przeciwnej i replikę.</w:t>
      </w:r>
    </w:p>
    <w:p>
      <w:pPr>
        <w:spacing w:after="80" w:line="300" w:lineRule="auto"/>
        <w:numPr>
          <w:ilvl w:val="0"/>
          <w:numId w:val="18"/>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Mapa aktów</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Plan i konflikt interesów</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OOŚ i kumulacja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Wody i budownictwo</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Kontrola sądowa</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Roszczenia i środki</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28">
        <w:r>
          <w:rPr>
            <w:color w:val="2E74B5"/>
            <w:u w:val="single"/>
          </w:rPr>
          <w:t>Planowanie przestrzenne — ELI</w:t>
        </w:r>
      </w:hyperlink>
    </w:p>
    <w:p>
      <w:pPr>
        <w:pStyle w:val="ListBullet"/>
      </w:pPr>
      <w:hyperlink r:id="rId29">
        <w:r>
          <w:rPr>
            <w:color w:val="2E74B5"/>
            <w:u w:val="single"/>
          </w:rPr>
          <w:t>Prawo budowlane — ELI</w:t>
        </w:r>
      </w:hyperlink>
    </w:p>
    <w:p>
      <w:pPr>
        <w:pStyle w:val="ListBullet"/>
      </w:pPr>
      <w:hyperlink r:id="rId30">
        <w:r>
          <w:rPr>
            <w:color w:val="2E74B5"/>
            <w:u w:val="single"/>
          </w:rPr>
          <w:t>Ustawa środowiskowa i OOŚ — ELI</w:t>
        </w:r>
      </w:hyperlink>
    </w:p>
    <w:p>
      <w:pPr>
        <w:pStyle w:val="ListBullet"/>
      </w:pPr>
      <w:hyperlink r:id="rId31">
        <w:r>
          <w:rPr>
            <w:color w:val="2E74B5"/>
            <w:u w:val="single"/>
          </w:rPr>
          <w:t>Prawo wodne — ELI</w:t>
        </w:r>
      </w:hyperlink>
    </w:p>
    <w:p>
      <w:pPr>
        <w:pStyle w:val="Heading1"/>
        <w:pageBreakBefore/>
      </w:pPr>
      <w:r>
        <w:t>PL-03  Fundacja po śmierci fundatora</w:t>
      </w:r>
    </w:p>
    <w:p>
      <w:r>
        <w:rPr>
          <w:b/>
        </w:rPr>
        <w:t>Sukcesja, zachowek, majątek małżeński, governance, upadłość i podatki</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Analiza musi być prowadzona aktywo po aktywie i zobowiązanie po zobowiązaniu. Fundacja nie jest ani zwykłą masą spadkową, ani absolutną tarczą. Najpierw bada się skuteczność wniesienia mienia, potem roszczenia spadkowe i wierzycielskie, a osobno decyzje organów po śmierci fundatora. Kryzys spółki wymaga własnej analizy niewypłacalności. Rekomendacja powinna obejmować niezależne wyceny, wstrzymanie transakcji powiązanych i kontrolę konfliktów.</w:t>
            </w:r>
          </w:p>
        </w:tc>
      </w:tr>
    </w:tbl>
    <w:p>
      <w:pPr>
        <w:spacing w:after="0"/>
      </w:pPr>
    </w:p>
    <w:p>
      <w:pPr>
        <w:pStyle w:val="Heading2"/>
      </w:pPr>
      <w:r>
        <w:t>Mapa zagadnień</w:t>
      </w:r>
    </w:p>
    <w:p>
      <w:r>
        <w:rPr>
          <w:b/>
          <w:color w:val="0B2545"/>
        </w:rPr>
        <w:t xml:space="preserve">Tytuł do aktywów. </w:t>
      </w:r>
      <w:r>
        <w:t>Badaj źródło każdego składnika, zgody, formę i skutek ewentualnej wadliwości.</w:t>
      </w:r>
    </w:p>
    <w:p>
      <w:r>
        <w:rPr>
          <w:b/>
          <w:color w:val="0B2545"/>
        </w:rPr>
        <w:t xml:space="preserve">Spadek i świadczenia. </w:t>
      </w:r>
      <w:r>
        <w:t>Rozpisz masę, transfery, uprawnionych i relację świadczeń do roszczeń spadkowych.</w:t>
      </w:r>
    </w:p>
    <w:p>
      <w:r>
        <w:rPr>
          <w:b/>
          <w:color w:val="0B2545"/>
        </w:rPr>
        <w:t xml:space="preserve">Wierzyciele i niewypłacalność. </w:t>
      </w:r>
      <w:r>
        <w:t>Zbuduj oś zobowiązań i rozporządzeń; oddziel fundację od spółki operacyjnej.</w:t>
      </w:r>
    </w:p>
    <w:p>
      <w:r>
        <w:rPr>
          <w:b/>
          <w:color w:val="0B2545"/>
        </w:rPr>
        <w:t xml:space="preserve">Governance i podatki. </w:t>
      </w:r>
      <w:r>
        <w:t>Oceń konflikt interesów, niezależne wyceny, rzeczywistą działalność i przepływy powiązane.</w:t>
      </w:r>
    </w:p>
    <w:p>
      <w:pPr>
        <w:pStyle w:val="Heading2"/>
      </w:pPr>
      <w:r>
        <w:t>Najsilniejsze argumenty strony A</w:t>
      </w:r>
    </w:p>
    <w:p>
      <w:pPr>
        <w:pStyle w:val="ListBullet"/>
      </w:pPr>
      <w:r>
        <w:t>Fundacja ma odrębną podmiotowość, a roszczenia spadkowe nie oznaczają zwrotu całego mienia.</w:t>
      </w:r>
    </w:p>
    <w:p>
      <w:pPr>
        <w:pStyle w:val="ListBullet"/>
      </w:pPr>
      <w:r>
        <w:t>Statut realizuje dopuszczalny plan sukcesyjny i chroni ciągłość biznesu.</w:t>
      </w:r>
    </w:p>
    <w:p>
      <w:pPr>
        <w:pStyle w:val="ListBullet"/>
      </w:pPr>
      <w:r>
        <w:t>Kryzys spółki nie jest tożsamy z niewypłacalnością fundacji.</w:t>
      </w:r>
    </w:p>
    <w:p>
      <w:pPr>
        <w:pStyle w:val="Heading2"/>
      </w:pPr>
      <w:r>
        <w:t>Najsilniejsze argumenty strony B</w:t>
      </w:r>
    </w:p>
    <w:p>
      <w:pPr>
        <w:pStyle w:val="ListBullet"/>
      </w:pPr>
      <w:r>
        <w:t>Brak zgody małżonki podważa tytuł fundacji do części aktywów.</w:t>
      </w:r>
    </w:p>
    <w:p>
      <w:pPr>
        <w:pStyle w:val="ListBullet"/>
      </w:pPr>
      <w:r>
        <w:t>Transfery mogły pokrzywdzić uprawnionych i wierzycieli przy istniejących zobowiązaniach.</w:t>
      </w:r>
    </w:p>
    <w:p>
      <w:pPr>
        <w:pStyle w:val="ListBullet"/>
      </w:pPr>
      <w:r>
        <w:t>Wypłaty i sprzedaż do podmiotu powiązanego naruszają standard lojalności organów.</w:t>
      </w:r>
    </w:p>
    <w:p>
      <w:pPr>
        <w:pStyle w:val="Heading2"/>
      </w:pPr>
      <w:r>
        <w:t>Proponowana sekwencja odpowiedzi</w:t>
      </w:r>
    </w:p>
    <w:p>
      <w:pPr>
        <w:spacing w:after="80" w:line="300" w:lineRule="auto"/>
        <w:numPr>
          <w:ilvl w:val="0"/>
          <w:numId w:val="19"/>
        </w:numPr>
      </w:pPr>
      <w:r>
        <w:t>Ustal jurysdykcję, dopuszczalność i zakres kompetencji każdego organu.</w:t>
      </w:r>
    </w:p>
    <w:p>
      <w:pPr>
        <w:spacing w:after="80" w:line="300" w:lineRule="auto"/>
        <w:numPr>
          <w:ilvl w:val="0"/>
          <w:numId w:val="19"/>
        </w:numPr>
      </w:pPr>
      <w:r>
        <w:t>Zbuduj listę przesłanek dla każdego roszczenia i zarzutu.</w:t>
      </w:r>
    </w:p>
    <w:p>
      <w:pPr>
        <w:spacing w:after="80" w:line="300" w:lineRule="auto"/>
        <w:numPr>
          <w:ilvl w:val="0"/>
          <w:numId w:val="19"/>
        </w:numPr>
      </w:pPr>
      <w:r>
        <w:t>Przypisz fakty oraz braki dowodowe do poszczególnych przesłanek.</w:t>
      </w:r>
    </w:p>
    <w:p>
      <w:pPr>
        <w:spacing w:after="80" w:line="300" w:lineRule="auto"/>
        <w:numPr>
          <w:ilvl w:val="0"/>
          <w:numId w:val="19"/>
        </w:numPr>
      </w:pPr>
      <w:r>
        <w:t>Przedstaw najmocniejszy argument strony przeciwnej i replikę.</w:t>
      </w:r>
    </w:p>
    <w:p>
      <w:pPr>
        <w:spacing w:after="80" w:line="300" w:lineRule="auto"/>
        <w:numPr>
          <w:ilvl w:val="0"/>
          <w:numId w:val="19"/>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Majątek małżeński</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Spadek i zachowek</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Fundacja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Wierzyciele i upadłość</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Governance</w:t>
            </w:r>
          </w:p>
        </w:tc>
        <w:tc>
          <w:tcPr>
            <w:tcW w:type="dxa" w:w="1200"/>
            <w:vAlign w:val="center"/>
            <w:tcMar>
              <w:top w:w="80" w:type="dxa"/>
              <w:start w:w="120" w:type="dxa"/>
              <w:bottom w:w="80" w:type="dxa"/>
              <w:end w:w="120" w:type="dxa"/>
            </w:tcMar>
          </w:tcPr>
          <w:p>
            <w:pPr>
              <w:jc w:val="center"/>
            </w:pPr>
            <w:r>
              <w:t>10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Podatki i plan działań</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32">
        <w:r>
          <w:rPr>
            <w:color w:val="2E74B5"/>
            <w:u w:val="single"/>
          </w:rPr>
          <w:t>Ustawa o fundacji rodzinnej — ELI</w:t>
        </w:r>
      </w:hyperlink>
    </w:p>
    <w:p>
      <w:pPr>
        <w:pStyle w:val="ListBullet"/>
      </w:pPr>
      <w:hyperlink r:id="rId33">
        <w:r>
          <w:rPr>
            <w:color w:val="2E74B5"/>
            <w:u w:val="single"/>
          </w:rPr>
          <w:t>Kodeks cywilny — ELI</w:t>
        </w:r>
      </w:hyperlink>
    </w:p>
    <w:p>
      <w:pPr>
        <w:pStyle w:val="ListBullet"/>
      </w:pPr>
      <w:hyperlink r:id="rId34">
        <w:r>
          <w:rPr>
            <w:color w:val="2E74B5"/>
            <w:u w:val="single"/>
          </w:rPr>
          <w:t>Prawo upadłościowe — ELI</w:t>
        </w:r>
      </w:hyperlink>
    </w:p>
    <w:p>
      <w:pPr>
        <w:pStyle w:val="ListBullet"/>
      </w:pPr>
      <w:hyperlink r:id="rId35">
        <w:r>
          <w:rPr>
            <w:color w:val="2E74B5"/>
            <w:u w:val="single"/>
          </w:rPr>
          <w:t>Ustawa o CIT — ELI</w:t>
        </w:r>
      </w:hyperlink>
    </w:p>
    <w:p>
      <w:pPr>
        <w:pStyle w:val="Heading1"/>
        <w:pageBreakBefore/>
      </w:pPr>
      <w:r>
        <w:t>PL-04  Szpital podpowiada diagnozę</w:t>
      </w:r>
    </w:p>
    <w:p>
      <w:r>
        <w:rPr>
          <w:b/>
        </w:rPr>
        <w:t>Prawa pacjenta, błąd medyczny, wyrób medyczny, AI i odpowiedzialność wielopodmiotowa</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Trzeba rozdzielić błąd kliniczny, wadę organizacyjną i wadę produktu, a połączyć je dopiero na poziomie przyczynowości i regresu. System wspomagający nie zwalnia lekarza z badania, lecz projekt interfejsu i procedury szpitala mogą kształtować zachowanie. Przy brakujących logach konieczne są opinie biegłych i szybkie zabezpieczenie dowodów. Odpowiedzialność wobec pacjentki trzeba oddzielić od rozliczeń profesjonalistów.</w:t>
            </w:r>
          </w:p>
        </w:tc>
      </w:tr>
    </w:tbl>
    <w:p>
      <w:pPr>
        <w:spacing w:after="0"/>
      </w:pPr>
    </w:p>
    <w:p>
      <w:pPr>
        <w:pStyle w:val="Heading2"/>
      </w:pPr>
      <w:r>
        <w:t>Mapa zagadnień</w:t>
      </w:r>
    </w:p>
    <w:p>
      <w:r>
        <w:rPr>
          <w:b/>
          <w:color w:val="0B2545"/>
        </w:rPr>
        <w:t xml:space="preserve">Standard kliniczny. </w:t>
      </w:r>
      <w:r>
        <w:t>Technologia nie zastępuje badania; oceń procedury eskalacji i informacje dostępne ex ante.</w:t>
      </w:r>
    </w:p>
    <w:p>
      <w:r>
        <w:rPr>
          <w:b/>
          <w:color w:val="0B2545"/>
        </w:rPr>
        <w:t xml:space="preserve">Produkt i role. </w:t>
      </w:r>
      <w:r>
        <w:t>Zbadaj przeznaczenie, skutki aktualizacji oraz role producenta, integratora i użytkownika.</w:t>
      </w:r>
    </w:p>
    <w:p>
      <w:r>
        <w:rPr>
          <w:b/>
          <w:color w:val="0B2545"/>
        </w:rPr>
        <w:t xml:space="preserve">Odpowiedzialność. </w:t>
      </w:r>
      <w:r>
        <w:t>Oddziel wadę organizacyjną, zawodową, produktową i kontraktową oraz regres.</w:t>
      </w:r>
    </w:p>
    <w:p>
      <w:r>
        <w:rPr>
          <w:b/>
          <w:color w:val="0B2545"/>
        </w:rPr>
        <w:t xml:space="preserve">Przyczynowość i dowody. </w:t>
      </w:r>
      <w:r>
        <w:t>Zbuduj warianty medyczne z biegłymi; brak logów może wpływać na ocenę wyjaśnień profesjonalistów.</w:t>
      </w:r>
    </w:p>
    <w:p>
      <w:pPr>
        <w:pStyle w:val="Heading2"/>
      </w:pPr>
      <w:r>
        <w:t>Najsilniejsze argumenty strony A</w:t>
      </w:r>
    </w:p>
    <w:p>
      <w:pPr>
        <w:pStyle w:val="ListBullet"/>
      </w:pPr>
      <w:r>
        <w:t>Szpital wdrożył system bez skutecznego nadzoru, szkoleń i obsługi ostrzeżeń.</w:t>
      </w:r>
    </w:p>
    <w:p>
      <w:pPr>
        <w:pStyle w:val="ListBullet"/>
      </w:pPr>
      <w:r>
        <w:t>Lekarz nie może bezrefleksyjnie oprzeć diagnozy na wyniku przy objawach alarmowych.</w:t>
      </w:r>
    </w:p>
    <w:p>
      <w:pPr>
        <w:pStyle w:val="ListBullet"/>
      </w:pPr>
      <w:r>
        <w:t>Niekompletna dokumentacja nie powinna obciążać pacjentki.</w:t>
      </w:r>
    </w:p>
    <w:p>
      <w:pPr>
        <w:pStyle w:val="Heading2"/>
      </w:pPr>
      <w:r>
        <w:t>Najsilniejsze argumenty strony B</w:t>
      </w:r>
    </w:p>
    <w:p>
      <w:pPr>
        <w:pStyle w:val="ListBullet"/>
      </w:pPr>
      <w:r>
        <w:t>System był tylko pomocą, a decyzję podejmował lekarz.</w:t>
      </w:r>
    </w:p>
    <w:p>
      <w:pPr>
        <w:pStyle w:val="ListBullet"/>
      </w:pPr>
      <w:r>
        <w:t>Błąd wynikał z niewprowadzenia informacji, której producent nie mógł uzupełnić.</w:t>
      </w:r>
    </w:p>
    <w:p>
      <w:pPr>
        <w:pStyle w:val="ListBullet"/>
      </w:pPr>
      <w:r>
        <w:t>Wcześniejsze rozpoznanie nie gwarantowało uniknięcia całego uszczerbku.</w:t>
      </w:r>
    </w:p>
    <w:p>
      <w:pPr>
        <w:pStyle w:val="Heading2"/>
      </w:pPr>
      <w:r>
        <w:t>Proponowana sekwencja odpowiedzi</w:t>
      </w:r>
    </w:p>
    <w:p>
      <w:pPr>
        <w:spacing w:after="80" w:line="300" w:lineRule="auto"/>
        <w:numPr>
          <w:ilvl w:val="0"/>
          <w:numId w:val="20"/>
        </w:numPr>
      </w:pPr>
      <w:r>
        <w:t>Ustal jurysdykcję, dopuszczalność i zakres kompetencji każdego organu.</w:t>
      </w:r>
    </w:p>
    <w:p>
      <w:pPr>
        <w:spacing w:after="80" w:line="300" w:lineRule="auto"/>
        <w:numPr>
          <w:ilvl w:val="0"/>
          <w:numId w:val="20"/>
        </w:numPr>
      </w:pPr>
      <w:r>
        <w:t>Zbuduj listę przesłanek dla każdego roszczenia i zarzutu.</w:t>
      </w:r>
    </w:p>
    <w:p>
      <w:pPr>
        <w:spacing w:after="80" w:line="300" w:lineRule="auto"/>
        <w:numPr>
          <w:ilvl w:val="0"/>
          <w:numId w:val="20"/>
        </w:numPr>
      </w:pPr>
      <w:r>
        <w:t>Przypisz fakty oraz braki dowodowe do poszczególnych przesłanek.</w:t>
      </w:r>
    </w:p>
    <w:p>
      <w:pPr>
        <w:spacing w:after="80" w:line="300" w:lineRule="auto"/>
        <w:numPr>
          <w:ilvl w:val="0"/>
          <w:numId w:val="20"/>
        </w:numPr>
      </w:pPr>
      <w:r>
        <w:t>Przedstaw najmocniejszy argument strony przeciwnej i replikę.</w:t>
      </w:r>
    </w:p>
    <w:p>
      <w:pPr>
        <w:spacing w:after="80" w:line="300" w:lineRule="auto"/>
        <w:numPr>
          <w:ilvl w:val="0"/>
          <w:numId w:val="20"/>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Prawa pacjenta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Wyrób medyczny i AI</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Odpowiedzialność</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Przyczynowość</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Dane i informacja</w:t>
            </w:r>
          </w:p>
        </w:tc>
        <w:tc>
          <w:tcPr>
            <w:tcW w:type="dxa" w:w="1200"/>
            <w:vAlign w:val="center"/>
            <w:tcMar>
              <w:top w:w="80" w:type="dxa"/>
              <w:start w:w="120" w:type="dxa"/>
              <w:bottom w:w="80" w:type="dxa"/>
              <w:end w:w="120" w:type="dxa"/>
            </w:tcMar>
          </w:tcPr>
          <w:p>
            <w:pPr>
              <w:jc w:val="center"/>
            </w:pPr>
            <w:r>
              <w:t>10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Dowody i regres</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36">
        <w:r>
          <w:rPr>
            <w:color w:val="2E74B5"/>
            <w:u w:val="single"/>
          </w:rPr>
          <w:t>Prawa pacjenta — ELI</w:t>
        </w:r>
      </w:hyperlink>
    </w:p>
    <w:p>
      <w:pPr>
        <w:pStyle w:val="ListBullet"/>
      </w:pPr>
      <w:hyperlink r:id="rId37">
        <w:r>
          <w:rPr>
            <w:color w:val="2E74B5"/>
            <w:u w:val="single"/>
          </w:rPr>
          <w:t>Działalność lecznicza — ELI</w:t>
        </w:r>
      </w:hyperlink>
    </w:p>
    <w:p>
      <w:pPr>
        <w:pStyle w:val="ListBullet"/>
      </w:pPr>
      <w:hyperlink r:id="rId38">
        <w:r>
          <w:rPr>
            <w:color w:val="2E74B5"/>
            <w:u w:val="single"/>
          </w:rPr>
          <w:t>Wyroby medyczne — ELI</w:t>
        </w:r>
      </w:hyperlink>
    </w:p>
    <w:p>
      <w:pPr>
        <w:pStyle w:val="ListBullet"/>
      </w:pPr>
      <w:hyperlink r:id="rId27">
        <w:r>
          <w:rPr>
            <w:color w:val="2E74B5"/>
            <w:u w:val="single"/>
          </w:rPr>
          <w:t>AI Act — EUR-Lex</w:t>
        </w:r>
      </w:hyperlink>
    </w:p>
    <w:p>
      <w:pPr>
        <w:pStyle w:val="Heading1"/>
        <w:pageBreakBefore/>
      </w:pPr>
      <w:r>
        <w:t>PL-05  Chmura dla metropolii</w:t>
      </w:r>
    </w:p>
    <w:p>
      <w:r>
        <w:rPr>
          <w:b/>
        </w:rPr>
        <w:t>Zamówienia publiczne, cyberbezpieczeństwo, RODO, tajemnice i ciągłość usług</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Bezpieczeństwo może być kryterium i warunkiem, ale musi być obiektywne, mierzalne i otwarte na rozwiązania równoważne. Tajemnica wymaga uzasadnienia per informacja. Incydent po wyborze nie pozwala swobodnie przepisać wymagań: trzeba odróżnić doprecyzowanie od nowego warunku konkurencji. Środek czasowy powinien zabezpieczyć ciągłość usług bez przesądzania długiej umowy i wymuszać odwracalność migracji.</w:t>
            </w:r>
          </w:p>
        </w:tc>
      </w:tr>
    </w:tbl>
    <w:p>
      <w:pPr>
        <w:spacing w:after="0"/>
      </w:pPr>
    </w:p>
    <w:p>
      <w:pPr>
        <w:pStyle w:val="Heading2"/>
      </w:pPr>
      <w:r>
        <w:t>Mapa zagadnień</w:t>
      </w:r>
    </w:p>
    <w:p>
      <w:r>
        <w:rPr>
          <w:b/>
          <w:color w:val="0B2545"/>
        </w:rPr>
        <w:t xml:space="preserve">Kryteria. </w:t>
      </w:r>
      <w:r>
        <w:t>Oceń związek z przedmiotem, weryfikowalność, proporcjonalność i równoważność.</w:t>
      </w:r>
    </w:p>
    <w:p>
      <w:r>
        <w:rPr>
          <w:b/>
          <w:color w:val="0B2545"/>
        </w:rPr>
        <w:t xml:space="preserve">Zasoby i poufność. </w:t>
      </w:r>
      <w:r>
        <w:t>Ustal wykonawcę elementów krytycznych i wymagaj uzasadnienia tajemnicy per informacja.</w:t>
      </w:r>
    </w:p>
    <w:p>
      <w:r>
        <w:rPr>
          <w:b/>
          <w:color w:val="0B2545"/>
        </w:rPr>
        <w:t xml:space="preserve">Zmiana po incydencie. </w:t>
      </w:r>
      <w:r>
        <w:t>Oddziel doprecyzowanie istniejącego ryzyka od nowego wymagania wpływającego na cenę i konkurencję.</w:t>
      </w:r>
    </w:p>
    <w:p>
      <w:r>
        <w:rPr>
          <w:b/>
          <w:color w:val="0B2545"/>
        </w:rPr>
        <w:t xml:space="preserve">Ciągłość i wyjście. </w:t>
      </w:r>
      <w:r>
        <w:t>Uwzględnij migrację, przenoszalność, audyt, incydenty, klucze i zakończenie współpracy.</w:t>
      </w:r>
    </w:p>
    <w:p>
      <w:pPr>
        <w:pStyle w:val="Heading2"/>
      </w:pPr>
      <w:r>
        <w:t>Najsilniejsze argumenty strony A</w:t>
      </w:r>
    </w:p>
    <w:p>
      <w:pPr>
        <w:pStyle w:val="ListBullet"/>
      </w:pPr>
      <w:r>
        <w:t>Bezpieczeństwo musi być obiektywnie mierzone, nie zastępowane preferencją geograficzną.</w:t>
      </w:r>
    </w:p>
    <w:p>
      <w:pPr>
        <w:pStyle w:val="ListBullet"/>
      </w:pPr>
      <w:r>
        <w:t>Utajnienie kluczowych parametrów uniemożliwia skuteczne odwołanie.</w:t>
      </w:r>
    </w:p>
    <w:p>
      <w:pPr>
        <w:pStyle w:val="ListBullet"/>
      </w:pPr>
      <w:r>
        <w:t>Nowe obowiązki po ofertach mogą wymagać ponownego otwarcia konkurencji.</w:t>
      </w:r>
    </w:p>
    <w:p>
      <w:pPr>
        <w:pStyle w:val="Heading2"/>
      </w:pPr>
      <w:r>
        <w:t>Najsilniejsze argumenty strony B</w:t>
      </w:r>
    </w:p>
    <w:p>
      <w:pPr>
        <w:pStyle w:val="ListBullet"/>
      </w:pPr>
      <w:r>
        <w:t>Usługi są krytyczne, a kontrola kluczy i audyt mają bezpośredni związek z ryzykiem.</w:t>
      </w:r>
    </w:p>
    <w:p>
      <w:pPr>
        <w:pStyle w:val="ListBullet"/>
      </w:pPr>
      <w:r>
        <w:t>Architektura i ceny mają rzeczywistą wartość gospodarczą.</w:t>
      </w:r>
    </w:p>
    <w:p>
      <w:pPr>
        <w:pStyle w:val="ListBullet"/>
      </w:pPr>
      <w:r>
        <w:t>Incydent jest nową okolicznością, na którą zamawiający musi zareagować.</w:t>
      </w:r>
    </w:p>
    <w:p>
      <w:pPr>
        <w:pStyle w:val="Heading2"/>
      </w:pPr>
      <w:r>
        <w:t>Proponowana sekwencja odpowiedzi</w:t>
      </w:r>
    </w:p>
    <w:p>
      <w:pPr>
        <w:spacing w:after="80" w:line="300" w:lineRule="auto"/>
        <w:numPr>
          <w:ilvl w:val="0"/>
          <w:numId w:val="21"/>
        </w:numPr>
      </w:pPr>
      <w:r>
        <w:t>Ustal jurysdykcję, dopuszczalność i zakres kompetencji każdego organu.</w:t>
      </w:r>
    </w:p>
    <w:p>
      <w:pPr>
        <w:spacing w:after="80" w:line="300" w:lineRule="auto"/>
        <w:numPr>
          <w:ilvl w:val="0"/>
          <w:numId w:val="21"/>
        </w:numPr>
      </w:pPr>
      <w:r>
        <w:t>Zbuduj listę przesłanek dla każdego roszczenia i zarzutu.</w:t>
      </w:r>
    </w:p>
    <w:p>
      <w:pPr>
        <w:spacing w:after="80" w:line="300" w:lineRule="auto"/>
        <w:numPr>
          <w:ilvl w:val="0"/>
          <w:numId w:val="21"/>
        </w:numPr>
      </w:pPr>
      <w:r>
        <w:t>Przypisz fakty oraz braki dowodowe do poszczególnych przesłanek.</w:t>
      </w:r>
    </w:p>
    <w:p>
      <w:pPr>
        <w:spacing w:after="80" w:line="300" w:lineRule="auto"/>
        <w:numPr>
          <w:ilvl w:val="0"/>
          <w:numId w:val="21"/>
        </w:numPr>
      </w:pPr>
      <w:r>
        <w:t>Przedstaw najmocniejszy argument strony przeciwnej i replikę.</w:t>
      </w:r>
    </w:p>
    <w:p>
      <w:pPr>
        <w:spacing w:after="80" w:line="300" w:lineRule="auto"/>
        <w:numPr>
          <w:ilvl w:val="0"/>
          <w:numId w:val="21"/>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Opis i kryteria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Zasoby</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Poufność i KIO</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Zmiana wymagań</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Cyber i dane</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Środek tymczasowy</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39">
        <w:r>
          <w:rPr>
            <w:color w:val="2E74B5"/>
            <w:u w:val="single"/>
          </w:rPr>
          <w:t>Prawo zamówień publicznych — ELI</w:t>
        </w:r>
      </w:hyperlink>
    </w:p>
    <w:p>
      <w:pPr>
        <w:pStyle w:val="ListBullet"/>
      </w:pPr>
      <w:hyperlink r:id="rId40">
        <w:r>
          <w:rPr>
            <w:color w:val="2E74B5"/>
            <w:u w:val="single"/>
          </w:rPr>
          <w:t>Krajowy system cyberbezpieczeństwa — ELI</w:t>
        </w:r>
      </w:hyperlink>
    </w:p>
    <w:p>
      <w:pPr>
        <w:pStyle w:val="ListBullet"/>
      </w:pPr>
      <w:hyperlink r:id="rId26">
        <w:r>
          <w:rPr>
            <w:color w:val="2E74B5"/>
            <w:u w:val="single"/>
          </w:rPr>
          <w:t>RODO — EUR-Lex</w:t>
        </w:r>
      </w:hyperlink>
    </w:p>
    <w:p>
      <w:pPr>
        <w:pStyle w:val="Heading1"/>
        <w:pageBreakBefore/>
      </w:pPr>
      <w:r>
        <w:t>PL-06  Karuzela, faktoring i milczący zarząd</w:t>
      </w:r>
    </w:p>
    <w:p>
      <w:r>
        <w:rPr>
          <w:b/>
        </w:rPr>
        <w:t>VAT, KKS, AML, odpowiedzialność organów spółki i dowody cyfrowe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Nie wolno użyć etykiety „karuzela” zamiast przesłanek. Trzeba odtworzyć każdy łańcuch dostaw i płatności, a potem przypisać wiedzę oraz decyzje konkretnym osobom. Ocena podatkowa i odpowiedzialność KKS są faktycznie powiązane, lecz mają odrębne testy. Alert AML jest sygnałem, nie dowodem. Strategia powinna równolegle zabezpieczyć dane, ochronić tajemnicę, zakwestionować nieproporcjonalne zabezpieczenia i zarządzić konfliktem interesów.</w:t>
            </w:r>
          </w:p>
        </w:tc>
      </w:tr>
    </w:tbl>
    <w:p>
      <w:pPr>
        <w:spacing w:after="0"/>
      </w:pPr>
    </w:p>
    <w:p>
      <w:pPr>
        <w:pStyle w:val="Heading2"/>
      </w:pPr>
      <w:r>
        <w:t>Mapa zagadnień</w:t>
      </w:r>
    </w:p>
    <w:p>
      <w:r>
        <w:rPr>
          <w:b/>
          <w:color w:val="0B2545"/>
        </w:rPr>
        <w:t xml:space="preserve">Wielotorowość. </w:t>
      </w:r>
      <w:r>
        <w:t>Utwórz osobne tabele przesłanek i standardów dowodowych; jeden wynik nie przesądza pozostałych.</w:t>
      </w:r>
    </w:p>
    <w:p>
      <w:r>
        <w:rPr>
          <w:b/>
          <w:color w:val="0B2545"/>
        </w:rPr>
        <w:t xml:space="preserve">Staranność. </w:t>
      </w:r>
      <w:r>
        <w:t>Oceń czerwone flagi łącznie z rzeczywistymi działaniami, nie samym posiadaniem procedury.</w:t>
      </w:r>
    </w:p>
    <w:p>
      <w:r>
        <w:rPr>
          <w:b/>
          <w:color w:val="0B2545"/>
        </w:rPr>
        <w:t xml:space="preserve">Odpowiedzialność osób. </w:t>
      </w:r>
      <w:r>
        <w:t>Przypisz informacje i kontrolę konkretnym członkom organów i pracownikom.</w:t>
      </w:r>
    </w:p>
    <w:p>
      <w:r>
        <w:rPr>
          <w:b/>
          <w:color w:val="0B2545"/>
        </w:rPr>
        <w:t xml:space="preserve">Dowody i AML. </w:t>
      </w:r>
      <w:r>
        <w:t>Oddziel alert ryzyka od dowodu oszustwa; zabezpiecz dane z poszanowaniem tajemnicy zawodowej.</w:t>
      </w:r>
    </w:p>
    <w:p>
      <w:pPr>
        <w:pStyle w:val="Heading2"/>
      </w:pPr>
      <w:r>
        <w:t>Najsilniejsze argumenty strony A</w:t>
      </w:r>
    </w:p>
    <w:p>
      <w:pPr>
        <w:pStyle w:val="ListBullet"/>
      </w:pPr>
      <w:r>
        <w:t>Spółka prowadziła rzeczywisty handel, zleciła weryfikację i korzystała z profesjonalnego finansowania.</w:t>
      </w:r>
    </w:p>
    <w:p>
      <w:pPr>
        <w:pStyle w:val="ListBullet"/>
      </w:pPr>
      <w:r>
        <w:t>Odpowiedzialność karna wymaga indywidualnego przypisania, nie wystarcza funkcja w zarządzie.</w:t>
      </w:r>
    </w:p>
    <w:p>
      <w:pPr>
        <w:pStyle w:val="ListBullet"/>
      </w:pPr>
      <w:r>
        <w:t>Zabezpieczenia nie powinny nieodwracalnie niszczyć przedsiębiorstwa, jeśli cel można osiągnąć łagodniej.</w:t>
      </w:r>
    </w:p>
    <w:p>
      <w:pPr>
        <w:pStyle w:val="Heading2"/>
      </w:pPr>
      <w:r>
        <w:t>Najsilniejsze argumenty strony B</w:t>
      </w:r>
    </w:p>
    <w:p>
      <w:pPr>
        <w:pStyle w:val="ListBullet"/>
      </w:pPr>
      <w:r>
        <w:t>Zespół anomalii wymagał zatrzymania transakcji, a krótka opinia nie zastępowała weryfikacji.</w:t>
      </w:r>
    </w:p>
    <w:p>
      <w:pPr>
        <w:pStyle w:val="ListBullet"/>
      </w:pPr>
      <w:r>
        <w:t>Brak eskalacji do rady wskazuje na wadliwy system nadzoru.</w:t>
      </w:r>
    </w:p>
    <w:p>
      <w:pPr>
        <w:pStyle w:val="ListBullet"/>
      </w:pPr>
      <w:r>
        <w:t>Automatyczna retencja mimo przewidywalnego sporu osłabia wiarygodność wyjaśnień.</w:t>
      </w:r>
    </w:p>
    <w:p>
      <w:pPr>
        <w:pStyle w:val="Heading2"/>
      </w:pPr>
      <w:r>
        <w:t>Proponowana sekwencja odpowiedzi</w:t>
      </w:r>
    </w:p>
    <w:p>
      <w:pPr>
        <w:spacing w:after="80" w:line="300" w:lineRule="auto"/>
        <w:numPr>
          <w:ilvl w:val="0"/>
          <w:numId w:val="22"/>
        </w:numPr>
      </w:pPr>
      <w:r>
        <w:t>Ustal jurysdykcję, dopuszczalność i zakres kompetencji każdego organu.</w:t>
      </w:r>
    </w:p>
    <w:p>
      <w:pPr>
        <w:spacing w:after="80" w:line="300" w:lineRule="auto"/>
        <w:numPr>
          <w:ilvl w:val="0"/>
          <w:numId w:val="22"/>
        </w:numPr>
      </w:pPr>
      <w:r>
        <w:t>Zbuduj listę przesłanek dla każdego roszczenia i zarzutu.</w:t>
      </w:r>
    </w:p>
    <w:p>
      <w:pPr>
        <w:spacing w:after="80" w:line="300" w:lineRule="auto"/>
        <w:numPr>
          <w:ilvl w:val="0"/>
          <w:numId w:val="22"/>
        </w:numPr>
      </w:pPr>
      <w:r>
        <w:t>Przypisz fakty oraz braki dowodowe do poszczególnych przesłanek.</w:t>
      </w:r>
    </w:p>
    <w:p>
      <w:pPr>
        <w:spacing w:after="80" w:line="300" w:lineRule="auto"/>
        <w:numPr>
          <w:ilvl w:val="0"/>
          <w:numId w:val="22"/>
        </w:numPr>
      </w:pPr>
      <w:r>
        <w:t>Przedstaw najmocniejszy argument strony przeciwnej i replikę.</w:t>
      </w:r>
    </w:p>
    <w:p>
      <w:pPr>
        <w:spacing w:after="80" w:line="300" w:lineRule="auto"/>
        <w:numPr>
          <w:ilvl w:val="0"/>
          <w:numId w:val="22"/>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Mapa reżimów</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VAT i transakcje</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KKS i indywidualizacja</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AML</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Organy spółki</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Dowody i płynność</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41">
        <w:r>
          <w:rPr>
            <w:color w:val="2E74B5"/>
            <w:u w:val="single"/>
          </w:rPr>
          <w:t>Ustawa o VAT — ELI</w:t>
        </w:r>
      </w:hyperlink>
    </w:p>
    <w:p>
      <w:pPr>
        <w:pStyle w:val="ListBullet"/>
      </w:pPr>
      <w:hyperlink r:id="rId42">
        <w:r>
          <w:rPr>
            <w:color w:val="2E74B5"/>
            <w:u w:val="single"/>
          </w:rPr>
          <w:t>Kodeks karny skarbowy — ELI</w:t>
        </w:r>
      </w:hyperlink>
    </w:p>
    <w:p>
      <w:pPr>
        <w:pStyle w:val="ListBullet"/>
      </w:pPr>
      <w:hyperlink r:id="rId43">
        <w:r>
          <w:rPr>
            <w:color w:val="2E74B5"/>
            <w:u w:val="single"/>
          </w:rPr>
          <w:t>Ustawa AML — ELI</w:t>
        </w:r>
      </w:hyperlink>
    </w:p>
    <w:p>
      <w:pPr>
        <w:pStyle w:val="ListBullet"/>
      </w:pPr>
      <w:hyperlink r:id="rId44">
        <w:r>
          <w:rPr>
            <w:color w:val="2E74B5"/>
            <w:u w:val="single"/>
          </w:rPr>
          <w:t>Kodeks spółek handlowych — ELI</w:t>
        </w:r>
      </w:hyperlink>
    </w:p>
    <w:p>
      <w:pPr>
        <w:pStyle w:val="Heading1"/>
        <w:pageBreakBefore/>
      </w:pPr>
      <w:r>
        <w:t>PL-07  Deepfake w wyborach samorządowych</w:t>
      </w:r>
    </w:p>
    <w:p>
      <w:r>
        <w:rPr>
          <w:b/>
        </w:rPr>
        <w:t>Tryb wyborczy, dobra osobiste, prawo autorskie, dane, DSA i dowody cyfrowe</w:t>
      </w:r>
    </w:p>
    <w:tbl>
      <w:tblPr>
        <w:tblW w:type="dxa" w:w="9360"/>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40"/>
            </w:pPr>
            <w:r>
              <w:rPr>
                <w:b/>
                <w:color w:val="0B2545"/>
              </w:rPr>
              <w:t xml:space="preserve">Teza robocza: </w:t>
            </w:r>
            <w:r>
              <w:t>Trzeba zacząć od procedury, bo wartość środka zależy od czasu. Sąd powinien oddzielić syntetyczne twierdzenie o korupcji od ocen i autentycznych fragmentów. Brak pliku źródłowego nie wyklucza ochrony, lecz wymaga ostrożnej oceny ekspertów i zabezpieczenia danych platformy. Odpowiedzialność kontrkandydata zależy od wiedzy, komentarza i koordynacji. Środek powinien być szybki, precyzyjny i wykonalny.</w:t>
            </w:r>
          </w:p>
        </w:tc>
      </w:tr>
    </w:tbl>
    <w:p>
      <w:pPr>
        <w:spacing w:after="0"/>
      </w:pPr>
    </w:p>
    <w:p>
      <w:pPr>
        <w:pStyle w:val="Heading2"/>
      </w:pPr>
      <w:r>
        <w:t>Mapa zagadnień</w:t>
      </w:r>
    </w:p>
    <w:p>
      <w:r>
        <w:rPr>
          <w:b/>
          <w:color w:val="0B2545"/>
        </w:rPr>
        <w:t xml:space="preserve">Tryb i czas. </w:t>
      </w:r>
      <w:r>
        <w:t>Zbadaj zakres szczególnej procedury, podmioty, rodzaj wypowiedzi i dostępne środki; osobno pozostają roszczenia zwykłe.</w:t>
      </w:r>
    </w:p>
    <w:p>
      <w:r>
        <w:rPr>
          <w:b/>
          <w:color w:val="0B2545"/>
        </w:rPr>
        <w:t xml:space="preserve">Atrybucja kampanijna. </w:t>
      </w:r>
      <w:r>
        <w:t>Śledź przepływy, dostęp do paneli, wspólnych usługodawców i wiedzę kontrkandydata.</w:t>
      </w:r>
    </w:p>
    <w:p>
      <w:r>
        <w:rPr>
          <w:b/>
          <w:color w:val="0B2545"/>
        </w:rPr>
        <w:t xml:space="preserve">Dowody cyfrowe. </w:t>
      </w:r>
      <w:r>
        <w:t>Zabezpiecz kopie, metadane, łańcuch przechowania, dane reklamowe i ograniczenia opinii ekspertów.</w:t>
      </w:r>
    </w:p>
    <w:p>
      <w:r>
        <w:rPr>
          <w:b/>
          <w:color w:val="0B2545"/>
        </w:rPr>
        <w:t xml:space="preserve">Środki proporcjonalne. </w:t>
      </w:r>
      <w:r>
        <w:t>Rozważ blokadę wskazanych URL, sprostowanie, depozycjonowanie i zachowanie danych zamiast nakazu globalnego.</w:t>
      </w:r>
    </w:p>
    <w:p>
      <w:pPr>
        <w:pStyle w:val="Heading2"/>
      </w:pPr>
      <w:r>
        <w:t>Najsilniejsze argumenty strony A</w:t>
      </w:r>
    </w:p>
    <w:p>
      <w:pPr>
        <w:pStyle w:val="ListBullet"/>
      </w:pPr>
      <w:r>
        <w:t>Syntetyczna rozmowa zawiera sprawdzalne twierdzenie o korupcji mogące wpłynąć na wynik.</w:t>
      </w:r>
    </w:p>
    <w:p>
      <w:pPr>
        <w:pStyle w:val="ListBullet"/>
      </w:pPr>
      <w:r>
        <w:t>Wspólny panel, agencja i finansowanie wskazują na koordynację.</w:t>
      </w:r>
    </w:p>
    <w:p>
      <w:pPr>
        <w:pStyle w:val="ListBullet"/>
      </w:pPr>
      <w:r>
        <w:t>Pilność uzasadnia zabezpieczenie danych i czasowe ograniczenie rozpowszechniania.</w:t>
      </w:r>
    </w:p>
    <w:p>
      <w:pPr>
        <w:pStyle w:val="Heading2"/>
      </w:pPr>
      <w:r>
        <w:t>Najsilniejsze argumenty strony B</w:t>
      </w:r>
    </w:p>
    <w:p>
      <w:pPr>
        <w:pStyle w:val="ListBullet"/>
      </w:pPr>
      <w:r>
        <w:t>Materiał łączy opinię, satyrę i prawdziwe fragmenty, a tryb pilny nie zastępuje pełnego procesu.</w:t>
      </w:r>
    </w:p>
    <w:p>
      <w:pPr>
        <w:pStyle w:val="ListBullet"/>
      </w:pPr>
      <w:r>
        <w:t>Powiązania usługowe nie dowodzą zlecenia ani wiedzy kontrkandydata.</w:t>
      </w:r>
    </w:p>
    <w:p>
      <w:pPr>
        <w:pStyle w:val="ListBullet"/>
      </w:pPr>
      <w:r>
        <w:t>Ekspertyza ze skompresowanej kopii nie daje pewności dla generalnego zakazu.</w:t>
      </w:r>
    </w:p>
    <w:p>
      <w:pPr>
        <w:pStyle w:val="Heading2"/>
      </w:pPr>
      <w:r>
        <w:t>Proponowana sekwencja odpowiedzi</w:t>
      </w:r>
    </w:p>
    <w:p>
      <w:pPr>
        <w:spacing w:after="80" w:line="300" w:lineRule="auto"/>
        <w:numPr>
          <w:ilvl w:val="0"/>
          <w:numId w:val="23"/>
        </w:numPr>
      </w:pPr>
      <w:r>
        <w:t>Ustal jurysdykcję, dopuszczalność i zakres kompetencji każdego organu.</w:t>
      </w:r>
    </w:p>
    <w:p>
      <w:pPr>
        <w:spacing w:after="80" w:line="300" w:lineRule="auto"/>
        <w:numPr>
          <w:ilvl w:val="0"/>
          <w:numId w:val="23"/>
        </w:numPr>
      </w:pPr>
      <w:r>
        <w:t>Zbuduj listę przesłanek dla każdego roszczenia i zarzutu.</w:t>
      </w:r>
    </w:p>
    <w:p>
      <w:pPr>
        <w:spacing w:after="80" w:line="300" w:lineRule="auto"/>
        <w:numPr>
          <w:ilvl w:val="0"/>
          <w:numId w:val="23"/>
        </w:numPr>
      </w:pPr>
      <w:r>
        <w:t>Przypisz fakty oraz braki dowodowe do poszczególnych przesłanek.</w:t>
      </w:r>
    </w:p>
    <w:p>
      <w:pPr>
        <w:spacing w:after="80" w:line="300" w:lineRule="auto"/>
        <w:numPr>
          <w:ilvl w:val="0"/>
          <w:numId w:val="23"/>
        </w:numPr>
      </w:pPr>
      <w:r>
        <w:t>Przedstaw najmocniejszy argument strony przeciwnej i replikę.</w:t>
      </w:r>
    </w:p>
    <w:p>
      <w:pPr>
        <w:spacing w:after="80" w:line="300" w:lineRule="auto"/>
        <w:numPr>
          <w:ilvl w:val="0"/>
          <w:numId w:val="23"/>
        </w:numPr>
      </w:pPr>
      <w:r>
        <w:t>Wybierz rozstrzygnięcie oraz środek, który minimalizuje konflikt reżimów.</w:t>
      </w:r>
    </w:p>
    <w:p>
      <w:pPr>
        <w:pStyle w:val="Heading2"/>
      </w:pPr>
      <w:r>
        <w:t>Rubryka oceniania</w:t>
      </w:r>
    </w:p>
    <w:tbl>
      <w:tblPr>
        <w:tblW w:type="dxa" w:w="9360"/>
        <w:tblLayout w:type="fixed"/>
        <w:tblLook w:firstColumn="1" w:firstRow="1" w:lastColumn="0" w:lastRow="0" w:noHBand="0" w:noVBand="1" w:val="04A0"/>
        <w:tblInd w:w="120" w:type="dxa"/>
      </w:tblPr>
      <w:tblGrid>
        <w:gridCol w:w="6600"/>
        <w:gridCol w:w="1200"/>
        <w:gridCol w:w="1560"/>
      </w:tblGrid>
      <w:tr>
        <w:tc>
          <w:tcPr>
            <w:tcW w:type="dxa" w:w="6600"/>
            <w:vAlign w:val="center"/>
            <w:tcMar>
              <w:top w:w="80" w:type="dxa"/>
              <w:start w:w="120" w:type="dxa"/>
              <w:bottom w:w="80" w:type="dxa"/>
              <w:end w:w="120" w:type="dxa"/>
            </w:tcMar>
            <w:shd w:fill="E8EEF5"/>
          </w:tcPr>
          <w:p>
            <w:r>
              <w:rPr>
                <w:b/>
              </w:rPr>
              <w:t>Obszar</w:t>
            </w:r>
          </w:p>
        </w:tc>
        <w:tc>
          <w:tcPr>
            <w:tcW w:type="dxa" w:w="1200"/>
            <w:vAlign w:val="center"/>
            <w:tcMar>
              <w:top w:w="80" w:type="dxa"/>
              <w:start w:w="120" w:type="dxa"/>
              <w:bottom w:w="80" w:type="dxa"/>
              <w:end w:w="120" w:type="dxa"/>
            </w:tcMar>
            <w:shd w:fill="E8EEF5"/>
          </w:tcPr>
          <w:p>
            <w:r>
              <w:rPr>
                <w:b/>
              </w:rPr>
              <w:t>Punkty</w:t>
            </w:r>
          </w:p>
        </w:tc>
        <w:tc>
          <w:tcPr>
            <w:tcW w:type="dxa" w:w="1560"/>
            <w:vAlign w:val="center"/>
            <w:tcMar>
              <w:top w:w="80" w:type="dxa"/>
              <w:start w:w="120" w:type="dxa"/>
              <w:bottom w:w="80" w:type="dxa"/>
              <w:end w:w="120" w:type="dxa"/>
            </w:tcMar>
            <w:shd w:fill="E8EEF5"/>
          </w:tcPr>
          <w:p>
            <w:r>
              <w:rPr>
                <w:b/>
              </w:rPr>
              <w:t>Wynik</w:t>
            </w:r>
          </w:p>
        </w:tc>
      </w:tr>
      <w:tr>
        <w:tc>
          <w:tcPr>
            <w:tcW w:type="dxa" w:w="6600"/>
            <w:vAlign w:val="center"/>
            <w:tcMar>
              <w:top w:w="80" w:type="dxa"/>
              <w:start w:w="120" w:type="dxa"/>
              <w:bottom w:w="80" w:type="dxa"/>
              <w:end w:w="120" w:type="dxa"/>
            </w:tcMar>
          </w:tcPr>
          <w:p>
            <w:r>
              <w:t>Tryb wyborczy</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Atrybucja i finansowanie</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Dobra osobiste i IP</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Platforma i dane</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Dowody cyfrowe</w:t>
            </w:r>
          </w:p>
        </w:tc>
        <w:tc>
          <w:tcPr>
            <w:tcW w:type="dxa" w:w="1200"/>
            <w:vAlign w:val="center"/>
            <w:tcMar>
              <w:top w:w="80" w:type="dxa"/>
              <w:start w:w="120" w:type="dxa"/>
              <w:bottom w:w="80" w:type="dxa"/>
              <w:end w:w="120" w:type="dxa"/>
            </w:tcMar>
          </w:tcPr>
          <w:p>
            <w:pPr>
              <w:jc w:val="center"/>
            </w:pPr>
            <w:r>
              <w:t>20</w:t>
            </w:r>
          </w:p>
        </w:tc>
        <w:tc>
          <w:tcPr>
            <w:tcW w:type="dxa" w:w="1560"/>
            <w:vAlign w:val="center"/>
            <w:tcMar>
              <w:top w:w="80" w:type="dxa"/>
              <w:start w:w="120" w:type="dxa"/>
              <w:bottom w:w="80" w:type="dxa"/>
              <w:end w:w="120" w:type="dxa"/>
            </w:tcMar>
          </w:tcPr>
          <w:p>
            <w:pPr>
              <w:jc w:val="center"/>
            </w:pPr>
            <w:r>
              <w:t>____</w:t>
            </w:r>
          </w:p>
        </w:tc>
      </w:tr>
      <w:tr>
        <w:tc>
          <w:tcPr>
            <w:tcW w:type="dxa" w:w="6600"/>
            <w:vAlign w:val="center"/>
            <w:tcMar>
              <w:top w:w="80" w:type="dxa"/>
              <w:start w:w="120" w:type="dxa"/>
              <w:bottom w:w="80" w:type="dxa"/>
              <w:end w:w="120" w:type="dxa"/>
            </w:tcMar>
          </w:tcPr>
          <w:p>
            <w:r>
              <w:t>Środki</w:t>
            </w:r>
          </w:p>
        </w:tc>
        <w:tc>
          <w:tcPr>
            <w:tcW w:type="dxa" w:w="1200"/>
            <w:vAlign w:val="center"/>
            <w:tcMar>
              <w:top w:w="80" w:type="dxa"/>
              <w:start w:w="120" w:type="dxa"/>
              <w:bottom w:w="80" w:type="dxa"/>
              <w:end w:w="120" w:type="dxa"/>
            </w:tcMar>
          </w:tcPr>
          <w:p>
            <w:pPr>
              <w:jc w:val="center"/>
            </w:pPr>
            <w:r>
              <w:t>15</w:t>
            </w:r>
          </w:p>
        </w:tc>
        <w:tc>
          <w:tcPr>
            <w:tcW w:type="dxa" w:w="1560"/>
            <w:vAlign w:val="center"/>
            <w:tcMar>
              <w:top w:w="80" w:type="dxa"/>
              <w:start w:w="120" w:type="dxa"/>
              <w:bottom w:w="80" w:type="dxa"/>
              <w:end w:w="120" w:type="dxa"/>
            </w:tcMar>
          </w:tcPr>
          <w:p>
            <w:pPr>
              <w:jc w:val="center"/>
            </w:pPr>
            <w:r>
              <w:t>____</w:t>
            </w:r>
          </w:p>
        </w:tc>
      </w:tr>
      <w:tr>
        <w:tc>
          <w:tcPr>
            <w:tcW w:type="dxa" w:w="6600"/>
            <w:shd w:fill="F2F4F7"/>
            <w:vAlign w:val="center"/>
            <w:tcMar>
              <w:top w:w="80" w:type="dxa"/>
              <w:start w:w="120" w:type="dxa"/>
              <w:bottom w:w="80" w:type="dxa"/>
              <w:end w:w="120" w:type="dxa"/>
            </w:tcMar>
          </w:tcPr>
          <w:p>
            <w:r>
              <w:rPr>
                <w:b/>
              </w:rPr>
              <w:t>Razem</w:t>
            </w:r>
          </w:p>
        </w:tc>
        <w:tc>
          <w:tcPr>
            <w:tcW w:type="dxa" w:w="1200"/>
            <w:shd w:fill="F2F4F7"/>
            <w:vAlign w:val="center"/>
            <w:tcMar>
              <w:top w:w="80" w:type="dxa"/>
              <w:start w:w="120" w:type="dxa"/>
              <w:bottom w:w="80" w:type="dxa"/>
              <w:end w:w="120" w:type="dxa"/>
            </w:tcMar>
          </w:tcPr>
          <w:p>
            <w:r>
              <w:rPr>
                <w:b/>
              </w:rPr>
              <w:t>100</w:t>
            </w:r>
          </w:p>
        </w:tc>
        <w:tc>
          <w:tcPr>
            <w:tcW w:type="dxa" w:w="1560"/>
            <w:shd w:fill="F2F4F7"/>
            <w:vAlign w:val="center"/>
            <w:tcMar>
              <w:top w:w="80" w:type="dxa"/>
              <w:start w:w="120" w:type="dxa"/>
              <w:bottom w:w="80" w:type="dxa"/>
              <w:end w:w="120" w:type="dxa"/>
            </w:tcMar>
          </w:tcPr>
          <w:p>
            <w:r>
              <w:rPr>
                <w:b/>
              </w:rPr>
              <w:t>____</w:t>
            </w:r>
          </w:p>
        </w:tc>
      </w:tr>
    </w:tbl>
    <w:p>
      <w:pPr>
        <w:pStyle w:val="Heading2"/>
      </w:pPr>
      <w:r>
        <w:t>Punkty premiowane</w:t>
      </w:r>
    </w:p>
    <w:p>
      <w:pPr>
        <w:pStyle w:val="ListBullet"/>
      </w:pPr>
      <w:r>
        <w:t>jawne oddzielenie prawa obowiązującego od argumentu de lege ferenda lub soft law</w:t>
      </w:r>
    </w:p>
    <w:p>
      <w:pPr>
        <w:pStyle w:val="ListBullet"/>
      </w:pPr>
      <w:r>
        <w:t>wariantowe rozstrzygnięcie zależne od brakującego faktu</w:t>
      </w:r>
    </w:p>
    <w:p>
      <w:pPr>
        <w:pStyle w:val="ListBullet"/>
      </w:pPr>
      <w:r>
        <w:t>propozycja środka tymczasowego albo sekwencji postępowań</w:t>
      </w:r>
    </w:p>
    <w:p>
      <w:pPr>
        <w:pStyle w:val="ListBullet"/>
      </w:pPr>
      <w:r>
        <w:t>identyfikacja ryzyka dowodowego i ciężaru dowodu</w:t>
      </w:r>
    </w:p>
    <w:p>
      <w:pPr>
        <w:pStyle w:val="Heading2"/>
      </w:pPr>
      <w:r>
        <w:t>Materiały źródłowe</w:t>
      </w:r>
    </w:p>
    <w:p>
      <w:pPr>
        <w:spacing w:after="80"/>
      </w:pPr>
      <w:r>
        <w:rPr>
          <w:b/>
        </w:rPr>
        <w:t xml:space="preserve">Status źródeł: </w:t>
      </w:r>
      <w:r>
        <w:t>Rząd 1 — oficjalne źródła. Dla kazusów międzynarodowych są to materiały organizatorów konkursów; dla kazusów polskich — ELI Sejmu i EUR-Lex. Kazusy i klucz są autorskim opracowaniem szkoleniowym.</w:t>
      </w:r>
    </w:p>
    <w:p>
      <w:pPr>
        <w:pStyle w:val="ListBullet"/>
      </w:pPr>
      <w:hyperlink r:id="rId45">
        <w:r>
          <w:rPr>
            <w:color w:val="2E74B5"/>
            <w:u w:val="single"/>
          </w:rPr>
          <w:t>Kodeks wyborczy — ELI</w:t>
        </w:r>
      </w:hyperlink>
    </w:p>
    <w:p>
      <w:pPr>
        <w:pStyle w:val="ListBullet"/>
      </w:pPr>
      <w:hyperlink r:id="rId33">
        <w:r>
          <w:rPr>
            <w:color w:val="2E74B5"/>
            <w:u w:val="single"/>
          </w:rPr>
          <w:t>Kodeks cywilny — ELI</w:t>
        </w:r>
      </w:hyperlink>
    </w:p>
    <w:p>
      <w:pPr>
        <w:pStyle w:val="ListBullet"/>
      </w:pPr>
      <w:hyperlink r:id="rId46">
        <w:r>
          <w:rPr>
            <w:color w:val="2E74B5"/>
            <w:u w:val="single"/>
          </w:rPr>
          <w:t>Prawo autorskie — ELI</w:t>
        </w:r>
      </w:hyperlink>
    </w:p>
    <w:p>
      <w:pPr>
        <w:pStyle w:val="ListBullet"/>
      </w:pPr>
      <w:hyperlink r:id="rId47">
        <w:r>
          <w:rPr>
            <w:color w:val="2E74B5"/>
            <w:u w:val="single"/>
          </w:rPr>
          <w:t>Digital Services Act — EUR-Lex</w:t>
        </w:r>
      </w:hyperlink>
    </w:p>
    <w:p>
      <w:pPr>
        <w:pStyle w:val="Heading1"/>
        <w:pageBreakBefore/>
      </w:pPr>
      <w:r>
        <w:t>Końcowa karta oceny</w:t>
      </w:r>
    </w:p>
    <w:tbl>
      <w:tblPr>
        <w:tblW w:type="dxa" w:w="9360"/>
        <w:tblLayout w:type="fixed"/>
        <w:tblLook w:firstColumn="1" w:firstRow="1" w:lastColumn="0" w:lastRow="0" w:noHBand="0" w:noVBand="1" w:val="04A0"/>
        <w:tblInd w:w="120" w:type="dxa"/>
      </w:tblPr>
      <w:tblGrid>
        <w:gridCol w:w="900"/>
        <w:gridCol w:w="4300"/>
        <w:gridCol w:w="1500"/>
        <w:gridCol w:w="2660"/>
      </w:tblGrid>
      <w:tr>
        <w:tc>
          <w:tcPr>
            <w:tcW w:type="dxa" w:w="900"/>
            <w:vAlign w:val="center"/>
            <w:tcMar>
              <w:top w:w="80" w:type="dxa"/>
              <w:start w:w="120" w:type="dxa"/>
              <w:bottom w:w="80" w:type="dxa"/>
              <w:end w:w="120" w:type="dxa"/>
            </w:tcMar>
            <w:shd w:fill="E8EEF5"/>
          </w:tcPr>
          <w:p>
            <w:r>
              <w:rPr>
                <w:b/>
              </w:rPr>
              <w:t>Kod</w:t>
            </w:r>
          </w:p>
        </w:tc>
        <w:tc>
          <w:tcPr>
            <w:tcW w:type="dxa" w:w="4300"/>
            <w:vAlign w:val="center"/>
            <w:tcMar>
              <w:top w:w="80" w:type="dxa"/>
              <w:start w:w="120" w:type="dxa"/>
              <w:bottom w:w="80" w:type="dxa"/>
              <w:end w:w="120" w:type="dxa"/>
            </w:tcMar>
            <w:shd w:fill="E8EEF5"/>
          </w:tcPr>
          <w:p>
            <w:r>
              <w:rPr>
                <w:b/>
              </w:rPr>
              <w:t>Kazus</w:t>
            </w:r>
          </w:p>
        </w:tc>
        <w:tc>
          <w:tcPr>
            <w:tcW w:type="dxa" w:w="1500"/>
            <w:vAlign w:val="center"/>
            <w:tcMar>
              <w:top w:w="80" w:type="dxa"/>
              <w:start w:w="120" w:type="dxa"/>
              <w:bottom w:w="80" w:type="dxa"/>
              <w:end w:w="120" w:type="dxa"/>
            </w:tcMar>
            <w:shd w:fill="E8EEF5"/>
          </w:tcPr>
          <w:p>
            <w:r>
              <w:rPr>
                <w:b/>
              </w:rPr>
              <w:t>Wynik</w:t>
            </w:r>
          </w:p>
        </w:tc>
        <w:tc>
          <w:tcPr>
            <w:tcW w:type="dxa" w:w="2660"/>
            <w:vAlign w:val="center"/>
            <w:tcMar>
              <w:top w:w="80" w:type="dxa"/>
              <w:start w:w="120" w:type="dxa"/>
              <w:bottom w:w="80" w:type="dxa"/>
              <w:end w:w="120" w:type="dxa"/>
            </w:tcMar>
            <w:shd w:fill="E8EEF5"/>
          </w:tcPr>
          <w:p>
            <w:r>
              <w:rPr>
                <w:b/>
              </w:rPr>
              <w:t>Komentarz</w:t>
            </w:r>
          </w:p>
        </w:tc>
      </w:tr>
      <w:tr>
        <w:tc>
          <w:tcPr>
            <w:tcW w:type="dxa" w:w="900"/>
            <w:vAlign w:val="center"/>
            <w:tcMar>
              <w:top w:w="80" w:type="dxa"/>
              <w:start w:w="120" w:type="dxa"/>
              <w:bottom w:w="80" w:type="dxa"/>
              <w:end w:w="120" w:type="dxa"/>
            </w:tcMar>
          </w:tcPr>
          <w:p>
            <w:r>
              <w:t>K-01</w:t>
            </w:r>
          </w:p>
        </w:tc>
        <w:tc>
          <w:tcPr>
            <w:tcW w:type="dxa" w:w="4300"/>
            <w:vAlign w:val="center"/>
            <w:tcMar>
              <w:top w:w="80" w:type="dxa"/>
              <w:start w:w="120" w:type="dxa"/>
              <w:bottom w:w="80" w:type="dxa"/>
              <w:end w:w="120" w:type="dxa"/>
            </w:tcMar>
          </w:tcPr>
          <w:p>
            <w:r>
              <w:t>Heliox przeciwko Królestwu Solarii</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K-02</w:t>
            </w:r>
          </w:p>
        </w:tc>
        <w:tc>
          <w:tcPr>
            <w:tcW w:type="dxa" w:w="4300"/>
            <w:vAlign w:val="center"/>
            <w:tcMar>
              <w:top w:w="80" w:type="dxa"/>
              <w:start w:w="120" w:type="dxa"/>
              <w:bottom w:w="80" w:type="dxa"/>
              <w:end w:w="120" w:type="dxa"/>
            </w:tcMar>
          </w:tcPr>
          <w:p>
            <w:r>
              <w:t>Spór o Wąwóz Gordyjski</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K-03</w:t>
            </w:r>
          </w:p>
        </w:tc>
        <w:tc>
          <w:tcPr>
            <w:tcW w:type="dxa" w:w="4300"/>
            <w:vAlign w:val="center"/>
            <w:tcMar>
              <w:top w:w="80" w:type="dxa"/>
              <w:start w:w="120" w:type="dxa"/>
              <w:bottom w:w="80" w:type="dxa"/>
              <w:end w:w="120" w:type="dxa"/>
            </w:tcMar>
          </w:tcPr>
          <w:p>
            <w:r>
              <w:t>Vitoria i Graviola przeciwko Uxi</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K-04</w:t>
            </w:r>
          </w:p>
        </w:tc>
        <w:tc>
          <w:tcPr>
            <w:tcW w:type="dxa" w:w="4300"/>
            <w:vAlign w:val="center"/>
            <w:tcMar>
              <w:top w:w="80" w:type="dxa"/>
              <w:start w:w="120" w:type="dxa"/>
              <w:bottom w:w="80" w:type="dxa"/>
              <w:end w:w="120" w:type="dxa"/>
            </w:tcMar>
          </w:tcPr>
          <w:p>
            <w:r>
              <w:t>Prokurator przeciwko Drogannie Syrax</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K-05</w:t>
            </w:r>
          </w:p>
        </w:tc>
        <w:tc>
          <w:tcPr>
            <w:tcW w:type="dxa" w:w="4300"/>
            <w:vAlign w:val="center"/>
            <w:tcMar>
              <w:top w:w="80" w:type="dxa"/>
              <w:start w:w="120" w:type="dxa"/>
              <w:bottom w:w="80" w:type="dxa"/>
              <w:end w:w="120" w:type="dxa"/>
            </w:tcMar>
          </w:tcPr>
          <w:p>
            <w:r>
              <w:t>Orchis Worldwide przeciwko Darwin Natural Food</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K-06</w:t>
            </w:r>
          </w:p>
        </w:tc>
        <w:tc>
          <w:tcPr>
            <w:tcW w:type="dxa" w:w="4300"/>
            <w:vAlign w:val="center"/>
            <w:tcMar>
              <w:top w:w="80" w:type="dxa"/>
              <w:start w:w="120" w:type="dxa"/>
              <w:bottom w:w="80" w:type="dxa"/>
              <w:end w:w="120" w:type="dxa"/>
            </w:tcMar>
          </w:tcPr>
          <w:p>
            <w:r>
              <w:t>Inkaton przeciwko Accadii</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K-07</w:t>
            </w:r>
          </w:p>
        </w:tc>
        <w:tc>
          <w:tcPr>
            <w:tcW w:type="dxa" w:w="4300"/>
            <w:vAlign w:val="center"/>
            <w:tcMar>
              <w:top w:w="80" w:type="dxa"/>
              <w:start w:w="120" w:type="dxa"/>
              <w:bottom w:w="80" w:type="dxa"/>
              <w:end w:w="120" w:type="dxa"/>
            </w:tcMar>
          </w:tcPr>
          <w:p>
            <w:r>
              <w:t>Anecoyon przeciwko Ridusowi</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PL-01</w:t>
            </w:r>
          </w:p>
        </w:tc>
        <w:tc>
          <w:tcPr>
            <w:tcW w:type="dxa" w:w="4300"/>
            <w:vAlign w:val="center"/>
            <w:tcMar>
              <w:top w:w="80" w:type="dxa"/>
              <w:start w:w="120" w:type="dxa"/>
              <w:bottom w:w="80" w:type="dxa"/>
              <w:end w:w="120" w:type="dxa"/>
            </w:tcMar>
          </w:tcPr>
          <w:p>
            <w:r>
              <w:t>Algorytm zwalnia sygnalistkę</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PL-02</w:t>
            </w:r>
          </w:p>
        </w:tc>
        <w:tc>
          <w:tcPr>
            <w:tcW w:type="dxa" w:w="4300"/>
            <w:vAlign w:val="center"/>
            <w:tcMar>
              <w:top w:w="80" w:type="dxa"/>
              <w:start w:w="120" w:type="dxa"/>
              <w:bottom w:w="80" w:type="dxa"/>
              <w:end w:w="120" w:type="dxa"/>
            </w:tcMar>
          </w:tcPr>
          <w:p>
            <w:r>
              <w:t>Osiedle na zalewowej łące</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PL-03</w:t>
            </w:r>
          </w:p>
        </w:tc>
        <w:tc>
          <w:tcPr>
            <w:tcW w:type="dxa" w:w="4300"/>
            <w:vAlign w:val="center"/>
            <w:tcMar>
              <w:top w:w="80" w:type="dxa"/>
              <w:start w:w="120" w:type="dxa"/>
              <w:bottom w:w="80" w:type="dxa"/>
              <w:end w:w="120" w:type="dxa"/>
            </w:tcMar>
          </w:tcPr>
          <w:p>
            <w:r>
              <w:t>Fundacja po śmierci fundatora</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PL-04</w:t>
            </w:r>
          </w:p>
        </w:tc>
        <w:tc>
          <w:tcPr>
            <w:tcW w:type="dxa" w:w="4300"/>
            <w:vAlign w:val="center"/>
            <w:tcMar>
              <w:top w:w="80" w:type="dxa"/>
              <w:start w:w="120" w:type="dxa"/>
              <w:bottom w:w="80" w:type="dxa"/>
              <w:end w:w="120" w:type="dxa"/>
            </w:tcMar>
          </w:tcPr>
          <w:p>
            <w:r>
              <w:t>Szpital podpowiada diagnozę</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PL-05</w:t>
            </w:r>
          </w:p>
        </w:tc>
        <w:tc>
          <w:tcPr>
            <w:tcW w:type="dxa" w:w="4300"/>
            <w:vAlign w:val="center"/>
            <w:tcMar>
              <w:top w:w="80" w:type="dxa"/>
              <w:start w:w="120" w:type="dxa"/>
              <w:bottom w:w="80" w:type="dxa"/>
              <w:end w:w="120" w:type="dxa"/>
            </w:tcMar>
          </w:tcPr>
          <w:p>
            <w:r>
              <w:t>Chmura dla metropolii</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PL-06</w:t>
            </w:r>
          </w:p>
        </w:tc>
        <w:tc>
          <w:tcPr>
            <w:tcW w:type="dxa" w:w="4300"/>
            <w:vAlign w:val="center"/>
            <w:tcMar>
              <w:top w:w="80" w:type="dxa"/>
              <w:start w:w="120" w:type="dxa"/>
              <w:bottom w:w="80" w:type="dxa"/>
              <w:end w:w="120" w:type="dxa"/>
            </w:tcMar>
          </w:tcPr>
          <w:p>
            <w:r>
              <w:t>Karuzela, faktoring i milczący zarząd</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r>
        <w:tc>
          <w:tcPr>
            <w:tcW w:type="dxa" w:w="900"/>
            <w:vAlign w:val="center"/>
            <w:tcMar>
              <w:top w:w="80" w:type="dxa"/>
              <w:start w:w="120" w:type="dxa"/>
              <w:bottom w:w="80" w:type="dxa"/>
              <w:end w:w="120" w:type="dxa"/>
            </w:tcMar>
          </w:tcPr>
          <w:p>
            <w:r>
              <w:t>PL-07</w:t>
            </w:r>
          </w:p>
        </w:tc>
        <w:tc>
          <w:tcPr>
            <w:tcW w:type="dxa" w:w="4300"/>
            <w:vAlign w:val="center"/>
            <w:tcMar>
              <w:top w:w="80" w:type="dxa"/>
              <w:start w:w="120" w:type="dxa"/>
              <w:bottom w:w="80" w:type="dxa"/>
              <w:end w:w="120" w:type="dxa"/>
            </w:tcMar>
          </w:tcPr>
          <w:p>
            <w:r>
              <w:t>Deepfake w wyborach samorządowych</w:t>
            </w:r>
          </w:p>
        </w:tc>
        <w:tc>
          <w:tcPr>
            <w:tcW w:type="dxa" w:w="1500"/>
            <w:vAlign w:val="center"/>
            <w:tcMar>
              <w:top w:w="80" w:type="dxa"/>
              <w:start w:w="120" w:type="dxa"/>
              <w:bottom w:w="80" w:type="dxa"/>
              <w:end w:w="120" w:type="dxa"/>
            </w:tcMar>
          </w:tcPr>
          <w:p>
            <w:r>
              <w:t>____ / 100</w:t>
            </w:r>
          </w:p>
        </w:tc>
        <w:tc>
          <w:tcPr>
            <w:tcW w:type="dxa" w:w="2660"/>
            <w:vAlign w:val="center"/>
            <w:tcMar>
              <w:top w:w="80" w:type="dxa"/>
              <w:start w:w="120" w:type="dxa"/>
              <w:bottom w:w="80" w:type="dxa"/>
              <w:end w:w="120" w:type="dxa"/>
            </w:tcMar>
          </w:tcPr>
          <w:p>
            <w:r/>
          </w:p>
        </w:tc>
      </w:tr>
    </w:tbl>
    <w:p>
      <w:pPr>
        <w:pStyle w:val="Heading1"/>
      </w:pPr>
      <w:r>
        <w:t>Informacja o charakterze klucza</w:t>
      </w:r>
    </w:p>
    <w:p>
      <w:r>
        <w:t>Klucz jest autorskim narzędziem dydaktycznym. Nie stanowi oficjalnego bench memorandum, nie przesądza wyniku oryginalnych konkursów i nie zastępuje samodzielnej weryfikacji właściwych źródeł prawa. Kazusy polskie i ich rekomendacje są opracowaniem własnym opartym na stronach urzędowych aktów, bez twierdzenia, że istnieje jedna oficjalna odpowiedź.</w:t>
      </w:r>
    </w:p>
    <w:p>
      <w:r>
        <w:t>Materiał ma charakter informacyjny i szkoleniowy, a nie porady prawnej w konkretnej sprawie.</w:t>
      </w:r>
    </w:p>
    <w:p>
      <w:r>
        <w:t>Materiał techniczny dla prawników: przed użyciem zawodowym należy sprawdzić aktualne brzmienie przepisów, przepisy przejściowe, właściwość, terminy, orzecznictwo i kompletność materiału dowodowego.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color w:val="5D656F"/>
        <w:sz w:val="18"/>
      </w:rPr>
      <w:t xml:space="preserve">Strona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5D656F"/>
        <w:sz w:val="18"/>
      </w:rPr>
      <w:t>Klucz odpowiedzi — kazusy wieloaspektowe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decimal"/>
      <w:lvlText w:val="%1."/>
      <w:suff w:val="tab"/>
      <w:pPr>
        <w:tabs>
          <w:tab w:val="num" w:pos="540"/>
        </w:tabs>
        <w:ind w:left="540" w:hanging="270"/>
        <w:spacing w:after="80" w:line="300" w:lineRule="auto"/>
      </w:pPr>
    </w:lvl>
  </w:abstractNum>
  <w:num w:numId="12">
    <w:abstractNumId w:val="11"/>
  </w:num>
  <w:abstractNum w:abstractNumId="12">
    <w:multiLevelType w:val="singleLevel"/>
    <w:lvl w:ilvl="0">
      <w:start w:val="1"/>
      <w:numFmt w:val="decimal"/>
      <w:lvlText w:val="%1."/>
      <w:suff w:val="tab"/>
      <w:pPr>
        <w:tabs>
          <w:tab w:val="num" w:pos="540"/>
        </w:tabs>
        <w:ind w:left="540" w:hanging="270"/>
        <w:spacing w:after="80" w:line="300" w:lineRule="auto"/>
      </w:pPr>
    </w:lvl>
  </w:abstractNum>
  <w:num w:numId="13">
    <w:abstractNumId w:val="12"/>
  </w:num>
  <w:abstractNum w:abstractNumId="13">
    <w:multiLevelType w:val="singleLevel"/>
    <w:lvl w:ilvl="0">
      <w:start w:val="1"/>
      <w:numFmt w:val="decimal"/>
      <w:lvlText w:val="%1."/>
      <w:suff w:val="tab"/>
      <w:pPr>
        <w:tabs>
          <w:tab w:val="num" w:pos="540"/>
        </w:tabs>
        <w:ind w:left="540" w:hanging="270"/>
        <w:spacing w:after="80" w:line="300" w:lineRule="auto"/>
      </w:pPr>
    </w:lvl>
  </w:abstractNum>
  <w:num w:numId="14">
    <w:abstractNumId w:val="13"/>
  </w:num>
  <w:abstractNum w:abstractNumId="14">
    <w:multiLevelType w:val="singleLevel"/>
    <w:lvl w:ilvl="0">
      <w:start w:val="1"/>
      <w:numFmt w:val="decimal"/>
      <w:lvlText w:val="%1."/>
      <w:suff w:val="tab"/>
      <w:pPr>
        <w:tabs>
          <w:tab w:val="num" w:pos="540"/>
        </w:tabs>
        <w:ind w:left="540" w:hanging="270"/>
        <w:spacing w:after="80" w:line="300" w:lineRule="auto"/>
      </w:pPr>
    </w:lvl>
  </w:abstractNum>
  <w:num w:numId="15">
    <w:abstractNumId w:val="14"/>
  </w:num>
  <w:abstractNum w:abstractNumId="15">
    <w:multiLevelType w:val="singleLevel"/>
    <w:lvl w:ilvl="0">
      <w:start w:val="1"/>
      <w:numFmt w:val="decimal"/>
      <w:lvlText w:val="%1."/>
      <w:suff w:val="tab"/>
      <w:pPr>
        <w:tabs>
          <w:tab w:val="num" w:pos="540"/>
        </w:tabs>
        <w:ind w:left="540" w:hanging="270"/>
        <w:spacing w:after="80" w:line="300" w:lineRule="auto"/>
      </w:pPr>
    </w:lvl>
  </w:abstractNum>
  <w:num w:numId="16">
    <w:abstractNumId w:val="15"/>
  </w:num>
  <w:abstractNum w:abstractNumId="16">
    <w:multiLevelType w:val="singleLevel"/>
    <w:lvl w:ilvl="0">
      <w:start w:val="1"/>
      <w:numFmt w:val="decimal"/>
      <w:lvlText w:val="%1."/>
      <w:suff w:val="tab"/>
      <w:pPr>
        <w:tabs>
          <w:tab w:val="num" w:pos="540"/>
        </w:tabs>
        <w:ind w:left="540" w:hanging="270"/>
        <w:spacing w:after="80" w:line="300" w:lineRule="auto"/>
      </w:pPr>
    </w:lvl>
  </w:abstractNum>
  <w:num w:numId="17">
    <w:abstractNumId w:val="16"/>
  </w:num>
  <w:abstractNum w:abstractNumId="17">
    <w:multiLevelType w:val="singleLevel"/>
    <w:lvl w:ilvl="0">
      <w:start w:val="1"/>
      <w:numFmt w:val="decimal"/>
      <w:lvlText w:val="%1."/>
      <w:suff w:val="tab"/>
      <w:pPr>
        <w:tabs>
          <w:tab w:val="num" w:pos="540"/>
        </w:tabs>
        <w:ind w:left="540" w:hanging="270"/>
        <w:spacing w:after="80" w:line="300" w:lineRule="auto"/>
      </w:pPr>
    </w:lvl>
  </w:abstractNum>
  <w:num w:numId="18">
    <w:abstractNumId w:val="17"/>
  </w:num>
  <w:abstractNum w:abstractNumId="18">
    <w:multiLevelType w:val="singleLevel"/>
    <w:lvl w:ilvl="0">
      <w:start w:val="1"/>
      <w:numFmt w:val="decimal"/>
      <w:lvlText w:val="%1."/>
      <w:suff w:val="tab"/>
      <w:pPr>
        <w:tabs>
          <w:tab w:val="num" w:pos="540"/>
        </w:tabs>
        <w:ind w:left="540" w:hanging="270"/>
        <w:spacing w:after="80" w:line="300" w:lineRule="auto"/>
      </w:pPr>
    </w:lvl>
  </w:abstractNum>
  <w:num w:numId="19">
    <w:abstractNumId w:val="18"/>
  </w:num>
  <w:abstractNum w:abstractNumId="19">
    <w:multiLevelType w:val="singleLevel"/>
    <w:lvl w:ilvl="0">
      <w:start w:val="1"/>
      <w:numFmt w:val="decimal"/>
      <w:lvlText w:val="%1."/>
      <w:suff w:val="tab"/>
      <w:pPr>
        <w:tabs>
          <w:tab w:val="num" w:pos="540"/>
        </w:tabs>
        <w:ind w:left="540" w:hanging="270"/>
        <w:spacing w:after="80" w:line="300" w:lineRule="auto"/>
      </w:pPr>
    </w:lvl>
  </w:abstractNum>
  <w:num w:numId="20">
    <w:abstractNumId w:val="19"/>
  </w:num>
  <w:abstractNum w:abstractNumId="20">
    <w:multiLevelType w:val="singleLevel"/>
    <w:lvl w:ilvl="0">
      <w:start w:val="1"/>
      <w:numFmt w:val="decimal"/>
      <w:lvlText w:val="%1."/>
      <w:suff w:val="tab"/>
      <w:pPr>
        <w:tabs>
          <w:tab w:val="num" w:pos="540"/>
        </w:tabs>
        <w:ind w:left="540" w:hanging="270"/>
        <w:spacing w:after="80" w:line="300" w:lineRule="auto"/>
      </w:pPr>
    </w:lvl>
  </w:abstractNum>
  <w:num w:numId="21">
    <w:abstractNumId w:val="20"/>
  </w:num>
  <w:abstractNum w:abstractNumId="21">
    <w:multiLevelType w:val="singleLevel"/>
    <w:lvl w:ilvl="0">
      <w:start w:val="1"/>
      <w:numFmt w:val="decimal"/>
      <w:lvlText w:val="%1."/>
      <w:suff w:val="tab"/>
      <w:pPr>
        <w:tabs>
          <w:tab w:val="num" w:pos="540"/>
        </w:tabs>
        <w:ind w:left="540" w:hanging="270"/>
        <w:spacing w:after="80" w:line="300" w:lineRule="auto"/>
      </w:pPr>
    </w:lvl>
  </w:abstractNum>
  <w:num w:numId="22">
    <w:abstractNumId w:val="21"/>
  </w:num>
  <w:abstractNum w:abstractNumId="22">
    <w:multiLevelType w:val="singleLevel"/>
    <w:lvl w:ilvl="0">
      <w:start w:val="1"/>
      <w:numFmt w:val="decimal"/>
      <w:lvlText w:val="%1."/>
      <w:suff w:val="tab"/>
      <w:pPr>
        <w:tabs>
          <w:tab w:val="num" w:pos="540"/>
        </w:tabs>
        <w:ind w:left="540" w:hanging="270"/>
        <w:spacing w:after="80" w:line="300" w:lineRule="auto"/>
      </w:pPr>
    </w:lvl>
  </w:abstract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Calibri" w:hAnsi="Calibri"/>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uropeanlawmootcourt.eu/the-case/" TargetMode="External"/><Relationship Id="rId12" Type="http://schemas.openxmlformats.org/officeDocument/2006/relationships/hyperlink" Target="https://europeanlawmootcourt.eu/wp-content/uploads/2026/09/Case-26-27.pdf" TargetMode="External"/><Relationship Id="rId13" Type="http://schemas.openxmlformats.org/officeDocument/2006/relationships/hyperlink" Target="https://www.ilsa.org/History/Jessup%202026/Problem.pdf" TargetMode="External"/><Relationship Id="rId14" Type="http://schemas.openxmlformats.org/officeDocument/2006/relationships/hyperlink" Target="https://www.ilsa.org/History/Jessup%202026/BenchMemo.pdf" TargetMode="External"/><Relationship Id="rId15" Type="http://schemas.openxmlformats.org/officeDocument/2006/relationships/hyperlink" Target="https://www.law.ox.ac.uk/sites/default/files/2025-09/2025-2026_Price%20Media%20Law%20Moot%20Court%20Competition%20Case.pdf" TargetMode="External"/><Relationship Id="rId16" Type="http://schemas.openxmlformats.org/officeDocument/2006/relationships/hyperlink" Target="https://www.iccmoot.com/index.php/2025/08/25/our-2026-iba-iccmcc-case-and-rules-of-procedure-are-live/" TargetMode="External"/><Relationship Id="rId17" Type="http://schemas.openxmlformats.org/officeDocument/2006/relationships/hyperlink" Target="https://www.ibanet.org/Australias-Bond-University-team-wins-2026-IBA-ICC-Moot-Court-Competition-in-The-Hague" TargetMode="External"/><Relationship Id="rId18" Type="http://schemas.openxmlformats.org/officeDocument/2006/relationships/hyperlink" Target="https://www.vismoot.org/wp-content/uploads/2025/10/33rd-Vis-Moot_Problem_FINAL.pdf" TargetMode="External"/><Relationship Id="rId19" Type="http://schemas.openxmlformats.org/officeDocument/2006/relationships/hyperlink" Target="https://www.vismoot.org/wp-content/uploads/2026/01/33rd_Vis-Moot_Arbitrator-Brief_FINAL.pdf" TargetMode="External"/><Relationship Id="rId20" Type="http://schemas.openxmlformats.org/officeDocument/2006/relationships/hyperlink" Target="https://iisl.space/mlslmcc-2026/" TargetMode="External"/><Relationship Id="rId21" Type="http://schemas.openxmlformats.org/officeDocument/2006/relationships/hyperlink" Target="https://iisl.space/wp-content/uploads/2025/08/2026_MLMCC_Summary-Inkaton-v-Accadia.pdf" TargetMode="External"/><Relationship Id="rId22" Type="http://schemas.openxmlformats.org/officeDocument/2006/relationships/hyperlink" Target="https://www.stetson.edu/law/international/iemcc/" TargetMode="External"/><Relationship Id="rId23" Type="http://schemas.openxmlformats.org/officeDocument/2006/relationships/hyperlink" Target="https://www.stetson.edu/law/international/iemcc/media/2025-stetson-iemcc-record--updated-10.16.2025-.pdf" TargetMode="External"/><Relationship Id="rId24" Type="http://schemas.openxmlformats.org/officeDocument/2006/relationships/hyperlink" Target="https://eli.gov.pl/eli/DU/1974/141/ogl" TargetMode="External"/><Relationship Id="rId25" Type="http://schemas.openxmlformats.org/officeDocument/2006/relationships/hyperlink" Target="https://eli.gov.pl/eli/DU/2024/928/ogl" TargetMode="External"/><Relationship Id="rId26" Type="http://schemas.openxmlformats.org/officeDocument/2006/relationships/hyperlink" Target="https://eur-lex.europa.eu/eli/reg/2016/679/oj" TargetMode="External"/><Relationship Id="rId27" Type="http://schemas.openxmlformats.org/officeDocument/2006/relationships/hyperlink" Target="https://eur-lex.europa.eu/eli/reg/2024/1689/oj" TargetMode="External"/><Relationship Id="rId28" Type="http://schemas.openxmlformats.org/officeDocument/2006/relationships/hyperlink" Target="https://eli.gov.pl/eli/DU/2003/717/ogl" TargetMode="External"/><Relationship Id="rId29" Type="http://schemas.openxmlformats.org/officeDocument/2006/relationships/hyperlink" Target="https://eli.gov.pl/eli/DU/1994/414/ogl" TargetMode="External"/><Relationship Id="rId30" Type="http://schemas.openxmlformats.org/officeDocument/2006/relationships/hyperlink" Target="https://eli.gov.pl/eli/DU/2008/1227/ogl" TargetMode="External"/><Relationship Id="rId31" Type="http://schemas.openxmlformats.org/officeDocument/2006/relationships/hyperlink" Target="https://eli.gov.pl/eli/DU/2017/1566/ogl" TargetMode="External"/><Relationship Id="rId32" Type="http://schemas.openxmlformats.org/officeDocument/2006/relationships/hyperlink" Target="https://eli.gov.pl/eli/DU/2023/326/ogl" TargetMode="External"/><Relationship Id="rId33" Type="http://schemas.openxmlformats.org/officeDocument/2006/relationships/hyperlink" Target="https://eli.gov.pl/eli/DU/1964/93/ogl" TargetMode="External"/><Relationship Id="rId34" Type="http://schemas.openxmlformats.org/officeDocument/2006/relationships/hyperlink" Target="https://eli.gov.pl/eli/DU/2003/535/ogl" TargetMode="External"/><Relationship Id="rId35" Type="http://schemas.openxmlformats.org/officeDocument/2006/relationships/hyperlink" Target="https://eli.gov.pl/eli/DU/1992/86/ogl" TargetMode="External"/><Relationship Id="rId36" Type="http://schemas.openxmlformats.org/officeDocument/2006/relationships/hyperlink" Target="https://eli.gov.pl/eli/DU/2009/417/ogl" TargetMode="External"/><Relationship Id="rId37" Type="http://schemas.openxmlformats.org/officeDocument/2006/relationships/hyperlink" Target="https://eli.gov.pl/eli/DU/2011/654/ogl" TargetMode="External"/><Relationship Id="rId38" Type="http://schemas.openxmlformats.org/officeDocument/2006/relationships/hyperlink" Target="https://eli.gov.pl/eli/DU/2022/974/ogl" TargetMode="External"/><Relationship Id="rId39" Type="http://schemas.openxmlformats.org/officeDocument/2006/relationships/hyperlink" Target="https://eli.gov.pl/eli/DU/2019/2019/ogl" TargetMode="External"/><Relationship Id="rId40" Type="http://schemas.openxmlformats.org/officeDocument/2006/relationships/hyperlink" Target="https://eli.gov.pl/eli/DU/2018/1560/ogl" TargetMode="External"/><Relationship Id="rId41" Type="http://schemas.openxmlformats.org/officeDocument/2006/relationships/hyperlink" Target="https://eli.gov.pl/eli/DU/2004/535/ogl" TargetMode="External"/><Relationship Id="rId42" Type="http://schemas.openxmlformats.org/officeDocument/2006/relationships/hyperlink" Target="https://eli.gov.pl/eli/DU/1999/930/ogl" TargetMode="External"/><Relationship Id="rId43" Type="http://schemas.openxmlformats.org/officeDocument/2006/relationships/hyperlink" Target="https://eli.gov.pl/eli/DU/2018/723/ogl" TargetMode="External"/><Relationship Id="rId44" Type="http://schemas.openxmlformats.org/officeDocument/2006/relationships/hyperlink" Target="https://eli.gov.pl/eli/DU/2000/1037/ogl" TargetMode="External"/><Relationship Id="rId45" Type="http://schemas.openxmlformats.org/officeDocument/2006/relationships/hyperlink" Target="https://eli.gov.pl/eli/DU/2011/112/ogl" TargetMode="External"/><Relationship Id="rId46" Type="http://schemas.openxmlformats.org/officeDocument/2006/relationships/hyperlink" Target="https://eli.gov.pl/eli/DU/1994/83/ogl" TargetMode="External"/><Relationship Id="rId47" Type="http://schemas.openxmlformats.org/officeDocument/2006/relationships/hyperlink" Target="https://eur-lex.europa.eu/eli/reg/2022/2065/o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