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</w:t>
      </w:r>
      <w:r>
        <w:t xml:space="preserve"> </w:t>
      </w:r>
      <w:r>
        <w:t xml:space="preserve">kazusów</w:t>
      </w:r>
      <w:r>
        <w:t xml:space="preserve"> </w:t>
      </w:r>
      <w:r>
        <w:t xml:space="preserve">wieloaspektowych</w:t>
      </w:r>
      <w:r>
        <w:t xml:space="preserve"> </w:t>
      </w:r>
      <w:r>
        <w:t xml:space="preserve">—</w:t>
      </w:r>
      <w:r>
        <w:t xml:space="preserve"> </w:t>
      </w:r>
      <w:r>
        <w:t xml:space="preserve">arkusz</w:t>
      </w:r>
      <w:r>
        <w:t xml:space="preserve"> </w:t>
      </w:r>
      <w:r>
        <w:t xml:space="preserve">odpowiedzi</w:t>
      </w:r>
    </w:p>
    <w:p>
      <w:pPr>
        <w:pStyle w:val="Subtitle"/>
      </w:pPr>
      <w:r>
        <w:t xml:space="preserve">Partia</w:t>
      </w:r>
      <w:r>
        <w:t xml:space="preserve"> </w:t>
      </w:r>
      <w:r>
        <w:t xml:space="preserve">3:</w:t>
      </w:r>
      <w:r>
        <w:t xml:space="preserve"> </w:t>
      </w:r>
      <w:r>
        <w:t xml:space="preserve">PL-01</w:t>
      </w:r>
      <w:r>
        <w:t xml:space="preserve"> </w:t>
      </w:r>
      <w:r>
        <w:t xml:space="preserve">–</w:t>
      </w:r>
      <w:r>
        <w:t xml:space="preserve"> </w:t>
      </w:r>
      <w:r>
        <w:t xml:space="preserve">PL-04</w:t>
      </w:r>
      <w:r>
        <w:t xml:space="preserve"> </w:t>
      </w:r>
      <w:r>
        <w:t xml:space="preserve">(część</w:t>
      </w:r>
      <w:r>
        <w:t xml:space="preserve"> </w:t>
      </w:r>
      <w:r>
        <w:t xml:space="preserve">polska)</w:t>
      </w:r>
    </w:p>
    <w:bookmarkStart w:id="20" w:name="metryka-arkusza"/>
    <w:p>
      <w:pPr>
        <w:pStyle w:val="Heading1"/>
      </w:pPr>
      <w:r>
        <w:t xml:space="preserve">Metryka arkusza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Materiał źródłowy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Baza_kazusow_wieloaspektowych.docx (14 kazusów)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partii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PL-01, PL-02, PL-03, PL-04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skilli prawnych — nie uruchomiono routera prawnego, skilli DR-01–DR-16, modułów walidacyjnych ani kwalifikatora karnomaterialnego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Weryfikacja źródeł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Teksty ujednolicone pobrane z API ELI Sejmu (isap/api.sejm.gov.pl) i sprawdzone punktowo; akty prawa UE — wyszukiwanie internetowe. Wykaz na końcu każdego kazusu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sporządzenia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września 2026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 prawny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dzień sporządzenia; każdy przepis krajowy sprawdzony w tekście ujednoliconym ISAP</w:t>
            </w:r>
          </w:p>
        </w:tc>
      </w:tr>
    </w:tbl>
    <w:p>
      <w:pPr>
        <w:pStyle w:val="BodyText"/>
      </w:pPr>
      <w:r>
        <w:t xml:space="preserve">Zastrzeżenie metodologiczne. Memoranda są ćwiczeniem dydaktycznym opartym wyłącznie na faktach podanych w kazusach. Nie stanowią opinii prawnej. Fakty istotne, których kazus nie podaje, wskazano w rubryce braków zamiast je dopowiadać.</w:t>
      </w:r>
    </w:p>
    <w:p>
      <w:pPr>
        <w:pStyle w:val="BodyText"/>
      </w:pPr>
      <w:r>
        <w:t xml:space="preserve">Uwaga o zmianie metody wobec Partii 1 i 2. Kazusy polskie pozwalają na weryfikację twardą: przepis albo brzmi tak, jak podano, albo nie. Dlatego w tej partii brzmienia przepisów sprawdzono w tekstach ujednoliconych, a nie odtwarzano z pamięci modelu. Trzy ustalenia weryfikacyjne zmieniły wynik analizy w stosunku do intuicyjnego rozwiązania kazusu; oznaczono je w tekście.</w:t>
      </w:r>
    </w:p>
    <w:bookmarkEnd w:id="20"/>
    <w:bookmarkStart w:id="34" w:name="pl-01-algorytm-zwalnia-sygnalistkę"/>
    <w:p>
      <w:pPr>
        <w:pStyle w:val="Heading1"/>
      </w:pPr>
      <w:r>
        <w:t xml:space="preserve">PL-01 Algorytm zwalnia sygnalistkę</w:t>
      </w:r>
    </w:p>
    <w:bookmarkStart w:id="21" w:name="teza-wstępna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Najmocniejszym narzędziem Marty nie jest ani RODO, ani AI Act, lecz art. 12 ust. 3 ustawy o ochronie sygnalistów — przerzucenie na pracodawcę ciężaru dowodu, że działanie nie było odwetem. W połączeniu z odtworzeniem podobnego stanowiska po miesiącu daje to pozycję trudną do obrony. Najsłabszym punktem jest kwalifikacja samego zgłoszenia w zamkniętym katalogu art. 3 ust. 1 ustawy oraz tryb przekazania dokumentów dziennikarzowi, do którego — wbrew powszechnej intuicji — nie stosuje się przepisów o ujawnieniu publicznym.</w:t>
      </w:r>
    </w:p>
    <w:p>
      <w:pPr>
        <w:pStyle w:val="BodyText"/>
      </w:pPr>
      <w:r>
        <w:t xml:space="preserve">Ustalenie weryfikacyjne, które zmienia wynik. Powoływanie obowiązków AI Act dotyczących systemów wysokiego ryzyka jest w tej sprawie przedwczesne. Rozporządzenie (UE) 2026/1744 („Digital Omnibus on AI”) przesunęło stosowanie tych obowiązków dla samodzielnych systemów z załącznika III — w tym systemów wykorzystywanych w zatrudnieniu — na 2 grudnia 2027 r. Na dzień rozwiązywania kazusu obowiązują z AI Act wyłącznie: zakazane praktyki i obowiązek kompetencji w zakresie AI (od 2 lutego 2025 r.), przepisy o modelach ogólnego przeznaczenia (od 2 sierpnia 2025 r.) oraz obowiązki przejrzystości (od 2 sierpnia 2026 r.). Argumentację trzeba więc oprzeć na art. 22 RODO i na Kodeksie pracy.</w:t>
      </w:r>
    </w:p>
    <w:bookmarkEnd w:id="21"/>
    <w:bookmarkStart w:id="22" w:name="mapa-jurysdykcji-źródeł-i-kompetencji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Fora i ich kompetencje.</w:t>
      </w:r>
    </w:p>
    <w:p>
      <w:pPr>
        <w:numPr>
          <w:ilvl w:val="0"/>
          <w:numId w:val="1001"/>
        </w:numPr>
        <w:pStyle w:val="Compact"/>
      </w:pPr>
      <w:r>
        <w:t xml:space="preserve">Sąd pracy — roszczenia z art. 45 § 1 k.p. (bezskuteczność, przywrócenie, odszkodowanie) oraz samodzielne roszczenie z art. 14 ustawy o ochronie sygnalistów (odszkodowanie nie niższe niż przeciętne miesięczne wynagrodzenie w gospodarce narodowej albo zadośćuczynienie). Podstawy są odrębne i kumulują się.</w:t>
      </w:r>
    </w:p>
    <w:p>
      <w:pPr>
        <w:numPr>
          <w:ilvl w:val="0"/>
          <w:numId w:val="1001"/>
        </w:numPr>
        <w:pStyle w:val="Compact"/>
      </w:pPr>
      <w:r>
        <w:t xml:space="preserve">Sąd cywilny — powództwo spółki o zakaz publikacji i odszkodowanie (art. 24 k.c., art. 18 ustawy o zwalczaniu nieuczciwej konkurencji), z wnioskiem o zabezpieczenie (art. 730 i n. k.p.c.).</w:t>
      </w:r>
    </w:p>
    <w:p>
      <w:pPr>
        <w:numPr>
          <w:ilvl w:val="0"/>
          <w:numId w:val="1001"/>
        </w:numPr>
        <w:pStyle w:val="Compact"/>
      </w:pPr>
      <w:r>
        <w:t xml:space="preserve">PIP — kontrola legalności zatrudnienia i wypowiedzenia; nie orzeka o roszczeniach.</w:t>
      </w:r>
    </w:p>
    <w:p>
      <w:pPr>
        <w:numPr>
          <w:ilvl w:val="0"/>
          <w:numId w:val="1001"/>
        </w:numPr>
        <w:pStyle w:val="Compact"/>
      </w:pPr>
      <w:r>
        <w:t xml:space="preserve">UODO — legalność przetwarzania w systemie PeopleScore i w procesie rekrutacyjnym.</w:t>
      </w:r>
    </w:p>
    <w:p>
      <w:pPr>
        <w:numPr>
          <w:ilvl w:val="0"/>
          <w:numId w:val="1001"/>
        </w:numPr>
        <w:pStyle w:val="Compact"/>
      </w:pPr>
      <w:r>
        <w:t xml:space="preserve">Prokuratura — art. 55 ustawy o ochronie sygnalistów penalizuje podejmowanie działań odwetowych; to zarzut niezależny od procesu pracowniczego i o nim się często zapomina.</w:t>
      </w:r>
    </w:p>
    <w:p>
      <w:pPr>
        <w:pStyle w:val="FirstParagraph"/>
      </w:pPr>
      <w:r>
        <w:t xml:space="preserve">Źródła i ich hierarchia. Ustawa o ochronie sygnalistów jest wobec Kodeksu pracy regulacją szczególną, ale nie wyłączającą: art. 9 ustawy stanowi wprost, że nie wyłącza ona przepisów o prawach pracowników do konsultacji ze związkami zawodowymi. RODO stosuje się bezpośrednio. AI Act stosuje się bezpośrednio, lecz w zakresie czasowym opisanym wyżej.</w:t>
      </w:r>
    </w:p>
    <w:bookmarkEnd w:id="22"/>
    <w:bookmarkStart w:id="29" w:name="analiza-materialna-według-zagadnień"/>
    <w:p>
      <w:pPr>
        <w:pStyle w:val="Heading2"/>
      </w:pPr>
      <w:r>
        <w:t xml:space="preserve">Analiza materialna według zagadnień</w:t>
      </w:r>
    </w:p>
    <w:bookmarkStart w:id="23" w:name="X2ad0c14dfebdd5b62b70d6c152532a905b493b5"/>
    <w:p>
      <w:pPr>
        <w:pStyle w:val="Heading3"/>
      </w:pPr>
      <w:r>
        <w:t xml:space="preserve">Zagadnienie 1: czy zgłoszenie w ogóle korzysta z ochrony</w:t>
      </w:r>
    </w:p>
    <w:p>
      <w:pPr>
        <w:pStyle w:val="FirstParagraph"/>
      </w:pPr>
      <w:r>
        <w:t xml:space="preserve">Trzy przesłanki kumulatywne. Po pierwsze — status sygnalisty (art. 4 ust. 1 pkt 1 ustawy: pracownik; spełniony). Po drugie — uzasadnione podstawy sądzić, że informacja jest prawdziwa i stanowi informację o naruszeniu prawa (art. 6). Po trzecie — przedmiot zgłoszenia musi mieścić się w zamkniętym katalogu art. 3 ust. 1.</w:t>
      </w:r>
    </w:p>
    <w:p>
      <w:pPr>
        <w:pStyle w:val="BodyText"/>
      </w:pPr>
      <w:r>
        <w:t xml:space="preserve">Tu leży realne ryzyko. Katalog obejmuje siedemnaście dziedzin. Dyskryminacja kandydatek przez model rekrutacyjny nie jest wprost wymieniona. Punkt 17 — konstytucyjne wolności i prawa człowieka i obywatela — jest ograniczony do naruszeń „występujących w stosunkach jednostki z organami władzy publicznej”, a Algometria S.A. organem władzy publicznej nie jest. Ta klauzula, dopisana w toku prac legislacyjnych, wycina z zakresu ustawy większość zgłoszeń dyskryminacyjnych w sektorze prywatnym.</w:t>
      </w:r>
    </w:p>
    <w:p>
      <w:pPr>
        <w:pStyle w:val="BodyText"/>
      </w:pPr>
      <w:r>
        <w:t xml:space="preserve">Właściwą podstawą jest art. 3 ust. 1 pkt 13 — ochrona prywatności i danych osobowych. Zaniżanie oceny kandydatek na podstawie faktu urlopu rodzicielskiego jest przetwarzaniem nierzetelnym (art. 5 ust. 1 lit. a RODO) i prawdopodobnie profilowaniem wywołującym skutki prawne (art. 22 RODO). Kwalifikacja jest poprawna, ale wymaga świadomego przeprowadzenia; zgłoszenie opisane wyłącznie jako „dyskryminacja” może zostać uznane za wykraczające poza katalog.</w:t>
      </w:r>
    </w:p>
    <w:p>
      <w:pPr>
        <w:pStyle w:val="BodyText"/>
      </w:pPr>
      <w:r>
        <w:t xml:space="preserve">Alternatywa awaryjna: art. 3 ust. 2 pozwala podmiotowi prawnemu objąć procedurą wewnętrzną także naruszenia regulacji wewnętrznych i standardów etycznych. Jeżeli Algometria taką możliwość przewidziała, zgłoszenie Marty korzysta z ochrony wewnętrznej, ale — co przepis stwierdza wprost — nie stosuje się wtedy rozdziałów 4 i 5, czyli ani zgłoszenia zewnętrznego, ani ujawnienia publicznego.</w:t>
      </w:r>
    </w:p>
    <w:bookmarkEnd w:id="23"/>
    <w:bookmarkStart w:id="24" w:name="Xef7788fb924856e9f02717cd12bdcbe318fbc0c"/>
    <w:p>
      <w:pPr>
        <w:pStyle w:val="Heading3"/>
      </w:pPr>
      <w:r>
        <w:t xml:space="preserve">Zagadnienie 2: odwet i rozkład ciężaru dowodu</w:t>
      </w:r>
    </w:p>
    <w:p>
      <w:pPr>
        <w:pStyle w:val="FirstParagraph"/>
      </w:pPr>
      <w:r>
        <w:t xml:space="preserve">Zakaz z art. 11 ustawy jest bezwarunkowy. Art. 12 ust. 1 wylicza dwadzieścia jeden postaci odwetu; dla tej sprawy istotne są pkt 2 (wypowiedzenie stosunku pracy) i pkt 11 (negatywna ocena wyników pracy lub negatywna opinia o pracy). Obniżenie ratingu przez PeopleScore z powodu „nielojalności” jest samodzielnym działaniem odwetowym w rozumieniu pkt 11 — niezależnie od losu wypowiedzenia. To pozwala postawić dwa odrębne zarzuty zamiast jednego.</w:t>
      </w:r>
    </w:p>
    <w:p>
      <w:pPr>
        <w:pStyle w:val="BodyText"/>
      </w:pPr>
      <w:r>
        <w:t xml:space="preserve">Art. 12 ust. 3 przenosi na pracodawcę ciężar dowodu, że podjęte działanie nie jest działaniem odwetowym. Konstrukcja jest mocniejsza niż standardowy rozkład z art. 6 k.c., bo pracodawca musi wykazać okoliczność negatywną. Odstęp dwóch tygodni między zgłoszeniem a obniżeniem ratingu i dalsze kilka tygodni do wypowiedzenia to zbieżność czasowa, której samo zaprzeczenie nie zniweczy.</w:t>
      </w:r>
    </w:p>
    <w:p>
      <w:pPr>
        <w:pStyle w:val="BodyText"/>
      </w:pPr>
      <w:r>
        <w:t xml:space="preserve">Na gruncie prawa pracy: art. 30 § 4 k.p. wymaga wskazania przyczyny; utrwalony standard to przyczyna rzeczywista, konkretna i sprawdzalna. Likwidacja stanowiska, po której miesiąc później tworzy się stanowisko podobne, jest przyczyną pozorną — a wypowiedzenie z przyczyny pozornej jest nieuzasadnione w rozumieniu art. 45 § 1 k.p. Odrębnie należy sprawdzić art. 38 k.p.: jeżeli Martę reprezentowała zakładowa organizacja związkowa, pracodawca miał obowiązek uprzedniego zawiadomienia z podaniem przyczyny; naruszenie tego trybu to naruszenie przepisów o wypowiadaniu, czyli druga, niezależna podstawa z art. 45 § 1.</w:t>
      </w:r>
    </w:p>
    <w:p>
      <w:pPr>
        <w:pStyle w:val="BodyText"/>
      </w:pPr>
      <w:r>
        <w:t xml:space="preserve">Roszczenia kumulują się: art. 45 § 1 k.p. (przywrócenie albo odszkodowanie) oraz art. 14 ustawy o ochronie sygnalistów. Ustawa nie zawiera reguły zaliczenia, a art. 17 zakazuje zrzeczenia się praw z rozdziału 2.</w:t>
      </w:r>
    </w:p>
    <w:bookmarkEnd w:id="24"/>
    <w:bookmarkStart w:id="25" w:name="Xa0dceae03c2fa5e96e91b265db71dbf0940878a"/>
    <w:p>
      <w:pPr>
        <w:pStyle w:val="Heading3"/>
      </w:pPr>
      <w:r>
        <w:t xml:space="preserve">Zagadnienie 3: PeopleScore jako monitoring</w:t>
      </w:r>
    </w:p>
    <w:p>
      <w:pPr>
        <w:pStyle w:val="FirstParagraph"/>
      </w:pPr>
      <w:r>
        <w:t xml:space="preserve">System oceniający pracowników na podstawie absencji i kontaktów z mediami jest „inną formą monitoringu” w rozumieniu art. 22³ § 4 k.p. Przepis nakazuje odpowiednie stosowanie art. 22³ § 1–3, a przez to art. 22² § 6–10 k.p.: cele, zakres i sposób zastosowania monitoringu ustala się w układzie zbiorowym pracy, regulaminie pracy albo obwieszczeniu; pracodawca informuje pracowników nie później niż dwa tygodnie przed uruchomieniem; przed dopuszczeniem do pracy przekazuje informacje w postaci papierowej lub elektronicznej.</w:t>
      </w:r>
    </w:p>
    <w:p>
      <w:pPr>
        <w:pStyle w:val="BodyText"/>
      </w:pPr>
      <w:r>
        <w:t xml:space="preserve">Kazus podaje, że związek zawodowy nie wiedział o monitoringu. To wskazuje na pominięcie trybu ustalenia w układzie lub regulaminie, a więc na naruszenie art. 22³ § 4 w zw. z art. 22² § 6 k.p. Skutek nie jest automatyczny — naruszenie nie unieważnia wypowiedzenia samo przez się — ale ma trzy konsekwencje: przetwarzanie danych w systemie jest pozbawione prawidłowej podstawy organizacyjnej, wynik ratingu traci walor rzetelnej oceny pracowniczej, a pracodawca traci możliwość powoływania się na ten wynik jako na przyczynę wypowiedzenia.</w:t>
      </w:r>
    </w:p>
    <w:bookmarkEnd w:id="25"/>
    <w:bookmarkStart w:id="26" w:name="X57cac1b0ce181771bf1679ceee711a1402ad159"/>
    <w:p>
      <w:pPr>
        <w:pStyle w:val="Heading3"/>
      </w:pPr>
      <w:r>
        <w:t xml:space="preserve">Zagadnienie 4: czy decyzja była zautomatyzowana</w:t>
      </w:r>
    </w:p>
    <w:p>
      <w:pPr>
        <w:pStyle w:val="FirstParagraph"/>
      </w:pPr>
      <w:r>
        <w:t xml:space="preserve">Art. 22 ust. 1 RODO zakazuje decyzji opartej „wyłącznie” na zautomatyzowanym przetwarzaniu, jeżeli wywołuje skutki prawne. Zarząd formalnie uczestniczył. Test nie jest jednak formalny: chodzi o to, czy człowiek dysponował realną możliwością i kompetencją zmiany wyniku, dostępem do danych wejściowych i do uzasadnienia oceny. Krótka wideokonferencja, po której przyjęto rating bez własnej analizy, jest klasycznym zatwierdzeniem formalnym. Ciężar wykazania realności nadzoru spoczywa faktycznie na administratorze, bo tylko on dysponuje dokumentacją procesu.</w:t>
      </w:r>
    </w:p>
    <w:p>
      <w:pPr>
        <w:pStyle w:val="BodyText"/>
      </w:pPr>
      <w:r>
        <w:t xml:space="preserve">Prawo do informacji z art. 15 ust. 1 lit. h RODO obejmuje istotne informacje o zasadach podejmowania decyzji oraz o znaczeniu i przewidywanych konsekwencjach — nie kod źródłowy i nie wagi modelu. To rozróżnienie rozstrzyga spór z dostawcą: żądanie ujawnienia logiki systemu w rozumieniu RODO nie jest żądaniem ujawnienia tajemnicy przedsiębiorstwa w rozumieniu art. 11 ust. 2 ustawy o zwalczaniu nieuczciwej konkurencji, więc powołanie się na tajemnicę nie jest odpowiedzią na to żądanie.</w:t>
      </w:r>
    </w:p>
    <w:p>
      <w:pPr>
        <w:pStyle w:val="BodyText"/>
      </w:pPr>
      <w:r>
        <w:t xml:space="preserve">Gdyby dostawca podtrzymał odmowę w procesie, właściwe są narzędzia procesowe: zobowiązanie do przedstawienia dokumentu (art. 248 k.p.c.), dowód z opinii biegłego z ograniczeniem wglądu stron, a przy odmowie — art. 233 § 2 k.p.c., który pozwala sądowi ocenić znaczenie odmowy przedstawienia dowodu i przeszkód stawianych w jego przeprowadzeniu. W praktyce to najsilniejszy instrument Marty: nie musi ona udowodnić działania algorytmu, wystarczy, że pracodawca uniemożliwi jego zbadanie.</w:t>
      </w:r>
    </w:p>
    <w:bookmarkEnd w:id="26"/>
    <w:bookmarkStart w:id="27" w:name="X03f5d621ca7c164fd33095a0e635b6d111f3345"/>
    <w:p>
      <w:pPr>
        <w:pStyle w:val="Heading3"/>
      </w:pPr>
      <w:r>
        <w:t xml:space="preserve">Zagadnienie 5: ujawnienie dokumentów dziennikarzowi</w:t>
      </w:r>
    </w:p>
    <w:p>
      <w:pPr>
        <w:pStyle w:val="FirstParagraph"/>
      </w:pPr>
      <w:r>
        <w:t xml:space="preserve">Tu leży druga pułapka kazusu. Ochrona ujawnienia publicznego z art. 51 ustawy wymaga wyczerpania sekwencji: zgłoszenie wewnętrzne, potem zewnętrzne, brak działań następczych i informacji zwrotnej — albo wystąpienia jednej z sytuacji z art. 51 ust. 2 (bezpośrednie lub oczywiste zagrożenie interesu publicznego, ryzyko odwetu, niewielkie prawdopodobieństwo skutecznego przeciwdziałania). Marta zgłosiła wewnętrznie, złożyła skargi do PIP i UODO oraz przekazała dokumenty dziennikarzowi.</w:t>
      </w:r>
    </w:p>
    <w:p>
      <w:pPr>
        <w:pStyle w:val="BodyText"/>
      </w:pPr>
      <w:r>
        <w:t xml:space="preserve">Rozstrzyga art. 53: przepisów art. 51 i 52 nie stosuje się, jeżeli przekazanie informacji o naruszeniu następuje bezpośrednio do prasy — wówczas stosuje się Prawo prasowe. Przekazanie dokumentów dziennikarzowi nie jest więc oceniane według testu sekwencyjnego. Konsekwencja jest korzystna dla Marty: nie musi wykazywać, że wyczerpała ścieżkę zewnętrzną.</w:t>
      </w:r>
    </w:p>
    <w:p>
      <w:pPr>
        <w:pStyle w:val="BodyText"/>
      </w:pPr>
      <w:r>
        <w:t xml:space="preserve">Ochrona przed odpowiedzialnością pozostaje oparta na art. 16 ust. 1 ustawy, którego art. 53 nie wyłącza. Przepis wyłącza odpowiedzialność za naruszenie obowiązku zachowania tajemnicy, w tym tajemnicy przedsiębiorstwa, oraz za naruszenie ochrony danych osobowych i praw autorskich — pod warunkiem, że sygnalista miał uzasadnione podstawy sądzić, że ujawnienie jest niezbędne do ujawnienia naruszenia prawa. Warunek niezbędności jest kluczowy i ma charakter proporcjonalnościowy: przekazanie fragmentów kodu i danych testowych mieści się w nim znacznie łatwiej niż przekazanie korespondencji zarządu z danymi osobowymi osób trzecich. Prawidłowa strategia to obrona zakresu, nie obrona całości.</w:t>
      </w:r>
    </w:p>
    <w:p>
      <w:pPr>
        <w:pStyle w:val="BodyText"/>
      </w:pPr>
      <w:r>
        <w:t xml:space="preserve">Powództwo spółki o zakaz publikacji napotyka nadto art. 16 ust. 2, który pozwala sygnaliście wystąpić o umorzenie postępowania dotyczącego takiej odpowiedzialności.</w:t>
      </w:r>
    </w:p>
    <w:bookmarkEnd w:id="27"/>
    <w:bookmarkStart w:id="28" w:name="Xc27b0731e5c9f37d88d08d50d268975a8bcba2f"/>
    <w:p>
      <w:pPr>
        <w:pStyle w:val="Heading3"/>
      </w:pPr>
      <w:r>
        <w:t xml:space="preserve">Zagadnienie 6: retencja logów i zabezpieczenie dowodów</w:t>
      </w:r>
    </w:p>
    <w:p>
      <w:pPr>
        <w:pStyle w:val="FirstParagraph"/>
      </w:pPr>
      <w:r>
        <w:t xml:space="preserve">Trzydziestodniowa retencja skutkująca utratą części logów w sytuacji, gdy spór był przewidywalny, jest wadą leżącą po stronie pracodawcy. Kodeks pracy zawiera wzorzec rozwiązania: art. 22² § 4 k.p. przedłuża okres przechowywania nagrań, jeżeli pracodawca powziął wiadomość, że mogą one stanowić dowód w postępowaniu. Reguła ta stosuje się odpowiednio do innych form monitoringu przez art. 22³ § 3 i 4 k.p. Utrata logów po zgłoszeniu i po obniżeniu ratingu jest więc nie tylko problemem dowodowym, lecz uchybieniem normatywnym.</w:t>
      </w:r>
    </w:p>
    <w:p>
      <w:pPr>
        <w:pStyle w:val="BodyText"/>
      </w:pPr>
      <w:r>
        <w:t xml:space="preserve">Czynności pilne: wniosek o zabezpieczenie dowodu (art. 310 k.p.c.) obejmujący logi PeopleScore, wersje modelu i changelog; wniosek o zabezpieczenie roszczenia; zawiadomienie UODO z żądaniem kontroli u administratora i procesora; wystąpienie do dostawcy o wykaz przetwarzanych kategorii danych.</w:t>
      </w:r>
    </w:p>
    <w:bookmarkEnd w:id="28"/>
    <w:bookmarkEnd w:id="29"/>
    <w:bookmarkStart w:id="30" w:name="macierz-argumentów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Marty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 spółki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ochrony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dotyczy ochrony danych osobowych — art. 3 ust. 1 pkt 13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dotyczy dyskryminacji, a pkt 17 obejmuje tylko relacje z organami władzy publicznej; katalog jest zamknięty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 ust. 1 pkt 2 i 11 w zw. z ust. 3 — ciężar dowodu po stronie pracodawcy; zbieżność czasowa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obniżono z przyczyn obiektywnych — absencja i ocena okresowa; reorganizacja miała podstawy ekonomiczne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Rzeczywistość reorganizacji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Odtworzenie podobnego stanowiska po miesiącu dowodzi pozorności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Nowe stanowisko ma inny zakres zadań; pracodawca ma swobodę kształtowania struktury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Automatyzacja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 zatwierdził wynik bez własnej analizy — decyzja wyłącznie zautomatyzowana (art. 22 RODO)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Decyzję podjął organ kolegialny; system pełnił funkcję pomocniczą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Tajemnica dostawcy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ust. 1 lit. h RODO obejmuje zasady, nie kod; tajemnica nie jest odpowiedzią na to żądanie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Logika systemu jako całość ma wartość gospodarczą i jest chroniona (art. 11 uznk)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mieści się w załączniku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Obowiązki dla systemów z załącznika III stosuje się od 2 grudnia 2027 r.; zarzut przedwczesny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Ujawnienie mediom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wyłącza test sekwencyjny; art. 16 ust. 1 wyłącza odpowiedzialność za tajemnicę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ujawnienia przekroczył niezbędność — przekazano dane osobowe osób trzecich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ustalenia w regulaminie i brak informacji — art. 22³ § 4 w zw. z art. 22² § 6–8 k.p.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nie jest monitoringiem, lecz narzędziem oceny okresowej</w:t>
            </w:r>
          </w:p>
        </w:tc>
      </w:tr>
    </w:tbl>
    <w:bookmarkEnd w:id="30"/>
    <w:bookmarkStart w:id="31" w:name="braki-faktyczne-i-dowody-rozstrzygające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zgłoszenia wewnętrznego Marty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o zakwalifikowaniu do art. 3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 zgłoszeń, pismo zgłaszające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w spółce ustalono procedurę zgłoszeń wewnętrznych i jej zakres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ust. 2 zmienia dostępne ścieżki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Regulamin, uchwała zarządu, konsultacje ze stroną społeczną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Martę reprezentowała organizacja związkowa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38 k.p.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Informacja związku o objęciu ochroną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zadań nowego stanowiska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Odróżnia rzeczywistą reorganizację od pozornej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Opisy stanowisk, struktura organizacyjna przed i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Dokumentacja posiedzenia zarządu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realności nadzoru ludzkiego (art. 22 RODO)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Protokół, nagranie, materiały przedłożone członkom zarządu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Kategorie danych wejściowych PeopleScore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Ustalenie, czy przetwarzano dane o absencji i aktywności medialnej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 czynności przetwarzania, dokumentacja procesora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Podstawa i tryb wprowadzenia PeopleScore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naruszenia art. 22³ k.p.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Regulamin pracy, obwieszczenie, informacja dla pracowników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dokumentów przekazanych dziennikarzowi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niezbędności w rozumieniu art. 16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Wykaz przekazanych plików, korespondencja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retencji i moment powzięcia wiadomości o sporze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naruszenia obowiązku zachowania dowodów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Polityka retencji, zgłoszenie incydentu, korespondencja prawna</w:t>
            </w:r>
          </w:p>
        </w:tc>
      </w:tr>
    </w:tbl>
    <w:bookmarkEnd w:id="31"/>
    <w:bookmarkStart w:id="32" w:name="proponowane-rozstrzygnięcie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Sąd pracy: uwzględnić powództwo na podstawie art. 45 § 1 k.p. wobec pozorności przyczyny; orzec zgodnie z żądaniem pracownicy. Zasądzić odrębnie odszkodowanie z art. 14 ustawy o ochronie sygnalistów za działania odwetowe polegające na obniżeniu ratingu i wypowiedzeniu, bez zaliczania na poczet świadczenia z Kodeksu pracy.</w:t>
      </w:r>
    </w:p>
    <w:p>
      <w:pPr>
        <w:pStyle w:val="BodyText"/>
      </w:pPr>
      <w:r>
        <w:t xml:space="preserve">Oddalić powództwo spółki o zakaz publikacji w zakresie materiałów dotyczących działania modelu rekrutacyjnego; uwzględnić je wyłącznie co do dokumentów zawierających dane osobowe osób trzecich niezwiązane z naruszeniem, jako wykraczających poza niezbędność z art. 16 ust. 1 ustawy.</w:t>
      </w:r>
    </w:p>
    <w:p>
      <w:pPr>
        <w:pStyle w:val="BodyText"/>
      </w:pPr>
      <w:r>
        <w:t xml:space="preserve">Nie opierać rozstrzygnięcia na AI Act. Wskazać w uzasadnieniu, że obowiązki dla systemów z załącznika III nie są jeszcze stosowane, a podstawą oceny są art. 22 RODO i art. 22³ k.p.</w:t>
      </w:r>
    </w:p>
    <w:p>
      <w:pPr>
        <w:pStyle w:val="BodyText"/>
      </w:pPr>
      <w:r>
        <w:t xml:space="preserve">Wystąpić do UODO o zbadanie legalności przetwarzania w systemie PeopleScore oraz do prokuratury w zakresie art. 55 ustawy o ochronie sygnalistów.</w:t>
      </w:r>
    </w:p>
    <w:bookmarkEnd w:id="32"/>
    <w:bookmarkStart w:id="33" w:name="zweryfikowane-pozycje-źródłowe-pl-01"/>
    <w:p>
      <w:pPr>
        <w:pStyle w:val="Heading2"/>
      </w:pPr>
      <w:r>
        <w:t xml:space="preserve">Zweryfikowane pozycje źródłowe (PL-01)</w:t>
      </w:r>
    </w:p>
    <w:p>
      <w:pPr>
        <w:numPr>
          <w:ilvl w:val="0"/>
          <w:numId w:val="1002"/>
        </w:numPr>
        <w:pStyle w:val="Compact"/>
      </w:pPr>
      <w:r>
        <w:t xml:space="preserve">Ustawa z dnia 14 czerwca 2024 r. o ochronie sygnalistów, Dz.U. 2024 poz. 928 — sprawdzono w tekście ujednoliconym: art. 3 ust. 1 (katalog siedemnastu dziedzin; pkt 17 ograniczony do stosunków z organami władzy publicznej), art. 3 ust. 2, art. 4 ust. 1, art. 5 ust. 1, art. 6, art. 9, art. 11, art. 12 ust. 1 pkt 2 i 11 oraz ust. 3, art. 14, art. 16, art. 17, art. 51, art. 53, art. 55.</w:t>
      </w:r>
    </w:p>
    <w:p>
      <w:pPr>
        <w:numPr>
          <w:ilvl w:val="0"/>
          <w:numId w:val="1002"/>
        </w:numPr>
        <w:pStyle w:val="Compact"/>
      </w:pPr>
      <w:r>
        <w:t xml:space="preserve">Ustawa z dnia 26 czerwca 1974 r. — Kodeks pracy, Dz.U. 1974 nr 24 poz. 141 — sprawdzono: art. 22² § 3–10, art. 22³ § 1–4, art. 30 § 4, art. 38 § 1–5, art. 45 § 1–2.</w:t>
      </w:r>
    </w:p>
    <w:p>
      <w:pPr>
        <w:numPr>
          <w:ilvl w:val="0"/>
          <w:numId w:val="1002"/>
        </w:numPr>
        <w:pStyle w:val="Compact"/>
      </w:pPr>
      <w:r>
        <w:t xml:space="preserve">Ustawa z dnia 16 kwietnia 1993 r. o zwalczaniu nieuczciwej konkurencji, Dz.U. 1993 nr 47 poz. 211 — sprawdzono art. 11 ust. 1–4 (definicja tajemnicy przedsiębiorstwa).</w:t>
      </w:r>
    </w:p>
    <w:p>
      <w:pPr>
        <w:numPr>
          <w:ilvl w:val="0"/>
          <w:numId w:val="1002"/>
        </w:numPr>
        <w:pStyle w:val="Compact"/>
      </w:pPr>
      <w:r>
        <w:t xml:space="preserve">Ustawa z dnia 17 listopada 1964 r. — Kodeks postępowania cywilnego, Dz.U. 1964 nr 43 poz. 296 — sprawdzono art. 233 § 2.</w:t>
      </w:r>
    </w:p>
    <w:p>
      <w:pPr>
        <w:numPr>
          <w:ilvl w:val="0"/>
          <w:numId w:val="1002"/>
        </w:numPr>
        <w:pStyle w:val="Compact"/>
      </w:pPr>
      <w:r>
        <w:t xml:space="preserve">Rozporządzenie (UE) 2026/1744 („Digital Omnibus on AI”), w życie 27 lipca 2026 r. — przesunięcie stosowania obowiązków rozdziału III AI Act: załącznik III na 2 grudnia 2027 r., załącznik I na 2 sierpnia 2028 r.; art. 50 AI Act stosowany od 2 sierpnia 2026 r.; art. 4 AI Act od 2 lutego 2025 r. Potwierdzone w kilku niezależnych źródłach branżowych; przed użyciem zawodowym wymaga sprawdzenia w Dz. Urz. UE.</w:t>
      </w:r>
    </w:p>
    <w:p>
      <w:pPr>
        <w:pStyle w:val="FirstParagraph"/>
      </w:pPr>
      <w:r>
        <w:t xml:space="preserve">Nie przypisano numerów artykułów i przedstawiono jako standard doktrynalny: test rzeczywistości i konkretności przyczyny wypowiedzenia, standard oceny pozorności likwidacji stanowiska, wykładnia przesłanki „wyłącznie” z art. 22 RODO. Wymagają samodzielnego potwierdzenia w orzecznictwie Sądu Najwyższego i wytycznych EROD.</w:t>
      </w:r>
    </w:p>
    <w:bookmarkEnd w:id="33"/>
    <w:bookmarkEnd w:id="34"/>
    <w:bookmarkStart w:id="47" w:name="pl-02-osiedle-na-zalewowej-łące"/>
    <w:p>
      <w:pPr>
        <w:pStyle w:val="Heading1"/>
      </w:pPr>
      <w:r>
        <w:t xml:space="preserve">PL-02 Osiedle na zalewowej łące</w:t>
      </w:r>
    </w:p>
    <w:bookmarkStart w:id="35" w:name="teza-wstępna-1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wygląda na sprawę o powódź, a jest sprawą o sekwencję aktów. Trzy zarzuty mają różną siłę i odwrotny rozkład, niż sugeruje intuicja: zarzut konfliktu interesów radnych jest najsłabszy, zarzut podziału przedsięwzięcia — najmocniejszy, a zarzut oparty na nowej mapie zagrożenia powodziowego jest mocny w warstwie nadzoru budowlanego i słaby w warstwie wzruszania decyzji ostatecznych. Rekomendowana konkluzja: decyzja środowiskowa jest wadliwa z powodu braku oceny skumulowanej; pozwolenie na budowę pozostaje w obrocie, ale roboty podlegają wstrzymaniu na podstawie art. 50 ust. 1 pkt 2 Prawa budowlanego; skutki majątkowe rozkładają się głównie na gminę.</w:t>
      </w:r>
    </w:p>
    <w:bookmarkEnd w:id="35"/>
    <w:bookmarkStart w:id="36" w:name="mapa-jurysdykcji-źródeł-i-kompetencji-1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Cztery odrębne ścieżki, które strony zwykle mieszają.</w:t>
      </w:r>
    </w:p>
    <w:p>
      <w:pPr>
        <w:numPr>
          <w:ilvl w:val="0"/>
          <w:numId w:val="1003"/>
        </w:numPr>
        <w:pStyle w:val="Compact"/>
      </w:pPr>
      <w:r>
        <w:t xml:space="preserve">Plan miejscowy jako akt prawa miejscowego — nadzór wojewody, a po upływie terminu nadzorczego skarga wojewody do sądu administracyjnego; nadto skarga na podstawie art. 101 ust. 1 ustawy o samorządzie gminnym dla każdego, czyj interes prawny lub uprawnienie zostały naruszone.</w:t>
      </w:r>
    </w:p>
    <w:p>
      <w:pPr>
        <w:numPr>
          <w:ilvl w:val="0"/>
          <w:numId w:val="1003"/>
        </w:numPr>
        <w:pStyle w:val="Compact"/>
      </w:pPr>
      <w:r>
        <w:t xml:space="preserve">Decyzja o środowiskowych uwarunkowaniach — postępowanie wymagające udziału społeczeństwa; art. 44 ustawy ocenowej daje organizacji ekologicznej prawa strony oraz prawo odwołania i skargi także wtedy, gdy nie brała udziału w postępowaniu.</w:t>
      </w:r>
    </w:p>
    <w:p>
      <w:pPr>
        <w:numPr>
          <w:ilvl w:val="0"/>
          <w:numId w:val="1003"/>
        </w:numPr>
        <w:pStyle w:val="Compact"/>
      </w:pPr>
      <w:r>
        <w:t xml:space="preserve">Pozwolenie na budowę — krąg stron wyznacza art. 28 ust. 2 Prawa budowlanego (obszar oddziaływania obiektu); tryby nadzwyczajne z Kodeksu postępowania administracyjnego.</w:t>
      </w:r>
    </w:p>
    <w:p>
      <w:pPr>
        <w:numPr>
          <w:ilvl w:val="0"/>
          <w:numId w:val="1003"/>
        </w:numPr>
        <w:pStyle w:val="Compact"/>
      </w:pPr>
      <w:r>
        <w:t xml:space="preserve">Nadzór budowlany — art. 50 i 51 Prawa budowlanego; postępowanie własne, niezależne od losu pozwolenia.</w:t>
      </w:r>
    </w:p>
    <w:p>
      <w:pPr>
        <w:pStyle w:val="FirstParagraph"/>
      </w:pPr>
      <w:r>
        <w:t xml:space="preserve">Warstwa hydrologiczna. Art. 166 ust. 1 Prawa wodnego nakazuje uwzględniać obszary szczególnego zagrożenia powodzią przy określaniu ustaleń planu ogólnego gminy i miejscowego planu zagospodarowania przestrzennego oraz w decyzjach o warunkach zabudowy i o ustaleniu lokalizacji inwestycji celu publicznego. Przepis adresuje planowanie i decyzje lokalizacyjne — nie zawiera samodzielnej podstawy do wzruszenia wydanego pozwolenia na budowę. To rozróżnienie decyduje o wyborze ścieżki.</w:t>
      </w:r>
    </w:p>
    <w:bookmarkEnd w:id="36"/>
    <w:bookmarkStart w:id="42" w:name="analiza-materialna-według-zagadnień-1"/>
    <w:p>
      <w:pPr>
        <w:pStyle w:val="Heading2"/>
      </w:pPr>
      <w:r>
        <w:t xml:space="preserve">Analiza materialna według zagadnień</w:t>
      </w:r>
    </w:p>
    <w:bookmarkStart w:id="37" w:name="zagadnienie-1-konflikt-interesów-radnych"/>
    <w:p>
      <w:pPr>
        <w:pStyle w:val="Heading3"/>
      </w:pPr>
      <w:r>
        <w:t xml:space="preserve">Zagadnienie 1: konflikt interesów radnych</w:t>
      </w:r>
    </w:p>
    <w:p>
      <w:pPr>
        <w:pStyle w:val="FirstParagraph"/>
      </w:pPr>
      <w:r>
        <w:t xml:space="preserve">Art. 25a ustawy o samorządzie gminnym zakazuje radnemu udziału w głosowaniu, jeżeli dotyczy ono jego interesu prawnego. Kazus podaje powiązania rodzinne części radnych z podwykonawcą inwestora. To interes faktyczny i gospodarczy osoby bliskiej, nie interes prawny radnego — a przepis nie zawiera odesłania do osób bliskich ani konstrukcji analogicznej do art. 24 § 1 pkt 2 k.p.a. Zarzut naruszenia art. 25a jest więc w tym stanie faktycznym wątpliwy.</w:t>
      </w:r>
    </w:p>
    <w:p>
      <w:pPr>
        <w:pStyle w:val="BodyText"/>
      </w:pPr>
      <w:r>
        <w:t xml:space="preserve">Nawet gdyby przyjąć naruszenie, sankcja nie jest automatyczna. Art. 28 ust. 1 ustawy o planowaniu i zagospodarowaniu przestrzennym wiąże nieważność uchwały z istotnym naruszeniem zasad sporządzania planu, istotnym naruszeniem trybu ich sporządzania albo naruszeniem właściwości organów. Naruszenie art. 25a mieści się w kategorii trybu, ale wymaga oceny istotności — praktycznie: czy udział wyłączonych radnych mógł wpłynąć na wynik głosowania. Bez ustalenia rozkładu głosów zarzut jest niekompletny.</w:t>
      </w:r>
    </w:p>
    <w:bookmarkEnd w:id="37"/>
    <w:bookmarkStart w:id="38" w:name="X0d4f260a9a8aded46de8975ff3b0534914c83bc"/>
    <w:p>
      <w:pPr>
        <w:pStyle w:val="Heading3"/>
      </w:pPr>
      <w:r>
        <w:t xml:space="preserve">Zagadnienie 2: jedno przedsięwzięcie czy trzy</w:t>
      </w:r>
    </w:p>
    <w:p>
      <w:pPr>
        <w:pStyle w:val="FirstParagraph"/>
      </w:pPr>
      <w:r>
        <w:t xml:space="preserve">To najmocniejszy zarzut skarżących. Osiedle, droga dojazdowa i zbiornik retencyjny mają jednego inwestora, jeden cel gospodarczy i wzajemną warunkowość: bez zbiornika nie da się zagospodarować wód opadowych osiedla, bez drogi nie da się go obsłużyć. Ustawa ocenowa posługuje się pojęciem przedsięwzięcia obejmującym zamierzenia powiązane technologicznie, a orzecznictwo Trybunału Sprawiedliwości konsekwentnie zakazuje dzielenia przedsięwzięć w celu obejścia progów i uniknięcia oceny — reguła ta jest w polskiej praktyce określana jako zakaz „salami slicing”.</w:t>
      </w:r>
    </w:p>
    <w:p>
      <w:pPr>
        <w:pStyle w:val="BodyText"/>
      </w:pPr>
      <w:r>
        <w:t xml:space="preserve">Konsekwencje. Prowadzenie trzech odrębnych postępowań bez oceny skumulowanej oznacza, że organ nie zbadał rzeczywistego oddziaływania. Jest to wada kwalifikowana decyzji środowiskowej. Ścieżki: stwierdzenie nieważności na podstawie art. 156 § 1 pkt 2 k.p.a. jako rażące naruszenie prawa — argument mocny, ale obarczony ryzykiem, bo część orzecznictwa traktuje wady oceny jako uchybienia zwykłe; alternatywnie wznowienie postępowania. Skutek uboczny jest istotny: art. 72 ust. 1 pkt 1 ustawy ocenowej czyni decyzję środowiskową warunkiem uprzednim pozwolenia na budowę, więc jej wyeliminowanie otwiera drogę do wzruszenia pozwolenia.</w:t>
      </w:r>
    </w:p>
    <w:p>
      <w:pPr>
        <w:pStyle w:val="BodyText"/>
      </w:pPr>
      <w:r>
        <w:t xml:space="preserve">Trzeba jednak rozdzielić prognozę oddziaływania sporządzaną dla planu od oceny oddziaływania przedsięwzięcia. Wada prognozy — oparcie jej na starych mapach — jest zarzutem wobec planu, a nie wobec decyzji środowiskowej, i podlega ocenie według art. 28 ust. 1 ustawy planistycznej.</w:t>
      </w:r>
    </w:p>
    <w:bookmarkEnd w:id="38"/>
    <w:bookmarkStart w:id="39" w:name="Xe9136bd7f9a64fa85d386aecfbab1b138f4a9a8"/>
    <w:p>
      <w:pPr>
        <w:pStyle w:val="Heading3"/>
      </w:pPr>
      <w:r>
        <w:t xml:space="preserve">Zagadnienie 3: nowa wiedza o powodzi wobec aktów ostatecznych</w:t>
      </w:r>
    </w:p>
    <w:p>
      <w:pPr>
        <w:pStyle w:val="FirstParagraph"/>
      </w:pPr>
      <w:r>
        <w:t xml:space="preserve">Tu leży druga pułapka. Naturalnym odruchem jest sięgnięcie po art. 145 § 1 pkt 5 k.p.a. — wznowienie, gdy wyjdą na jaw istotne dla sprawy nowe okoliczności faktyczne lub nowe dowody. Przepis wymaga jednak, aby okoliczności lub dowody</w:t>
      </w:r>
      <w:r>
        <w:t xml:space="preserve"> </w:t>
      </w:r>
      <w:r>
        <w:rPr>
          <w:bCs/>
          <w:b/>
        </w:rPr>
        <w:t xml:space="preserve">istniały w dniu wydania decyzji</w:t>
      </w:r>
      <w:r>
        <w:t xml:space="preserve"> </w:t>
      </w:r>
      <w:r>
        <w:t xml:space="preserve">i były nieznane organowi. Nowa mapa zagrożenia powodziowego powstała po wydaniu pozwolenia. Argumentacja skarżących musi więc oddzielić dwie rzeczy: zagrożenie powodziowe jako stan faktyczny istniał zawsze, a mapa jest jedynie jego dowodem. Przy takim ujęciu przesłanka „nowego dowodu istniejącej okoliczności” jest spełniona co do faktu, natomiast przesłanka nieznajomości organowi bywa sporna, jeżeli materiały hydrologiczne były dostępne wcześniej.</w:t>
      </w:r>
    </w:p>
    <w:p>
      <w:pPr>
        <w:pStyle w:val="BodyText"/>
      </w:pPr>
      <w:r>
        <w:t xml:space="preserve">Ścieżka pewniejsza i szybsza to nadzór budowlany. Art. 50 ust. 1 pkt 2 Prawa budowlanego pozwala wstrzymać roboty wykonywane w sposób mogący spowodować zagrożenie bezpieczeństwa ludzi lub mienia albo zagrożenie środowiska — a zalanie drogi i wykopu jest okolicznością wystarczającą. Art. 51 ust. 1 nakazuje organowi w ciągu dwóch miesięcy wydać decyzję: nakazać zaniechanie robót albo rozbiórkę, nałożyć obowiązek doprowadzenia robót do stanu zgodnego z prawem, albo — przy istotnym odstąpieniu — nałożyć obowiązek przedłożenia projektu zamiennego. Ten tryb działa niezależnie od ważności pozwolenia.</w:t>
      </w:r>
    </w:p>
    <w:p>
      <w:pPr>
        <w:pStyle w:val="BodyText"/>
      </w:pPr>
      <w:r>
        <w:t xml:space="preserve">Trzecia możliwość to art. 161 k.p.a. — uchylenie lub zmiana decyzji ostatecznej ze względu na zagrożenie życia lub zdrowia ludzkiego, z obowiązkiem odszkodowawczym po stronie organu. Instrument skuteczny, lecz kosztowny dla budżetu publicznego, i właśnie dlatego często pomijany w analizach.</w:t>
      </w:r>
    </w:p>
    <w:bookmarkEnd w:id="39"/>
    <w:bookmarkStart w:id="40" w:name="zagadnienie-4-legitymacja-i-wybór-trybu"/>
    <w:p>
      <w:pPr>
        <w:pStyle w:val="Heading3"/>
      </w:pPr>
      <w:r>
        <w:t xml:space="preserve">Zagadnienie 4: legitymacja i wybór trybu</w:t>
      </w:r>
    </w:p>
    <w:p>
      <w:pPr>
        <w:pStyle w:val="FirstParagraph"/>
      </w:pPr>
      <w:r>
        <w:t xml:space="preserve">Sąsiedzi: skarga z art. 101 ust. 1 ustawy o samorządzie gminnym wymaga naruszenia interesu prawnego lub uprawnienia — dla nieruchomości położonych w zasięgu oddziaływania osiedla i w obszarze zagrożenia powodziowego przesłanka jest realna. Art. 101 ust. 2a pozwala wnieść skargę także reprezentując grupę mieszkańców, którzy wyrażą pisemną zgodę.</w:t>
      </w:r>
    </w:p>
    <w:p>
      <w:pPr>
        <w:pStyle w:val="BodyText"/>
      </w:pPr>
      <w:r>
        <w:t xml:space="preserve">Organizacja ekologiczna: wobec planu miejscowego jej pozycja jest słaba, bo art. 101 wymaga interesu prawnego, a cele statutowe interesem prawnym nie są. Wobec decyzji środowiskowej pozycja jest mocna — art. 44 ust. 1 ustawy ocenowej przyznaje prawa strony organizacji prowadzącej działalność statutową w zakresie ochrony środowiska lub przyrody przez co najmniej dwanaście miesięcy przed wszczęciem postępowania, a ust. 2 daje prawo odwołania także wtedy, gdy organizacja nie brała udziału w postępowaniu.</w:t>
      </w:r>
    </w:p>
    <w:p>
      <w:pPr>
        <w:pStyle w:val="BodyText"/>
      </w:pPr>
      <w:r>
        <w:t xml:space="preserve">Zarzut braku realnego udziału społeczeństwa należy więc kierować przeciw decyzji środowiskowej, nie przeciw planowi. To rozdzielenie decyduje o dopuszczalności.</w:t>
      </w:r>
    </w:p>
    <w:bookmarkEnd w:id="40"/>
    <w:bookmarkStart w:id="41" w:name="X541b435cd1795cb635c4746dfa3458b6ffd83f1"/>
    <w:p>
      <w:pPr>
        <w:pStyle w:val="Heading3"/>
      </w:pPr>
      <w:r>
        <w:t xml:space="preserve">Zagadnienie 5: skutki publicznoprawne a roszczenia majątkowe</w:t>
      </w:r>
    </w:p>
    <w:p>
      <w:pPr>
        <w:pStyle w:val="FirstParagraph"/>
      </w:pPr>
      <w:r>
        <w:t xml:space="preserve">Nabywcy lokali są chronieni reżimem ustawy o ochronie praw nabywcy lokalu mieszkalnego lub domu jednorodzinnego oraz o Deweloperskim Funduszu Gwarancyjnym — środki na mieszkaniowym rachunku powierniczym i uprawnienia do odstąpienia. Roszczenia wobec dewelopera z tytułu nienależytego wykonania (art. 471 k.c.) są niezależne od losu decyzji administracyjnych.</w:t>
      </w:r>
    </w:p>
    <w:p>
      <w:pPr>
        <w:pStyle w:val="BodyText"/>
      </w:pPr>
      <w:r>
        <w:t xml:space="preserve">Inwestor wobec gminy: podstawą jest art. 417¹ § 2 k.c. — naprawienie szkody wyrządzonej wydaniem ostatecznej decyzji wymaga uprzedniego stwierdzenia jej niezgodności z prawem we właściwym postępowaniu. Bez prejudykatu roszczenie jest przedwczesne. Analogicznie w odniesieniu do aktu normatywnego, jakim jest plan.</w:t>
      </w:r>
    </w:p>
    <w:p>
      <w:pPr>
        <w:pStyle w:val="BodyText"/>
      </w:pPr>
      <w:r>
        <w:t xml:space="preserve">Gmina: budowa awaryjnego wału ze środków publicznych na zabezpieczenie inwestycji prywatnej rodzi pytanie o dyscyplinę finansów publicznych i — przy odpowiedniej skali — o kwalifikację jako pomoc publiczna. Regres wobec inwestora wymaga wykazania jego bezprawnego zachowania; sama nieudana inwestycja tego nie daje.</w:t>
      </w:r>
    </w:p>
    <w:p>
      <w:pPr>
        <w:pStyle w:val="BodyText"/>
      </w:pPr>
      <w:r>
        <w:t xml:space="preserve">Kierunek odwrotny: zmiana lub uchylenie planu uruchamia roszczenia właścicieli wobec gminy z tytułu obniżenia wartości nieruchomości, przewidziane w ustawie o planowaniu i zagospodarowaniu przestrzennym. Gmina ryzykuje więc podwójnie — najpierw kosztem zabezpieczenia, potem kosztem odszkodowań planistycznych.</w:t>
      </w:r>
    </w:p>
    <w:bookmarkEnd w:id="41"/>
    <w:bookmarkEnd w:id="42"/>
    <w:bookmarkStart w:id="43" w:name="macierz-argumentów-1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skarżących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 gminy i inwestora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Powiązania rodzinne z podwykonawcą naruszają art. 25a u.s.g.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Przepis dotyczy interesu prawnego radnego, nie interesu bliskich; brak wykazania wpływu na wynik głosowania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Prognoza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Oparcie prognozy na starych mapach to istotne naruszenie zasad sporządzania planu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Prognoza sporządzona według stanu wiedzy z daty uchwalenia; nowe mapy powstały później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Podział przedsięwzięcia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Trzy elementy tworzą jedno przedsięwzięcie; brak oceny skumulowanej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Każdy element ma samodzielną funkcję i odrębny reżim; podział jest technicznie uzasadniony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Nowa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 dowód okoliczności istniejącej w dniu wydania decyzji (art. 145 § 1 pkt 5 k.p.a.)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powstała po decyzji; przesłanka wznowienia niespełniona; prawa nabyte podlegają ochronie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Wstrzymanie robót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 ust. 1 pkt 2 Prawa budowlanego — zagrożenie bezpieczeństwa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Zalanie było skutkiem zdarzenia atmosferycznego o wyjątkowym natężeniu, nie wadą projektu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Legitymacja 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44 ustawy ocenowej — prawa strony i odwołanie także bez udziału w postępowaniu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Wobec planu miejscowego art. 44 nie działa; wymagany interes prawny z art. 101 u.s.g.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Rozkład kosztów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Gmina odpowiada za wadliwy plan i sprzedaż terenu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Odpowiedzialność wymaga prejudykatu z art. 417¹ § 2 k.c.; inwestor znał ryzyko doliny rzecznej</w:t>
            </w:r>
          </w:p>
        </w:tc>
      </w:tr>
    </w:tbl>
    <w:bookmarkEnd w:id="43"/>
    <w:bookmarkStart w:id="44" w:name="X8bc04c07aebed062da02ad98c612cd839788097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Rozkład głosów nad uchwałą planistyczną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istotności naruszenia trybu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Protokół sesji, imienny wykaz głosowania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Charakter powiązań radnych z podwykonawcą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Odróżnia interes prawny od faktycznego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Oświadczenia majątkowe, umowy podwykonawcze, KRS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ustanowienia obszaru szczególnego zagrożenia powodzią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o zastosowaniu art. 166 Prawa wodnego do planu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Mapy zagrożenia i ryzyka powodziowego z datami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materiały hydrologiczne były dostępne przed wydaniem pozwolenia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przesłanki nieznajomości z art. 145 § 1 pkt 5 k.p.a.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Archiwa Wód Polskich, korespondencja z organem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Powiązania techniczne między osiedlem, drogą a zbiornikiem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Rdzeń zarzutu podziału przedsięwzięcia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zagospodarowania, bilans wód opadowych, harmonogram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i forma udziału społeczeństwa w postępowaniu środowiskowym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zarzutu braku realnego udziału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Obwieszczenia, protokoły, zestawienie uwag i odpowiedzi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stanowiska Wód Polskich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legalności rozwiązań retencyjnych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Opinia lub uzgodnienie, korespondencja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 zaawansowania robót i liczba sprzedanych lokali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Wpływa na wybór środka i na proporcjonalność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Dziennik budowy, rejestr umów deweloperskich</w:t>
            </w:r>
          </w:p>
        </w:tc>
      </w:tr>
    </w:tbl>
    <w:bookmarkEnd w:id="44"/>
    <w:bookmarkStart w:id="45" w:name="proponowane-rozstrzygnięcie-1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Nadzór budowlany: utrzymać wstrzymanie robót i wydać decyzję z art. 51 ust. 1 pkt 2 Prawa budowlanego nakładającą obowiązek wykonania czynności doprowadzających roboty do stanu zgodnego z prawem, w szczególności w zakresie rozwiązań retencyjnych i zabezpieczenia wykopu.</w:t>
      </w:r>
    </w:p>
    <w:p>
      <w:pPr>
        <w:pStyle w:val="BodyText"/>
      </w:pPr>
      <w:r>
        <w:t xml:space="preserve">Postępowanie środowiskowe: wszcząć postępowanie w sprawie wyeliminowania decyzji o środowiskowych uwarunkowaniach z powodu braku oceny skumulowanej trzech powiązanych elementów przedsięwzięcia; nie przesądzać z góry trybu — zbadać najpierw dopuszczalność stwierdzenia nieważności, a subsydiarnie wznowienie.</w:t>
      </w:r>
    </w:p>
    <w:p>
      <w:pPr>
        <w:pStyle w:val="BodyText"/>
      </w:pPr>
      <w:r>
        <w:t xml:space="preserve">Plan miejscowy: skargę opartą wyłącznie na powiązaniach radnych oddalić jako nieopartą na naruszeniu interesu prawnego radnych; uwzględnić skargę w zakresie zarzutu oparcia prognozy na nieaktualnych materiałach, o ile zostanie wykazany wpływ tej wady na ustalenia planu.</w:t>
      </w:r>
    </w:p>
    <w:p>
      <w:pPr>
        <w:pStyle w:val="BodyText"/>
      </w:pPr>
      <w:r>
        <w:t xml:space="preserve">Nie orzekać o odszkodowaniach w tym postępowaniu — roszczenia inwestora i gminy wymagają prejudykatu, a roszczenia nabywców podlegają reżimowi deweloperskiemu i trybowi cywilnemu.</w:t>
      </w:r>
    </w:p>
    <w:bookmarkEnd w:id="45"/>
    <w:bookmarkStart w:id="46" w:name="zweryfikowane-pozycje-źródłowe-pl-02"/>
    <w:p>
      <w:pPr>
        <w:pStyle w:val="Heading2"/>
      </w:pPr>
      <w:r>
        <w:t xml:space="preserve">Zweryfikowane pozycje źródłowe (PL-02)</w:t>
      </w:r>
    </w:p>
    <w:p>
      <w:pPr>
        <w:numPr>
          <w:ilvl w:val="0"/>
          <w:numId w:val="1004"/>
        </w:numPr>
        <w:pStyle w:val="Compact"/>
      </w:pPr>
      <w:r>
        <w:t xml:space="preserve">Ustawa z dnia 8 marca 1990 r. o samorządzie gminnym, Dz.U. 1990 nr 16 poz. 95 — sprawdzono art. 25a (zakaz udziału w głosowaniu przy interesie prawnym radnego) i art. 101 ust. 1, 2 i 2a.</w:t>
      </w:r>
    </w:p>
    <w:p>
      <w:pPr>
        <w:numPr>
          <w:ilvl w:val="0"/>
          <w:numId w:val="1004"/>
        </w:numPr>
        <w:pStyle w:val="Compact"/>
      </w:pPr>
      <w:r>
        <w:t xml:space="preserve">Ustawa z dnia 27 marca 2003 r. o planowaniu i zagospodarowaniu przestrzennym, Dz.U. 2003 nr 80 poz. 717 — sprawdzono art. 28 ust. 1–2 w brzmieniu obejmującym plan ogólny gminy (reforma planistyczna); art. 29 ust. 1.</w:t>
      </w:r>
    </w:p>
    <w:p>
      <w:pPr>
        <w:numPr>
          <w:ilvl w:val="0"/>
          <w:numId w:val="1004"/>
        </w:numPr>
        <w:pStyle w:val="Compact"/>
      </w:pPr>
      <w:r>
        <w:t xml:space="preserve">Ustawa z dnia 7 lipca 1994 r. — Prawo budowlane, Dz.U. 1994 nr 89 poz. 414 — sprawdzono art. 50 ust. 1–3 i art. 51 ust. 1 pkt 1–3.</w:t>
      </w:r>
    </w:p>
    <w:p>
      <w:pPr>
        <w:numPr>
          <w:ilvl w:val="0"/>
          <w:numId w:val="1004"/>
        </w:numPr>
        <w:pStyle w:val="Compact"/>
      </w:pPr>
      <w:r>
        <w:t xml:space="preserve">Ustawa z dnia 3 października 2008 r. o udostępnianiu informacji o środowisku i jego ochronie, udziale społeczeństwa w ochronie środowiska oraz o ocenach oddziaływania na środowisko, Dz.U. 2008 nr 199 poz. 1227 — sprawdzono art. 44 ust. 1–2, art. 63 ust. 1, art. 72 ust. 1 pkt 1.</w:t>
      </w:r>
    </w:p>
    <w:p>
      <w:pPr>
        <w:numPr>
          <w:ilvl w:val="0"/>
          <w:numId w:val="1004"/>
        </w:numPr>
        <w:pStyle w:val="Compact"/>
      </w:pPr>
      <w:r>
        <w:t xml:space="preserve">Ustawa z dnia 20 lipca 2017 r. — Prawo wodne, Dz.U. 2017 poz. 1566 — sprawdzono art. 166 ust. 1 pkt 1–2.</w:t>
      </w:r>
    </w:p>
    <w:p>
      <w:pPr>
        <w:numPr>
          <w:ilvl w:val="0"/>
          <w:numId w:val="1004"/>
        </w:numPr>
        <w:pStyle w:val="Compact"/>
      </w:pPr>
      <w:r>
        <w:t xml:space="preserve">Ustawa z dnia 14 czerwca 1960 r. — Kodeks postępowania administracyjnego, Dz.U. 1960 nr 30 poz. 168 — sprawdzono art. 145 § 1 pkt 1–7 i art. 156 § 1 pkt 1–7 oraz § 2.</w:t>
      </w:r>
    </w:p>
    <w:p>
      <w:pPr>
        <w:pStyle w:val="FirstParagraph"/>
      </w:pPr>
      <w:r>
        <w:t xml:space="preserve">Nie przypisano sygnaturom i przedstawiono jako standard doktrynalny: linia orzecznicza Trybunału Sprawiedliwości zakazująca dzielenia przedsięwzięć, kryteria oceny istotności naruszenia trybu planistycznego, wykładnia przesłanki nieznajomości z art. 145 § 1 pkt 5 k.p.a. oraz szczegółowe podstawy roszczeń planistycznych. Wymagają samodzielnego potwierdzenia.</w:t>
      </w:r>
    </w:p>
    <w:bookmarkEnd w:id="46"/>
    <w:bookmarkEnd w:id="47"/>
    <w:bookmarkStart w:id="60" w:name="pl-03-fundacja-po-śmierci-fundatora"/>
    <w:p>
      <w:pPr>
        <w:pStyle w:val="Heading1"/>
      </w:pPr>
      <w:r>
        <w:t xml:space="preserve">PL-03 Fundacja po śmierci fundatora</w:t>
      </w:r>
    </w:p>
    <w:bookmarkStart w:id="48" w:name="teza-wstępna-2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jest testem znajomości trzech przepisów wprowadzonych albo zmienionych przy okazji ustawy o fundacji rodzinnej: art. 8 tej ustawy oraz art. 993 § 2–3 i art. 994¹ Kodeksu cywilnego. Fundacja rodzinna nie jest tarczą przed zachowkiem ani przed wierzycielami sprzed jej ustanowienia. Rozkład sił jest następujący: najmocniejszą pozycję ma żona, bo część transferów dotyczyła nieruchomości z majątku wspólnego i wymagała jej zgody; wierzyciele mają pozycję mocną, lecz zależną od dat; dzieci mają zachowek, ale liczony według reguł, które w tym stanie faktycznym mogą go istotnie obniżyć.</w:t>
      </w:r>
    </w:p>
    <w:bookmarkEnd w:id="48"/>
    <w:bookmarkStart w:id="49" w:name="mapa-jurysdykcji-źródeł-i-kompetencji-2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Pięć równoległych reżimów. Majątkowy małżeński (Kodeks rodzinny i opiekuńczy) rozstrzyga o skuteczności wniesienia mienia. Spadkowy (Kodeks cywilny) rozstrzyga o zachowku. Ustrojowy (ustawa o fundacji rodzinnej) rozstrzyga o świadczeniach i o odpowiedzialności fundacji. Insolwencyjny (Prawo upadłościowe) rozstrzyga o bezskuteczności czynności. Podatkowy (ustawa o CIT) rozstrzyga o skutkach transakcji z podmiotami powiązanymi.</w:t>
      </w:r>
    </w:p>
    <w:p>
      <w:pPr>
        <w:pStyle w:val="BodyText"/>
      </w:pPr>
      <w:r>
        <w:t xml:space="preserve">Uwaga ustrojowa o zdolności upadłościowej. Art. 5 ust. 1 Prawa upadłościowego stosuje ustawę do przedsiębiorców, a ust. 2 rozszerza ją na spółki kapitałowe nieprowadzące działalności gospodarczej — fundacji rodzinnej w tym wyliczeniu nie ma. Fundacja rodzinna ma więc zdolność upadłościową tylko wtedy, gdy jest przedsiębiorcą w rozumieniu Kodeksu cywilnego. To zmienia dostępny zestaw środków wierzycieli i jest pomijane w typowych rozwiązaniach kazusu.</w:t>
      </w:r>
    </w:p>
    <w:bookmarkEnd w:id="49"/>
    <w:bookmarkStart w:id="55" w:name="analiza-materialna-według-zagadnień-2"/>
    <w:p>
      <w:pPr>
        <w:pStyle w:val="Heading2"/>
      </w:pPr>
      <w:r>
        <w:t xml:space="preserve">Analiza materialna według zagadnień</w:t>
      </w:r>
    </w:p>
    <w:bookmarkStart w:id="50" w:name="Xfa2c50c53b2656df2050ded176b426cb90a4b90"/>
    <w:p>
      <w:pPr>
        <w:pStyle w:val="Heading3"/>
      </w:pPr>
      <w:r>
        <w:t xml:space="preserve">Zagadnienie 1: które aktywa skutecznie weszły do fundacji</w:t>
      </w:r>
    </w:p>
    <w:p>
      <w:pPr>
        <w:pStyle w:val="FirstParagraph"/>
      </w:pPr>
      <w:r>
        <w:t xml:space="preserve">Rozstrzygnięcie musi być różnicujące, bo art. 37 § 1 k.r.o. wymienia czynności wymagające zgody małżonka w sposób zamknięty.</w:t>
      </w:r>
    </w:p>
    <w:p>
      <w:pPr>
        <w:pStyle w:val="BodyText"/>
      </w:pPr>
      <w:r>
        <w:t xml:space="preserve">Nieruchomości. Wniesienie nieruchomości do fundacji jest czynnością prowadzącą do zbycia nieruchomości, objętą art. 37 § 1 pkt 1 k.r.o. Bez zgody żony ważność umowy zależy od jej potwierdzenia (art. 37 § 2 k.r.o.). Jeżeli potwierdzenia nie było, czynność jest bezskuteczna, a nieruchomości nie weszły do majątku fundacji — co oznacza, że wchodzą do spadku i do masy wierzycielskiej.</w:t>
      </w:r>
    </w:p>
    <w:p>
      <w:pPr>
        <w:pStyle w:val="BodyText"/>
      </w:pPr>
      <w:r>
        <w:t xml:space="preserve">Akcje spółki. Art. 37 § 1 nie wymienia akcji ani udziałów. Zgoda nie była więc wymagana, a wniesienie jest skuteczne. Żonie pozostaje ewentualne rozliczenie nakładów i przesunięć majątkowych przy podziale majątku wspólnego oraz — gdyby przesłanki były spełnione — żądanie ustalenia nierównych udziałów.</w:t>
      </w:r>
    </w:p>
    <w:p>
      <w:pPr>
        <w:pStyle w:val="BodyText"/>
      </w:pPr>
      <w:r>
        <w:t xml:space="preserve">Skutek praktyczny. Kazus wygląda na spór o „całą fundację”, a rozstrzygnięcie przebiega przez środek: majątek nieruchomy prawdopodobnie do fundacji nie wszedł, majątek akcyjny wszedł. Statut, lista beneficjentów i uprzywilejowanie córki dotyczą wyłącznie tego drugiego zbioru.</w:t>
      </w:r>
    </w:p>
    <w:bookmarkEnd w:id="50"/>
    <w:bookmarkStart w:id="51" w:name="X6768630278d97b84f77f6b9c91e0bc95284bc81"/>
    <w:p>
      <w:pPr>
        <w:pStyle w:val="Heading3"/>
      </w:pPr>
      <w:r>
        <w:t xml:space="preserve">Zagadnienie 2: zachowek przy transferach za życia</w:t>
      </w:r>
    </w:p>
    <w:p>
      <w:pPr>
        <w:pStyle w:val="FirstParagraph"/>
      </w:pPr>
      <w:r>
        <w:t xml:space="preserve">Podstawa: art. 991 § 1 k.c. — dwie trzecie wartości udziału dla trwale niezdolnego do pracy i dla małoletniego zstępnego, w pozostałych wypadkach połowa. Art. 991 § 2 k.c. w brzmieniu obowiązującym zalicza na poczet zachowku także świadczenie od fundacji rodzinnej oraz mienie otrzymane w związku z jej rozwiązaniem. Świadczenia wypłacane córce zmniejszają więc jej roszczenie, a wstrzymanie świadczeń dla syna — nie zwiększa jego roszczenia ponad zachowek.</w:t>
      </w:r>
    </w:p>
    <w:p>
      <w:pPr>
        <w:pStyle w:val="BodyText"/>
      </w:pPr>
      <w:r>
        <w:t xml:space="preserve">Doliczanie. Art. 993 § 2 k.c. nakazuje doliczyć do spadku fundusz założycielski wniesiony przez spadkodawcę, ale tylko wtedy, gdy fundacja nie została ustanowiona w testamencie. Art. 993 § 3 k.c. nakazuje doliczyć mienie otrzymane w związku z rozwiązaniem fundacji, do wysokości funduszu założycielskiego. Bariera czasowa jest w art. 994¹ § 1 k.c.: nie dolicza się funduszu założycielskiego wniesionego przed więcej niż dziesięciu laty. Data ustanowienia fundacji i data wniesienia poszczególnych składników są zatem faktami rozstrzygającymi, a kazus ich nie podaje.</w:t>
      </w:r>
    </w:p>
    <w:p>
      <w:pPr>
        <w:pStyle w:val="BodyText"/>
      </w:pPr>
      <w:r>
        <w:t xml:space="preserve">Znak towarowy przeniesiony po zaniżonej cenie. Konstrukcyjnie jest to czynność częściowo odpłatna; w części nieekwiwalentnej ma charakter darowizny i podlega doliczeniu na podstawie art. 993 § 1 k.c. Wysokie opłaty licencyjne płacone przez spółkę są natomiast bieżącym świadczeniem umownym, nie darowizną — ich ocena należy do reżimu podatkowego i korporacyjnego, nie spadkowego. Mieszanie tych dwóch wątków jest typowym błędem.</w:t>
      </w:r>
    </w:p>
    <w:p>
      <w:pPr>
        <w:pStyle w:val="BodyText"/>
      </w:pPr>
      <w:r>
        <w:t xml:space="preserve">Odpowiedzialność uzupełniająca. Art. 1000 § 1 k.c. pozwala żądać uzupełnienia zachowku od osoby, która otrzymała doliczoną darowiznę — w granicach wzbogacenia. Wobec fundacji, która otrzymała mienie, konstrukcja jest przydatna, ale jej zastosowanie wymaga uprzedniego przesądzenia, że transfer podlega doliczeniu.</w:t>
      </w:r>
    </w:p>
    <w:bookmarkEnd w:id="51"/>
    <w:bookmarkStart w:id="52" w:name="zagadnienie-3-środki-wierzycieli"/>
    <w:p>
      <w:pPr>
        <w:pStyle w:val="Heading3"/>
      </w:pPr>
      <w:r>
        <w:t xml:space="preserve">Zagadnienie 3: środki wierzycieli</w:t>
      </w:r>
    </w:p>
    <w:p>
      <w:pPr>
        <w:pStyle w:val="FirstParagraph"/>
      </w:pPr>
      <w:r>
        <w:t xml:space="preserve">Najsilniejszy instrument to art. 8 ust. 1 ustawy o fundacji rodzinnej: fundacja odpowiada solidarnie z fundatorem za jego zobowiązania powstałe przed jej ustanowieniem, w tym alimentacyjne, a odpowiedzialności tej nie można bez zgody wierzyciela wyłączyć ani ograniczyć. Poręczenie ujawnione przez wierzycieli i roszczenie odszkodowawcze wymagają więc ustalenia jednej daty: kiedy powstało zobowiązanie w stosunku do dnia ustanowienia fundacji. Jeżeli wcześniej — wierzyciel pozywa fundację wprost, bez konstrukcji pauliańskiej. Art. 8 ust. 2 rozszerza odpowiedzialność na obowiązek alimentacyjny powstały po ustanowieniu fundacji, przy bezskuteczności egzekucji z majątku fundatora.</w:t>
      </w:r>
    </w:p>
    <w:p>
      <w:pPr>
        <w:pStyle w:val="BodyText"/>
      </w:pPr>
      <w:r>
        <w:t xml:space="preserve">Dla zobowiązań powstałych później pozostaje art. 527 k.c. — z uwzględnieniem tego, że wniesienie mienia do fundacji jest czynnością nieodpłatną, co znacząco ułatwia wykazanie przesłanek.</w:t>
      </w:r>
    </w:p>
    <w:p>
      <w:pPr>
        <w:pStyle w:val="BodyText"/>
      </w:pPr>
      <w:r>
        <w:t xml:space="preserve">Wobec spółki i jej zarządu — reżim odrębny. Art. 127 ust. 1 Prawa upadłościowego czyni bezskutecznymi wobec masy czynności rozporządzające dokonane w ciągu roku przed złożeniem wniosku, jeżeli były nieodpłatne albo rażąco nieekwiwalentne. Przeniesienie znaku towarowego po zaniżonej cenie mieści się w tej hipotezie, jeżeli mieści się w rocznym oknie.</w:t>
      </w:r>
    </w:p>
    <w:p>
      <w:pPr>
        <w:pStyle w:val="BodyText"/>
      </w:pPr>
      <w:r>
        <w:t xml:space="preserve">Ograniczenie wypłat. Art. 36 ust. 1 ustawy o fundacji rodzinnej stanowi, że spełnienie świadczenia na rzecz beneficjenta nie może zagrażać wypłacalności fundacji wobec wierzycieli niebędących beneficjentami i każdorazowo zależy od bieżącej sytuacji finansowej; przy wstrzymaniu świadczenia bieg terminu ulega zawieszeniu. Art. 37 nakazuje zaspokajać w pierwszej kolejności roszczenia alimentacyjne. Wypłaty na rzecz córki w warunkach kryzysu płynności są więc kwestionowalne na podstawie samej ustawy ustrojowej, bez sięgania po konstrukcje ogólne.</w:t>
      </w:r>
    </w:p>
    <w:bookmarkEnd w:id="52"/>
    <w:bookmarkStart w:id="53" w:name="Xea5731f3910014a57c51d42143e01f197cda41f"/>
    <w:p>
      <w:pPr>
        <w:pStyle w:val="Heading3"/>
      </w:pPr>
      <w:r>
        <w:t xml:space="preserve">Zagadnienie 4: konflikt interesów przy wypłatach i transakcji powiązanej</w:t>
      </w:r>
    </w:p>
    <w:p>
      <w:pPr>
        <w:pStyle w:val="FirstParagraph"/>
      </w:pPr>
      <w:r>
        <w:t xml:space="preserve">Sprzedaż nieruchomości podmiotowi powiązanemu wymaga oceny w trzech płaszczyznach. Ustrojowej — czy nie narusza art. 36 ust. 1 ustawy. Cywilnej — czy nie jest czynnością zmierzającą do pokrzywdzenia wierzycieli. Podatkowej — art. 24q ust. 1 ustawy o CIT opodatkowuje piętnastoprocentową stawką świadczenia fundacji, mienie wydane w związku z jej rozwiązaniem oraz świadczenia w postaci ukrytych zysków, a ust. 1a definiuje ukryte zyski, obejmując nimi między innymi nieodpłatne i częściowo odpłatne świadczenia na rzecz osób powiązanych. Zbycie nieruchomości poniżej wartości rynkowej podmiotowi powiązanemu wchodzi w tę kategorię.</w:t>
      </w:r>
    </w:p>
    <w:p>
      <w:pPr>
        <w:pStyle w:val="BodyText"/>
      </w:pPr>
      <w:r>
        <w:t xml:space="preserve">Odrębne ryzyko: art. 24r ust. 1 ustawy o CIT przewiduje stawkę dwudziestopięcioprocentową w zakresie, w jakim fundacja prowadzi działalność gospodarczą wykraczającą poza katalog dozwolony ustawą, a ust. 3 wyłącza wobec takiej działalności zwolnienia i odliczenia. Prowadzone przez organ podatkowy badanie działalności i przepływów zmierza właśnie w tym kierunku.</w:t>
      </w:r>
    </w:p>
    <w:bookmarkEnd w:id="53"/>
    <w:bookmarkStart w:id="54" w:name="X6183bed4b19d164d1efaa6465a90a56484689b0"/>
    <w:p>
      <w:pPr>
        <w:pStyle w:val="Heading3"/>
      </w:pPr>
      <w:r>
        <w:t xml:space="preserve">Zagadnienie 5: rozdzielenie kryzysu fundacji od niewypłacalności spółki</w:t>
      </w:r>
    </w:p>
    <w:p>
      <w:pPr>
        <w:pStyle w:val="FirstParagraph"/>
      </w:pPr>
      <w:r>
        <w:t xml:space="preserve">Trzy odrębne podmioty i trzy odrębne reżimy. Spółka — obowiązek zgłoszenia wniosku o ogłoszenie upadłości i odpowiedzialność członków zarządu za jego zaniechanie; nadto odpowiedzialność odszkodowawcza wobec spółki, przy czym art. 483 § 3 Kodeksu spółek handlowych chroni członka organu, który działając lojalnie mieści się w granicach uzasadnionego ryzyka gospodarczego na podstawie odpowiednich informacji, analiz i opinii.</w:t>
      </w:r>
    </w:p>
    <w:p>
      <w:pPr>
        <w:pStyle w:val="BodyText"/>
      </w:pPr>
      <w:r>
        <w:t xml:space="preserve">Fundacja — jak wskazano, zdolność upadłościowa zależy od statusu przedsiębiorcy. Jeżeli go nie ma, wierzyciele są zdani na egzekucję singularną i na art. 8 ustawy.</w:t>
      </w:r>
    </w:p>
    <w:p>
      <w:pPr>
        <w:pStyle w:val="BodyText"/>
      </w:pPr>
      <w:r>
        <w:t xml:space="preserve">Beneficjenci — nie odpowiadają za zobowiązania fundacji, ale otrzymane świadczenia mogą podlegać zwrotowi jako czynności bezskuteczne albo być zaliczane na zachowek.</w:t>
      </w:r>
    </w:p>
    <w:bookmarkEnd w:id="54"/>
    <w:bookmarkEnd w:id="55"/>
    <w:bookmarkStart w:id="56" w:name="macierz-argumentów-2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rodziny lub wierzycieli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 fundacji i córki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Wniesienie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zgody żony — art. 37 § 1 pkt 1 i § 2 k.r.o.; czynność bezskuteczna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Nieruchomości pochodziły z majątku osobistego fundatora; ewentualnie zgoda została udzielona konkludentnie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Wniesienie akcji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Mienie pochodziło z majątku wspólnego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37 § 1 k.r.o. nie obejmuje akcji; zgoda nie była wymagana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Zachowek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993 § 2 k.c. — doliczenie funduszu założycielskiego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Fundacja ustanowiona w testamencie wyłącza doliczenie; art. 994¹ § 1 k.c. wyłącza fundusz sprzed ponad dziesięciu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Świadczenia dla córki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Wypłaty w kryzysie płynności naruszają art. 36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Sytuacja finansowa w dacie wypłaty pozwalała na świadczenie; opóźnienie nie przekraczało trzech miesięcy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Znak towarowy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Czynność częściowo nieodpłatna — doliczenie i bezskuteczność z art. 127 ust. 1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mieściła się w przedziale rynkowym; transakcja miała uzasadnienie gospodarcze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Poręczenie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 ust. 1 ustawy — solidarna odpowiedzialność fundacji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Zobowiązanie powstało po ustanowieniu fundacji; art. 8 ust. 1 nie ma zastosowania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Transakcja powiązana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Ukryte zyski w rozumieniu art. 24q ust. 1a ustawy o 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Zbycie po cenie rynkowej; brak elementu nieodpłatności</w:t>
            </w:r>
          </w:p>
        </w:tc>
      </w:tr>
    </w:tbl>
    <w:bookmarkEnd w:id="56"/>
    <w:bookmarkStart w:id="57" w:name="X253b8615953e73ec82a6253eaeb2911a05d1ee5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ustanowienia fundacji i daty wniesienia składników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Decyduje o art. 994¹ § 1 k.c. i o zakresie art. 8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 założycielski, wpis do rejestru, spis mienia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fundacja została ustanowiona w testamencie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Wyłącza albo uruchamia doliczenie z art. 993 § 2 k.c.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Testament, akt założycielski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Źródło nabycia nieruchomości i akcji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37 k.r.o.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 nabycia, umowy majątkowe małżeńskie, historia rachunków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żona potwierdziła czynność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o skuteczności wniesienia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Oświadczenie, korespondencja, akt notarialny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powstania poręczenia i roszczenia odszkodowawczego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Granica zastosowania art. 8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poręczenia, wezwania, pozew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Wartość rynkowa znaku towarowego w dacie transferu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Kwalifikacja jako czynność częściowo nieodpłatna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Wycena, porównania rynkowe, dokumentacja cen transferowych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Sytuacja finansowa fundacji w datach wypłat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naruszenia art. 36 ust. 1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Sprawozdania, zestawienia zobowiązań, rachunki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fundacja jest przedsiębiorcą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zdolności upadłościowej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faktycznej działalności, wpisy rejestrowe, umowy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działalności fundacji wobec katalogu ustawowego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 stawki z art. 24r ust. 1 ustawy o 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Ewidencja przychodów, umowy najmu i licencji</w:t>
            </w:r>
          </w:p>
        </w:tc>
      </w:tr>
    </w:tbl>
    <w:bookmarkEnd w:id="57"/>
    <w:bookmarkStart w:id="58" w:name="proponowane-rozstrzygnięcie-2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Ustalić w pierwszej kolejności skuteczność wniesienia poszczególnych składników — nie rozstrzygać o zachowku ani o roszczeniach wierzycieli przed przesądzeniem, co w ogóle jest majątkiem fundacji. Uwzględnić powództwo żony co do nieruchomości, jeżeli nie wykazano potwierdzenia czynności; oddalić je co do akcji.</w:t>
      </w:r>
    </w:p>
    <w:p>
      <w:pPr>
        <w:pStyle w:val="BodyText"/>
      </w:pPr>
      <w:r>
        <w:t xml:space="preserve">Zachowek: zasądzić na rzecz dzieci z zaliczeniem otrzymanych świadczeń fundacyjnych (art. 991 § 2 k.c.) i z doliczeniem funduszu założycielskiego wyłącznie w zakresie dopuszczonym przez art. 993 § 2 i art. 994¹ § 1 k.c. Nie kwestionować statutowego uprzywilejowania córki jako takiego — jest ono dopuszczalne i nie narusza zachowku, który jest roszczeniem pieniężnym.</w:t>
      </w:r>
    </w:p>
    <w:p>
      <w:pPr>
        <w:pStyle w:val="BodyText"/>
      </w:pPr>
      <w:r>
        <w:t xml:space="preserve">Wierzyciele: dopuścić powództwo przeciw fundacji na podstawie art. 8 ust. 1 ustawy o fundacji rodzinnej po ustaleniu dat; równolegle zabezpieczyć roszczenia przez zakaz zbywania nieruchomości podmiotowi powiązanemu do czasu rozstrzygnięcia.</w:t>
      </w:r>
    </w:p>
    <w:p>
      <w:pPr>
        <w:pStyle w:val="BodyText"/>
      </w:pPr>
      <w:r>
        <w:t xml:space="preserve">Wstrzymać dalsze wypłaty świadczeń do czasu ustalenia sytuacji finansowej fundacji, wskazując jako podstawę art. 36 ust. 1 ustawy, a nie ogólne konstrukcje cywilne.</w:t>
      </w:r>
    </w:p>
    <w:bookmarkEnd w:id="58"/>
    <w:bookmarkStart w:id="59" w:name="zweryfikowane-pozycje-źródłowe-pl-03"/>
    <w:p>
      <w:pPr>
        <w:pStyle w:val="Heading2"/>
      </w:pPr>
      <w:r>
        <w:t xml:space="preserve">Zweryfikowane pozycje źródłowe (PL-03)</w:t>
      </w:r>
    </w:p>
    <w:p>
      <w:pPr>
        <w:numPr>
          <w:ilvl w:val="0"/>
          <w:numId w:val="1005"/>
        </w:numPr>
        <w:pStyle w:val="Compact"/>
      </w:pPr>
      <w:r>
        <w:t xml:space="preserve">Ustawa z dnia 26 stycznia 2023 r. o fundacji rodzinnej, Dz.U. 2023 poz. 326 — sprawdzono art. 2 ust. 1–3, art. 8 ust. 1–2 (solidarna odpowiedzialność za zobowiązania fundatora sprzed ustanowienia, w tym alimentacyjne; zakaz umownego ograniczenia), art. 17 (fundusz założycielski nie niższy niż 100 000 zł), art. 20, art. 33–34, art. 36 ust. 1–2, art. 37.</w:t>
      </w:r>
    </w:p>
    <w:p>
      <w:pPr>
        <w:numPr>
          <w:ilvl w:val="0"/>
          <w:numId w:val="1005"/>
        </w:numPr>
        <w:pStyle w:val="Compact"/>
      </w:pPr>
      <w:r>
        <w:t xml:space="preserve">Ustawa z dnia 23 kwietnia 1964 r. — Kodeks cywilny, Dz.U. 1964 nr 16 poz. 93 — sprawdzono art. 991 § 1–2 (w tym zaliczenie świadczenia od fundacji rodzinnej), art. 993 § 1–3, art. 994 § 1–3, art. 994¹ § 1, art. 1000 § 1–3.</w:t>
      </w:r>
    </w:p>
    <w:p>
      <w:pPr>
        <w:numPr>
          <w:ilvl w:val="0"/>
          <w:numId w:val="1005"/>
        </w:numPr>
        <w:pStyle w:val="Compact"/>
      </w:pPr>
      <w:r>
        <w:t xml:space="preserve">Ustawa z dnia 25 lutego 1964 r. — Kodeks rodzinny i opiekuńczy, Dz.U. 1964 nr 9 poz. 59 — sprawdzono art. 37 § 1 pkt 1–4 oraz § 2–3.</w:t>
      </w:r>
    </w:p>
    <w:p>
      <w:pPr>
        <w:numPr>
          <w:ilvl w:val="0"/>
          <w:numId w:val="1005"/>
        </w:numPr>
        <w:pStyle w:val="Compact"/>
      </w:pPr>
      <w:r>
        <w:t xml:space="preserve">Ustawa z dnia 28 lutego 2003 r. — Prawo upadłościowe, Dz.U. 2003 nr 60 poz. 535 — sprawdzono art. 5 ust. 1–2 (zakres podmiotowy; brak fundacji w wyliczeniu z ust. 2) oraz art. 127 ust. 1–4.</w:t>
      </w:r>
    </w:p>
    <w:p>
      <w:pPr>
        <w:numPr>
          <w:ilvl w:val="0"/>
          <w:numId w:val="1005"/>
        </w:numPr>
        <w:pStyle w:val="Compact"/>
      </w:pPr>
      <w:r>
        <w:t xml:space="preserve">Ustawa z dnia 15 lutego 1992 r. o podatku dochodowym od osób prawnych, Dz.U. 1992 nr 21 poz. 86 — sprawdzono art. 24q ust. 1 i 1a oraz art. 24r ust. 1–3.</w:t>
      </w:r>
    </w:p>
    <w:p>
      <w:pPr>
        <w:numPr>
          <w:ilvl w:val="0"/>
          <w:numId w:val="1005"/>
        </w:numPr>
        <w:pStyle w:val="Compact"/>
      </w:pPr>
      <w:r>
        <w:t xml:space="preserve">Ustawa z dnia 15 września 2000 r. — Kodeks spółek handlowych, Dz.U. 2000 nr 94 poz. 1037 — sprawdzono art. 483 § 1 i § 3.</w:t>
      </w:r>
    </w:p>
    <w:p>
      <w:pPr>
        <w:pStyle w:val="FirstParagraph"/>
      </w:pPr>
      <w:r>
        <w:t xml:space="preserve">Nie przypisano numerom przepisów i przedstawiono jako standard doktrynalny: konstrukcja czynności częściowo odpłatnej jako podstawy doliczenia, przesłanki skargi pauliańskiej w odniesieniu do fundacji rodzinnej, zasady ustalania nierównych udziałów w majątku wspólnym. Wymagają samodzielnego potwierdzenia.</w:t>
      </w:r>
    </w:p>
    <w:bookmarkEnd w:id="59"/>
    <w:bookmarkEnd w:id="60"/>
    <w:bookmarkStart w:id="73" w:name="pl-04-szpital-podpowiada-diagnozę"/>
    <w:p>
      <w:pPr>
        <w:pStyle w:val="Heading1"/>
      </w:pPr>
      <w:r>
        <w:t xml:space="preserve">PL-04 Szpital podpowiada diagnozę</w:t>
      </w:r>
    </w:p>
    <w:bookmarkStart w:id="61" w:name="teza-wstępna-3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Odpowiedzialność szpitala jest najpewniejsza i opiera się na dwóch niezależnych podstawach: art. 430 Kodeksu cywilnego za lekarza oraz art. 415 za własne uchybienia organizacyjne — brak przeszkolenia lekarzy mimo ostrzeżenia skierowanego wyłącznie do działu informatycznego. Odpowiedzialność producenta jest trudniejsza, bo reżimy, które wydają się najbardziej naturalne, w dacie zdarzenia jeszcze nie działają. Rozstrzygający jest natomiast brak dokumentacji: niezachowanie danych wejściowych i wersji modelu przenosi ciężar niepewności na szpital.</w:t>
      </w:r>
    </w:p>
    <w:p>
      <w:pPr>
        <w:pStyle w:val="BodyText"/>
      </w:pPr>
      <w:r>
        <w:t xml:space="preserve">Ustalenie weryfikacyjne, które zmienia wynik. Obowiązki AI Act dla systemów będących elementem produktów objętych unijnymi regulacjami sektorowymi — a więc dla oprogramowania kwalifikowanego jako wyrób medyczny — zostały przesunięte na 2 sierpnia 2028 r. Powoływanie obowiązków dostawcy i podmiotu stosującego z rozdziału III AI Act jako podstawy odpowiedzialności w tej sprawie jest przedwczesne. Ocenę trzeba oprzeć na reżimie wyrobów medycznych i na prawie krajowym.</w:t>
      </w:r>
    </w:p>
    <w:bookmarkEnd w:id="61"/>
    <w:bookmarkStart w:id="62" w:name="mapa-jurysdykcji-źródeł-i-kompetencji-3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Cztery reżimy odpowiedzialności o różnych przesłankach i różnych adresatach.</w:t>
      </w:r>
    </w:p>
    <w:p>
      <w:pPr>
        <w:numPr>
          <w:ilvl w:val="0"/>
          <w:numId w:val="1006"/>
        </w:numPr>
        <w:pStyle w:val="Compact"/>
      </w:pPr>
      <w:r>
        <w:t xml:space="preserve">Deliktowy — art. 415, 430, 444, 445 i 441 k.c. Adresaci: lekarz, szpital, integrator.</w:t>
      </w:r>
    </w:p>
    <w:p>
      <w:pPr>
        <w:numPr>
          <w:ilvl w:val="0"/>
          <w:numId w:val="1006"/>
        </w:numPr>
        <w:pStyle w:val="Compact"/>
      </w:pPr>
      <w:r>
        <w:t xml:space="preserve">Za produkt niebezpieczny — reżim krajowy oparty na przepisach Kodeksu cywilnego o odpowiedzialności za szkodę wyrządzoną przez produkt niebezpieczny; wyłączenie lub ograniczenie tej odpowiedzialności wobec poszkodowanego jest niedopuszczalne, więc umowne ograniczenie audytu nie działa wobec pacjentki.</w:t>
      </w:r>
    </w:p>
    <w:p>
      <w:pPr>
        <w:numPr>
          <w:ilvl w:val="0"/>
          <w:numId w:val="1006"/>
        </w:numPr>
        <w:pStyle w:val="Compact"/>
      </w:pPr>
      <w:r>
        <w:t xml:space="preserve">Za naruszenie praw pacjenta — art. 4 ust. 1 ustawy o prawach pacjenta, przewidujący zadośćuczynienie na podstawie art. 448 k.c. Roszczenie samodzielne, niezależne od szkody na osobie.</w:t>
      </w:r>
    </w:p>
    <w:p>
      <w:pPr>
        <w:numPr>
          <w:ilvl w:val="0"/>
          <w:numId w:val="1006"/>
        </w:numPr>
        <w:pStyle w:val="Compact"/>
      </w:pPr>
      <w:r>
        <w:t xml:space="preserve">Administracyjny i nadzorczy — reżim wyrobów medycznych: obowiązki producenta w zakresie oceny zgodności i obserwacji po wprowadzeniu do obrotu oraz zgłaszania poważnych incydentów, nadzór Prezesa Urzędu Rejestracji Produktów Leczniczych, Wyrobów Medycznych i Produktów Biobójczych.</w:t>
      </w:r>
    </w:p>
    <w:p>
      <w:pPr>
        <w:pStyle w:val="FirstParagraph"/>
      </w:pPr>
      <w:r>
        <w:t xml:space="preserve">Ubezpieczenia. Obowiązkowe ubezpieczenie odpowiedzialności cywilnej podmiotu wykonującego działalność leczniczą oraz ubezpieczenie producenta. Spór ubezpieczycieli o zakres polis dotyczy zwykle wyzwalacza czasowego i kwalifikacji zdarzenia — nie wpływa na odpowiedzialność wobec pacjentki, lecz na jej realną wykonalność.</w:t>
      </w:r>
    </w:p>
    <w:bookmarkEnd w:id="62"/>
    <w:bookmarkStart w:id="68" w:name="analiza-materialna-według-zagadnień-3"/>
    <w:p>
      <w:pPr>
        <w:pStyle w:val="Heading2"/>
      </w:pPr>
      <w:r>
        <w:t xml:space="preserve">Analiza materialna według zagadnień</w:t>
      </w:r>
    </w:p>
    <w:bookmarkStart w:id="63" w:name="Xaca5e21ddc4241cac59b15a815011dda871f901"/>
    <w:p>
      <w:pPr>
        <w:pStyle w:val="Heading3"/>
      </w:pPr>
      <w:r>
        <w:t xml:space="preserve">Zagadnienie 1: standard staranności lekarza i szpitala</w:t>
      </w:r>
    </w:p>
    <w:p>
      <w:pPr>
        <w:pStyle w:val="FirstParagraph"/>
      </w:pPr>
      <w:r>
        <w:t xml:space="preserve">Standard lekarza wyznacza aktualna wiedza medyczna i należyta staranność mierzona miarą zawodową. Wprowadzenie systemu wspomagania decyzji nie obniża tego standardu, lecz go modyfikuje: lekarz odpowiada za własne badanie podmiotowe i przedmiotowe, a wynik systemu jest jedną z przesłanek, nie substytutem rozpoznania. Akceptacja wyniku bez pełnego badania przy nietypowych objawach jest uchybieniem samodzielnym.</w:t>
      </w:r>
    </w:p>
    <w:p>
      <w:pPr>
        <w:pStyle w:val="BodyText"/>
      </w:pPr>
      <w:r>
        <w:t xml:space="preserve">Kluczowy jest jednak rozdźwięk między deklaracją producenta a interfejsem. Producent nazywa system wsparciem, lecz interfejs pokazuje „rekomendację kliniczną”. Dla oceny staranności lekarza rozstrzyga to, jak system faktycznie oddziałuje na decyzję — a sformułowanie sugerujące rekomendację obniża czujność użytkownika. Jest to okoliczność łagodząca po stronie lekarza i obciążająca po stronie producenta oraz szpitala, który wdrożył narzędzie bez szkolenia.</w:t>
      </w:r>
    </w:p>
    <w:p>
      <w:pPr>
        <w:pStyle w:val="BodyText"/>
      </w:pPr>
      <w:r>
        <w:t xml:space="preserve">Standard szpitala jest szerszy. Obejmuje dobór narzędzia, walidację przed wdrożeniem, przeszkolenie personelu, procedurę reagowania na ostrzeżenia producenta i nadzór nad aktualizacjami. Skierowanie ostrzeżenia o wzroście liczby błędów wyłącznie do działu informatycznego jest wadą organizacyjną, która nie wymaga wskazania konkretnego winnego — wystarcza wykazanie, że w prawidłowo zorganizowanej strukturze informacja dotarłaby do lekarzy.</w:t>
      </w:r>
    </w:p>
    <w:bookmarkEnd w:id="63"/>
    <w:bookmarkStart w:id="64" w:name="X2e4efcc757fe8ea2e87207df8b328c4bfed5a86"/>
    <w:p>
      <w:pPr>
        <w:pStyle w:val="Heading3"/>
      </w:pPr>
      <w:r>
        <w:t xml:space="preserve">Zagadnienie 2: kwalifikacja systemu i aktualizacji</w:t>
      </w:r>
    </w:p>
    <w:p>
      <w:pPr>
        <w:pStyle w:val="FirstParagraph"/>
      </w:pPr>
      <w:r>
        <w:t xml:space="preserve">Oprogramowanie przeznaczone do diagnostyki lub wspomagania decyzji diagnostycznych jest wyrobem medycznym, a jego klasa zależy od wpływu informacji na decyzję kliniczną i od ciężkości potencjalnych następstw. System triażujący i wskazujący rozpoznania w stanach nagłych plasuje się wysoko właśnie dlatego, że błąd prowadzi do opóźnienia leczenia stanu zagrożenia życia.</w:t>
      </w:r>
    </w:p>
    <w:p>
      <w:pPr>
        <w:pStyle w:val="BodyText"/>
      </w:pPr>
      <w:r>
        <w:t xml:space="preserve">Nazwa nadana przez producenta nie przesądza kwalifikacji. Decyduje przewidziane zastosowanie, odczytywane także z instrukcji, materiałów promocyjnych i z samego interfejsu. Konsekwentne opisywanie wyniku jako „rekomendacji klinicznej” jest argumentem za kwalifikacją wyższą niż deklarowana.</w:t>
      </w:r>
    </w:p>
    <w:p>
      <w:pPr>
        <w:pStyle w:val="BodyText"/>
      </w:pPr>
      <w:r>
        <w:t xml:space="preserve">Aktualizacja, która zwiększyła liczbę błędów w określonej grupie pacjentek, jest zmianą wpływającą na działanie i bezpieczeństwo wyrobu. Automatyczne wdrażanie takich zmian bez uprzedniej oceny i bez poinformowania użytkowników klinicznych jest uchybieniem obowiązkom producenta w zakresie nadzoru po wprowadzeniu do obrotu i obowiązku zgłaszania poważnych incydentów. Szpital jako podmiot używający wyrobu ma własne obowiązki: umowne ograniczenie audytu nie zwalnia go z obowiązku kontroli, ponieważ obowiązek ten nie ma źródła w umowie z producentem.</w:t>
      </w:r>
    </w:p>
    <w:bookmarkEnd w:id="64"/>
    <w:bookmarkStart w:id="65" w:name="X03f5782fab743218c8cf79c1e34a7eb91c000f0"/>
    <w:p>
      <w:pPr>
        <w:pStyle w:val="Heading3"/>
      </w:pPr>
      <w:r>
        <w:t xml:space="preserve">Zagadnienie 3: rozdzielenie odpowiedzialności</w:t>
      </w:r>
    </w:p>
    <w:p>
      <w:pPr>
        <w:pStyle w:val="FirstParagraph"/>
      </w:pPr>
      <w:r>
        <w:t xml:space="preserve">Lekarz — odpowiedzialność za własne uchybienie; wobec pacjentki odpowiada szpital na podstawie art. 430 k.c., bo lekarz podlegał jego kierownictwu. Regres szpitala wobec lekarza jest ograniczony przepisami o odpowiedzialności materialnej pracowników.</w:t>
      </w:r>
    </w:p>
    <w:p>
      <w:pPr>
        <w:pStyle w:val="BodyText"/>
      </w:pPr>
      <w:r>
        <w:t xml:space="preserve">Szpital — dwie podstawy równoległe: art. 430 k.c. za lekarza i art. 415 k.c. za wadliwą organizację (brak szkolenia, brak procedury obsługi ostrzeżeń, brak dokumentowania wersji modelu).</w:t>
      </w:r>
    </w:p>
    <w:p>
      <w:pPr>
        <w:pStyle w:val="BodyText"/>
      </w:pPr>
      <w:r>
        <w:t xml:space="preserve">Producent — odpowiedzialność za produkt niebezpieczny wobec pacjentki oraz odpowiedzialność kontraktowa wobec szpitala za wadliwą aktualizację i za wprowadzające w błąd oznaczenie funkcji systemu. Klauzula ograniczająca audyt jest wobec pacjentki bezskuteczna, a wobec szpitala podlega ocenie przez pryzmat granic swobody umów.</w:t>
      </w:r>
    </w:p>
    <w:p>
      <w:pPr>
        <w:pStyle w:val="BodyText"/>
      </w:pPr>
      <w:r>
        <w:t xml:space="preserve">Integrator — odpowiedzialność za wdrożenie i konfigurację, w szczególności za formularz, który nie przewidywał pola na informację o rzadkiej terapii. To ogniwo bywa pomijane, a w tym stanie faktycznym jest przyczynowo najbliższe szkodzie.</w:t>
      </w:r>
    </w:p>
    <w:p>
      <w:pPr>
        <w:pStyle w:val="BodyText"/>
      </w:pPr>
      <w:r>
        <w:t xml:space="preserve">Wszyscy odpowiedzialni za tę samą szkodę odpowiadają solidarnie (art. 441 § 1 k.c.), a rozliczenia między nimi następują według stopnia przyczynienia. Pacjentka nie powinna być obciążana ustalaniem tego podziału.</w:t>
      </w:r>
    </w:p>
    <w:bookmarkEnd w:id="65"/>
    <w:bookmarkStart w:id="66" w:name="X9706c5ce253704e9f51f9020e22255f06e99fca"/>
    <w:p>
      <w:pPr>
        <w:pStyle w:val="Heading3"/>
      </w:pPr>
      <w:r>
        <w:t xml:space="preserve">Zagadnienie 4: przyczynowość przy niepełnej dokumentacji</w:t>
      </w:r>
    </w:p>
    <w:p>
      <w:pPr>
        <w:pStyle w:val="FirstParagraph"/>
      </w:pPr>
      <w:r>
        <w:t xml:space="preserve">Konstrukcja przyczynowości jest wieloczłonowa: brak pola w formularzu — zaniżona ocena ryzyka — akceptacja wyniku bez pełnego badania — opóźnienie leczenia — trwały uszczerbek. Każde ogniwo jest podważalne z osobna, a razem tworzą łańcuch adekwatny.</w:t>
      </w:r>
    </w:p>
    <w:p>
      <w:pPr>
        <w:pStyle w:val="BodyText"/>
      </w:pPr>
      <w:r>
        <w:t xml:space="preserve">Trudność polega na tym, że dokumentacja nie zachowała pełnych danych wejściowych ani wersji modelu. Prawo daje na to dwie odpowiedzi. Pierwsza jest materialna: obowiązek prowadzenia i przechowywania dokumentacji medycznej ciąży na podmiocie leczniczym, a jego naruszenie nie może działać na korzyść naruszającego. Druga jest procesowa: art. 233 § 2 k.p.c. pozwala sądowi ocenić znaczenie przeszkód stawianych w przeprowadzeniu dowodu, a domniemania faktyczne pozwalają wywieść fakt z innych ustalonych faktów. W praktyce oznacza to, że brak logów nie blokuje powództwa, lecz obciąża szpital.</w:t>
      </w:r>
    </w:p>
    <w:p>
      <w:pPr>
        <w:pStyle w:val="BodyText"/>
      </w:pPr>
      <w:r>
        <w:t xml:space="preserve">Nie należy natomiast budować roszczenia na konstrukcji utraty szansy jako samodzielnej postaci szkody — nie ma ona w prawie polskim wyraźnej podstawy normatywnej i jej powołanie osłabia pozew. Właściwe jest wykazanie, że przy prawidłowym postępowaniu leczenie zostałoby wdrożone w oknie terapeutycznym.</w:t>
      </w:r>
    </w:p>
    <w:bookmarkEnd w:id="66"/>
    <w:bookmarkStart w:id="67" w:name="Xb01a902a1eb898b4ab2a42e3e01a3723639b9fc"/>
    <w:p>
      <w:pPr>
        <w:pStyle w:val="Heading3"/>
      </w:pPr>
      <w:r>
        <w:t xml:space="preserve">Zagadnienie 5: informacja, dane i zabezpieczenie dowodów</w:t>
      </w:r>
    </w:p>
    <w:p>
      <w:pPr>
        <w:pStyle w:val="FirstParagraph"/>
      </w:pPr>
      <w:r>
        <w:t xml:space="preserve">Prawo do informacji z art. 9 ust. 2 ustawy o prawach pacjenta obejmuje rozpoznanie oraz proponowane i możliwe metody diagnostyczne. Powstaje pytanie, czy użycie systemu wspomagania decyzji należy do treści tej informacji. Odpowiedź powinna być różnicująca: informacja o narzędziu nie jest wymagana, gdy system pełni funkcję pomocniczą wobec decyzji lekarza; staje się elementem informacji, gdy wynik systemu realnie determinuje wybór ścieżki diagnostycznej. W tej sprawie zachodzi drugi przypadek, co otwiera samodzielne roszczenie z art. 4 ust. 1 ustawy.</w:t>
      </w:r>
    </w:p>
    <w:p>
      <w:pPr>
        <w:pStyle w:val="BodyText"/>
      </w:pPr>
      <w:r>
        <w:t xml:space="preserve">Przetwarzanie danych. Dane zdrowotne należą do kategorii szczególnej; wdrożenie systemu podejmującego ocenę ryzyka na dużą skalę wymagało oceny skutków dla ochrony danych, a umowa z producentem — precyzyjnego określenia ról i zakresu powierzenia. Ograniczenie audytu jest w tym kontekście nie tylko problemem jakościowym, ale i zgodnościowym.</w:t>
      </w:r>
    </w:p>
    <w:p>
      <w:pPr>
        <w:pStyle w:val="BodyText"/>
      </w:pPr>
      <w:r>
        <w:t xml:space="preserve">Czynności pilne: zabezpieczenie logów systemu, wersji modelu, changelogów i treści ostrzeżenia producenta; zabezpieczenie konfiguracji formularza; zwrócenie się o dokumentację oceny zgodności i zgłoszeń incydentów; wystąpienie do organu nadzoru nad wyrobami medycznymi.</w:t>
      </w:r>
    </w:p>
    <w:bookmarkEnd w:id="67"/>
    <w:bookmarkEnd w:id="68"/>
    <w:bookmarkStart w:id="69" w:name="macierz-argumentów-3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pacjentki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 pozwanych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Staranność lekarza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Akceptacja wyniku bez pełnego badania przy nietypowych objawach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Interfejs prezentował rekomendację kliniczną; lekarz działał w zaufaniu do zwalidowanego narzędzia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Organizacja szpitala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Ostrzeżenie trafiło tylko do informatyków, lekarzy nie przeszkolono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Ostrzeżenie miało charakter techniczny; obowiązek szkolenia obciążał producenta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Kwalifikacja systemu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Przeznaczenie diagnostyczne i sposób prezentacji wyniku przesądzają o wysokiej klasie wyrobu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Producent zadeklarował funkcję wspierającą; klasyfikacja została potwierdzona w ocenie zgodności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Aktualizacja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Zmiana wpływała na bezpieczeństwo i wymagała oceny oraz powiadomienia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Aktualizacja mieściła się w utrzymaniu; wzrost błędów wykryto dopiero w analizie następczej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Ograniczenie audytu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Klauzula bezskuteczna wobec poszkodowanej i nie zwalnia szpitala z własnych obowiązków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audytu był przedmiotem swobodnej negocjacji dwóch profesjonalistów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Przyczynowość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Łańcuch od braku pola w formularzu do opóźnienia leczenia jest adekwatny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Przyczyną była nietypowość obrazu klinicznego i niekompletny wywiad, nie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danych wejściowych i wersji modelu obciąża podmiot leczniczy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dokumentacji odpowiadał obowiązującym wymaganiom; logi nie są dokumentacją medyczną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podlega obowiązkom dla wysokiego ryzyka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Obowiązki dla systemów wbudowanych w produkty regulowane stosuje się od 2 sierpnia 2028 r.</w:t>
            </w:r>
          </w:p>
        </w:tc>
      </w:tr>
    </w:tbl>
    <w:bookmarkEnd w:id="69"/>
    <w:bookmarkStart w:id="70" w:name="X8b0f990740b1f063d5a9ecbf8f4f9ae2fa53e12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Przewidziane zastosowanie i klasa wyrobu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Wyznacza reżim obowiązków producenta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Deklaracja zgodności, certyfikat, instrukcja używania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i adresat ostrzeżenia producenta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Rdzeń zarzutu organizacyjnego wobec szpitala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Korespondencja, rejestr zgłoszeń, procedura wewnętrzna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Wersja modelu użyta w dniu zdarzenia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ustalenia, czy działała wadliwa aktualizacja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Changelog, logi wdrożeniowe, dokumentacja serwisowa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Konfiguracja formularza wejściowego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Ustala ogniwo przyczynowe najbliższe szkodzie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Specyfikacja wdrożenia, protokół odbioru od integratora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badania przeprowadzonego przez lekarza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uchybienia własnego lekarza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 medyczna, zapisy monitorowania, zeznania personelu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Okno terapeutyczne w stanie pacjentki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wykazania, że opóźnienie spowodowało uszczerbek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Opinia biegłego z zakresu neurologii, wytyczne postępowania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umowy szpitala z producentem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podziału ról i skuteczności ograniczeń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Umowa, załączniki techniczne, umowa powierzenia przetwarzania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przeprowadzono ocenę skutków dla ochrony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zgodności wdrożenia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 oceny, rejestr czynności przetwarzania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polis i wyzwalacz czasowy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 wykonalność zasądzonego świadczenia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Polisy, ogólne warunki ubezpieczenia</w:t>
            </w:r>
          </w:p>
        </w:tc>
      </w:tr>
    </w:tbl>
    <w:bookmarkEnd w:id="70"/>
    <w:bookmarkStart w:id="71" w:name="proponowane-rozstrzygnięcie-3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Zasądzić od szpitala na rzecz pacjentki odszkodowanie i zadośćuczynienie na podstawie art. 430 w zw. z art. 415, 444 i 445 k.c., przyjmując dwie niezależne podstawy winy: uchybienie lekarza i wadę organizacyjną polegającą na nieprzekazaniu ostrzeżenia personelowi klinicznemu oraz na braku szkolenia.</w:t>
      </w:r>
    </w:p>
    <w:p>
      <w:pPr>
        <w:pStyle w:val="BodyText"/>
      </w:pPr>
      <w:r>
        <w:t xml:space="preserve">Zasądzić odrębne zadośćuczynienie na podstawie art. 4 ust. 1 ustawy o prawach pacjenta za naruszenie prawa do informacji, przyjmując, że wynik systemu realnie determinował ścieżkę diagnostyczną.</w:t>
      </w:r>
    </w:p>
    <w:p>
      <w:pPr>
        <w:pStyle w:val="BodyText"/>
      </w:pPr>
      <w:r>
        <w:t xml:space="preserve">Dopuścić powództwo wobec producenta i integratora, orzekając o solidarności na podstawie art. 441 § 1 k.c.; nie rozstrzygać w tym postępowaniu o wzajemnych rozliczeniach regresowych.</w:t>
      </w:r>
    </w:p>
    <w:p>
      <w:pPr>
        <w:pStyle w:val="BodyText"/>
      </w:pPr>
      <w:r>
        <w:t xml:space="preserve">Zastosować art. 233 § 2 k.p.c. wobec braku danych wejściowych i wersji modelu — ocenić ten brak na niekorzyść podmiotu, na którym ciążył obowiązek dokumentacyjny.</w:t>
      </w:r>
    </w:p>
    <w:p>
      <w:pPr>
        <w:pStyle w:val="BodyText"/>
      </w:pPr>
      <w:r>
        <w:t xml:space="preserve">Nie opierać rozstrzygnięcia na obowiązkach AI Act dla systemów wysokiego ryzyka; wskazać w uzasadnieniu przyczynę czasową.</w:t>
      </w:r>
    </w:p>
    <w:p>
      <w:pPr>
        <w:pStyle w:val="BodyText"/>
      </w:pPr>
      <w:r>
        <w:t xml:space="preserve">Zawiadomić organ nadzoru nad wyrobami medycznymi o okolicznościach dotyczących aktualizacji i wzrostu liczby błędów.</w:t>
      </w:r>
    </w:p>
    <w:bookmarkEnd w:id="71"/>
    <w:bookmarkStart w:id="72" w:name="zweryfikowane-pozycje-źródłowe-pl-04"/>
    <w:p>
      <w:pPr>
        <w:pStyle w:val="Heading2"/>
      </w:pPr>
      <w:r>
        <w:t xml:space="preserve">Zweryfikowane pozycje źródłowe (PL-04)</w:t>
      </w:r>
    </w:p>
    <w:p>
      <w:pPr>
        <w:numPr>
          <w:ilvl w:val="0"/>
          <w:numId w:val="1007"/>
        </w:numPr>
        <w:pStyle w:val="Compact"/>
      </w:pPr>
      <w:r>
        <w:t xml:space="preserve">Ustawa z dnia 6 listopada 2008 r. o prawach pacjenta i Rzeczniku Praw Pacjenta, Dz.U. 2009 nr 52 poz. 417 — sprawdzono art. 4 ust. 1–2, art. 9 ust. 1–4, art. 23 ust. 1–2 i art. 24 ust. 1.</w:t>
      </w:r>
    </w:p>
    <w:p>
      <w:pPr>
        <w:numPr>
          <w:ilvl w:val="0"/>
          <w:numId w:val="1007"/>
        </w:numPr>
        <w:pStyle w:val="Compact"/>
      </w:pPr>
      <w:r>
        <w:t xml:space="preserve">Ustawa z dnia 23 kwietnia 1964 r. — Kodeks cywilny, Dz.U. 1964 nr 16 poz. 93 — sprawdzono art. 430, art. 444 § 1–2, art. 445 § 1, art. 448 § 1.</w:t>
      </w:r>
    </w:p>
    <w:p>
      <w:pPr>
        <w:numPr>
          <w:ilvl w:val="0"/>
          <w:numId w:val="1007"/>
        </w:numPr>
        <w:pStyle w:val="Compact"/>
      </w:pPr>
      <w:r>
        <w:t xml:space="preserve">Ustawa z dnia 15 kwietnia 2011 r. o działalności leczniczej, Dz.U. 2011 nr 112 poz. 654 — akt zweryfikowany co do obowiązywania i tożsamości; konkretne jednostki redakcyjne dotyczące obowiązkowego ubezpieczenia nie zostały sprawdzone punktowo.</w:t>
      </w:r>
    </w:p>
    <w:p>
      <w:pPr>
        <w:numPr>
          <w:ilvl w:val="0"/>
          <w:numId w:val="1007"/>
        </w:numPr>
        <w:pStyle w:val="Compact"/>
      </w:pPr>
      <w:r>
        <w:t xml:space="preserve">Ustawa z dnia 7 kwietnia 2022 r. o wyrobach medycznych, Dz.U. 2022 poz. 974 — akt zweryfikowany co do obowiązywania i tożsamości; obowiązki producenta i podmiotu używającego opisano bez przypisania jednostkom redakcyjnym.</w:t>
      </w:r>
    </w:p>
    <w:p>
      <w:pPr>
        <w:numPr>
          <w:ilvl w:val="0"/>
          <w:numId w:val="1007"/>
        </w:numPr>
        <w:pStyle w:val="Compact"/>
      </w:pPr>
      <w:r>
        <w:t xml:space="preserve">Ustawa z dnia 17 listopada 1964 r. — Kodeks postępowania cywilnego, Dz.U. 1964 nr 43 poz. 296 — sprawdzono art. 233 § 2.</w:t>
      </w:r>
    </w:p>
    <w:p>
      <w:pPr>
        <w:numPr>
          <w:ilvl w:val="0"/>
          <w:numId w:val="1007"/>
        </w:numPr>
        <w:pStyle w:val="Compact"/>
      </w:pPr>
      <w:r>
        <w:t xml:space="preserve">Rozporządzenie (UE) 2026/1744 („Digital Omnibus on AI”) — przesunięcie stosowania obowiązków dla systemów AI będących elementem produktów objętych załącznikiem I AI Act na 2 sierpnia 2028 r.</w:t>
      </w:r>
    </w:p>
    <w:p>
      <w:pPr>
        <w:pStyle w:val="FirstParagraph"/>
      </w:pPr>
      <w:r>
        <w:t xml:space="preserve">Świadomie nie przypisano numerów artykułów: przepisom Kodeksu cywilnego o odpowiedzialności za produkt niebezpieczny, regule klasyfikacyjnej oprogramowania w rozporządzeniu 2017/745, przepisom o obowiązkowym ubezpieczeniu podmiotu leczniczego oraz przepisom o dokumentacji medycznej. Przed użyciem zawodowym wymagają sprawdzenia w tekstach źródłowych.</w:t>
      </w:r>
    </w:p>
    <w:bookmarkEnd w:id="72"/>
    <w:bookmarkEnd w:id="73"/>
    <w:bookmarkStart w:id="74" w:name="nota-do-partii-3"/>
    <w:p>
      <w:pPr>
        <w:pStyle w:val="Heading1"/>
      </w:pPr>
      <w:r>
        <w:t xml:space="preserve">Nota do Partii 3</w:t>
      </w:r>
    </w:p>
    <w:p>
      <w:pPr>
        <w:pStyle w:val="FirstParagraph"/>
      </w:pPr>
      <w:r>
        <w:t xml:space="preserve">Co zmieniła weryfikacja. W trzech miejscach sprawdzenie tekstu przepisu odwróciło rozwiązanie, które nasuwa się jako pierwsze.</w:t>
      </w:r>
    </w:p>
    <w:p>
      <w:pPr>
        <w:pStyle w:val="BodyText"/>
      </w:pPr>
      <w:r>
        <w:t xml:space="preserve">W PL-01 katalog z art. 3 ust. 1 ustawy o ochronie sygnalistów okazał się zamknięty w sposób istotny dla sprawy: punkt dotyczący konstytucyjnych wolności i praw jest ograniczony do stosunków z organami władzy publicznej, co wyklucza go wobec prywatnego pracodawcy. Odrębnie art. 53 tej ustawy wyłącza stosowanie testu sekwencyjnego przy przekazaniu informacji bezpośrednio do prasy — czyli dokładnie w konfiguracji z kazusu.</w:t>
      </w:r>
    </w:p>
    <w:p>
      <w:pPr>
        <w:pStyle w:val="BodyText"/>
      </w:pPr>
      <w:r>
        <w:t xml:space="preserve">W PL-02 art. 145 § 1 pkt 5 k.p.a. wymaga okoliczności lub dowodów istniejących w dniu wydania decyzji, co czyni wznowienie oparte na nowej mapie zagrożenia powodziowego ścieżką ryzykowną i przenosi ciężar rozstrzygnięcia na nadzór budowlany.</w:t>
      </w:r>
    </w:p>
    <w:p>
      <w:pPr>
        <w:pStyle w:val="BodyText"/>
      </w:pPr>
      <w:r>
        <w:t xml:space="preserve">W PL-03 art. 8 ustawy o fundacji rodzinnej okazał się mocniejszym instrumentem wierzycieli niż skarga pauliańska, a art. 994¹ § 1 k.c. wprowadza barierę dziesięcioletnią, która może zniweczyć doliczenie funduszu założycielskiego. Odrębnie: fundacja rodzinna nie została wymieniona w art. 5 ust. 2 Prawa upadłościowego, co ogranicza zestaw środków wierzycieli.</w:t>
      </w:r>
    </w:p>
    <w:p>
      <w:pPr>
        <w:pStyle w:val="BodyText"/>
      </w:pPr>
      <w:r>
        <w:t xml:space="preserve">Kwestia wspólna dla PL-01 i PL-04. Rozporządzenie (UE) 2026/1744 przesunęło stosowanie obowiązków AI Act dla systemów wysokiego ryzyka. W obu kazusach oparcie argumentacji na tych obowiązkach byłoby błędem czasowym. Jest to przykład zagadnienia, w którym pamięć modelu bez weryfikacji prowadzi do rozwiązania pozornie poprawnego i merytorycznie chybionego.</w:t>
      </w:r>
    </w:p>
    <w:p>
      <w:pPr>
        <w:pStyle w:val="BodyText"/>
      </w:pPr>
      <w:r>
        <w:t xml:space="preserve">Czego nie zrobiono w tej wersji. Nie uruchomiono routera prawnego ani skilli dziedzinowych, nie przeprowadzono walidacji hybrydowej dokumentu, nie zastosowano kwalifikatora karnomaterialnego. Weryfikacja objęła teksty ujednolicone aktów krajowych w rejestrze ELI oraz — dla aktów unijnych — źródła wtórne; nie sięgnięto do Dziennika Urzędowego Unii Europejskiej.</w:t>
      </w:r>
    </w:p>
    <w:p>
      <w:pPr>
        <w:pStyle w:val="BodyText"/>
      </w:pPr>
      <w:r>
        <w:t xml:space="preserve">Kolejna partia. Partia 4 obejmie PL-05 do PL-07, z tą samą metodą weryfikacji.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kazusów wieloaspektowych — arkusz odpowiedzi</dc:title>
  <dc:creator/>
  <dc:language>pl-PL</dc:language>
  <cp:keywords/>
  <dcterms:created xsi:type="dcterms:W3CDTF">2026-09-03T06:57:47Z</dcterms:created>
  <dcterms:modified xsi:type="dcterms:W3CDTF">2026-09-03T06:57:47Z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Partia 3: PL-01 – PL-04 (część polska)</vt:lpwstr>
  </property>
</Properties>
</file>