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Bank</w:t>
      </w:r>
      <w:r>
        <w:t xml:space="preserve"> </w:t>
      </w:r>
      <w:r>
        <w:t xml:space="preserve">kazusów</w:t>
      </w:r>
      <w:r>
        <w:t xml:space="preserve"> </w:t>
      </w:r>
      <w:r>
        <w:t xml:space="preserve">wieloaspektowych</w:t>
      </w:r>
      <w:r>
        <w:t xml:space="preserve"> </w:t>
      </w:r>
      <w:r>
        <w:t xml:space="preserve">—</w:t>
      </w:r>
      <w:r>
        <w:t xml:space="preserve"> </w:t>
      </w:r>
      <w:r>
        <w:t xml:space="preserve">arkusz</w:t>
      </w:r>
      <w:r>
        <w:t xml:space="preserve"> </w:t>
      </w:r>
      <w:r>
        <w:t xml:space="preserve">odpowiedzi</w:t>
      </w:r>
    </w:p>
    <w:p>
      <w:pPr>
        <w:pStyle w:val="Subtitle"/>
      </w:pPr>
      <w:r>
        <w:t xml:space="preserve">Partia</w:t>
      </w:r>
      <w:r>
        <w:t xml:space="preserve"> </w:t>
      </w:r>
      <w:r>
        <w:t xml:space="preserve">10:</w:t>
      </w:r>
      <w:r>
        <w:t xml:space="preserve"> </w:t>
      </w:r>
      <w:r>
        <w:t xml:space="preserve">PL-01</w:t>
      </w:r>
      <w:r>
        <w:t xml:space="preserve"> </w:t>
      </w:r>
      <w:r>
        <w:t xml:space="preserve">(otwarcie</w:t>
      </w:r>
      <w:r>
        <w:t xml:space="preserve"> </w:t>
      </w:r>
      <w:r>
        <w:t xml:space="preserve">części</w:t>
      </w:r>
      <w:r>
        <w:t xml:space="preserve"> </w:t>
      </w:r>
      <w:r>
        <w:t xml:space="preserve">polskiej)</w:t>
      </w:r>
    </w:p>
    <w:bookmarkStart w:id="20" w:name="metryka-arkusza"/>
    <w:p>
      <w:pPr>
        <w:pStyle w:val="Heading1"/>
      </w:pPr>
      <w:r>
        <w:t xml:space="preserve">Metryka arkusza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Pozycja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partii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 (Anthropic)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 skillami — router prawny v3.41, ścieżka UP-1/UP-2, fasada</w:t>
            </w:r>
            <w:r>
              <w:t xml:space="preserve"> </w:t>
            </w:r>
            <w:r>
              <w:rPr>
                <w:rStyle w:val="VerbatimChar"/>
              </w:rPr>
              <w:t xml:space="preserve">prawo-polskie-v2</w:t>
            </w:r>
            <w:r>
              <w:t xml:space="preserve"> </w:t>
            </w:r>
            <w:r>
              <w:t xml:space="preserve">v6.8, PRIMARY DR-04, SECONDARY DR-15 i DR-11; bramki CN-GATE i REM-GATE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Weryfikacja źródeł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ELI Sejmu (curl, RZĄD 1) — Kodeks pracy i ustawa o ochronie sygnalistów; Cellar Urzędu Publikacji UE (curl, RZĄD 1) — RODO i akt o sztucznej inteligencji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sporządzenia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września 2026 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 otwiera część polską; PL-02–PL-07 pozostają do wykonania</w:t>
            </w:r>
          </w:p>
        </w:tc>
      </w:tr>
    </w:tbl>
    <w:bookmarkEnd w:id="20"/>
    <w:bookmarkStart w:id="35" w:name="pl-01-algorytm-zwalnia-sygnalistkę"/>
    <w:p>
      <w:pPr>
        <w:pStyle w:val="Heading1"/>
      </w:pPr>
      <w:r>
        <w:t xml:space="preserve">PL-01 Algorytm zwalnia sygnalistkę</w:t>
      </w:r>
    </w:p>
    <w:bookmarkStart w:id="21" w:name="teza-wstępna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Kazus wygląda na spór o odwet wobec sygnalistki, a rozstrzyga się na trzech ustaleniach tekstowych, z których żadne nie wynika z ogólnej znajomości reżimu ochrony zgłaszających.</w:t>
      </w:r>
    </w:p>
    <w:p>
      <w:pPr>
        <w:pStyle w:val="BodyText"/>
      </w:pPr>
      <w:r>
        <w:t xml:space="preserve">Pierwsze. Art. 3 ust. 1 ustawy o ochronie sygnalistów zawiera zamknięty katalog siedemnastu dziedzin. Dyskryminacja kandydatek po urlopie rodzicielskim nie jest w nim wymieniona jako odrębna dziedzina, a punkt 17 — konstytucyjne wolności i prawa człowieka i obywatela — został zawężony do naruszeń „występujących w stosunkach jednostki z organami władzy publicznej i niezwiązanych z dziedzinami wskazanymi w pkt 1–16”. Algometria S.A. organem władzy publicznej nie jest, więc ta furtka jest zamknięta. Zgłoszenie Marty korzysta z ochrony przez punkt 13 — ochrona prywatności i danych osobowych — ponieważ model profiluje kandydatki na podstawie ich danych osobowych. Wniosek jest istotny praktycznie: zgłoszenie jest chronione nie dlatego, że dotyczyło dyskryminacji, lecz dlatego, że dotyczyło przetwarzania danych. Pismo zbudowane wyłącznie na wątku dyskryminacyjnym trafia w lukę katalogu.</w:t>
      </w:r>
    </w:p>
    <w:p>
      <w:pPr>
        <w:pStyle w:val="BodyText"/>
      </w:pPr>
      <w:r>
        <w:t xml:space="preserve">Drugie. Art. 22³ § 1 Kodeksu pracy wylicza cele, dla których wolno wprowadzić monitoring poczty elektronicznej: zapewnienie organizacji pracy umożliwiającej pełne wykorzystanie czasu pracy oraz właściwe użytkowanie udostępnionych pracownikowi narzędzi pracy. Paragraf 4 rozciąga przepisy § 1–3 na inne formy monitoringu, ale wyłącznie wtedy, gdy „ich zastosowanie jest konieczne do realizacji celów określonych w § 1”. PeopleScore ocenia lojalność, absencję i kontakty z mediami. Żaden z tych celów nie mieści się w § 1, więc art. 22³ nie legalizuje systemu — on go w ogóle nie obejmuje. Pracodawca nie ma zatem kodeksowej podstawy monitoringu, a nie jedynie podstawę wadliwie wykonaną.</w:t>
      </w:r>
    </w:p>
    <w:p>
      <w:pPr>
        <w:pStyle w:val="BodyText"/>
      </w:pPr>
      <w:r>
        <w:t xml:space="preserve">Trzecie. Art. 12 ust. 3 ustawy o ochronie sygnalistów stanowi, że na pracodawcy spoczywa ciężar dowodu, iż podjęte działanie nie jest działaniem odwetowym. To pracodawca ma wykazać nieodwetowy charakter wypowiedzenia — a to on utracił logi wskutek trzydziestodniowej retencji w chwili, gdy spór był już przewidywalny.</w:t>
      </w:r>
    </w:p>
    <w:p>
      <w:pPr>
        <w:pStyle w:val="BodyText"/>
      </w:pPr>
      <w:r>
        <w:t xml:space="preserve">Ustalenie porządkujące, które zmienia kierunek jednego z zagadnień. Art. 53 ustawy stanowi, że przepisów art. 51 i art. 52 nie stosuje się, jeżeli przekazanie informacji o naruszeniu prawa następuje bezpośrednio do prasy, i że stosuje się wtedy Prawo prasowe. Cały warunkowy reżim ujawnienia publicznego — wymagający uprzedniego zgłoszenia wewnętrznego i zewnętrznego — do przekazania dokumentów dziennikarzowi się nie stosuje. Nie odbiera to Marcie ochrony, ponieważ ta biegnie od chwili zgłoszenia wewnętrznego na podstawie art. 6, a nie od ujawnienia publicznego. Praktyczna konsekwencja: badanie, czy Marta „wyczerpała ścieżkę” przed pójściem do mediów, jest badaniem bezprzedmiotowym, a spółka będzie do niego dążyć.</w:t>
      </w:r>
    </w:p>
    <w:bookmarkEnd w:id="21"/>
    <w:bookmarkStart w:id="22" w:name="mapa-jurysdykcji-źródeł-i-kompetencji"/>
    <w:p>
      <w:pPr>
        <w:pStyle w:val="Heading2"/>
      </w:pPr>
      <w:r>
        <w:t xml:space="preserve">Mapa jurysdykcji, źródeł i kompetencji</w:t>
      </w:r>
    </w:p>
    <w:p>
      <w:pPr>
        <w:pStyle w:val="FirstParagraph"/>
      </w:pPr>
      <w:r>
        <w:t xml:space="preserve">Fora i ich zakres. Sąd pracy rozpoznaje odwołanie od wypowiedzenia (art. 44 KP) oraz roszczenie odszkodowawcze z art. 14 ustawy o sygnalistach. Sąd cywilny rozpoznaje żądanie spółki o zakaz publikacji i o odszkodowanie. Państwowa Inspekcja Pracy prowadzi kontrolę i nie orzeka o roszczeniach pracownika. Prezes Urzędu Ochrony Danych Osobowych prowadzi postępowanie administracyjne w sprawie przetwarzania danych i nie przesądza o zasadności wypowiedzenia. Cztery organy, cztery różne przedmioty rozstrzygnięcia — a stan faktyczny kusi, by traktować je jak jeden spór.</w:t>
      </w:r>
    </w:p>
    <w:p>
      <w:pPr>
        <w:pStyle w:val="BodyText"/>
      </w:pPr>
      <w:r>
        <w:t xml:space="preserve">Cztery warstwy, których nie wolno łączyć. Ochrona zgłoszenia; zgodność wypowiedzenia z gwarancjami prawa pracy; legalność systemu oceniającego jako operacji przetwarzania danych; skutki przekazania dokumentów mediom. Warstwy te mogą dać rozbieżne wyniki i to jest normalne, a nie sprzeczne: wypowiedzenie może naruszać art. 30 § 4 KP i nie być odwetem, może być odwetem mimo formalnej poprawności, a system może być nielegalny niezależnie od jednego i drugiego.</w:t>
      </w:r>
    </w:p>
    <w:p>
      <w:pPr>
        <w:pStyle w:val="BodyText"/>
      </w:pPr>
      <w:r>
        <w:t xml:space="preserve">Reżimy i ich wzajemna relacja. Ustawa o ochronie sygnalistów, Kodeks pracy, RODO i akt o sztucznej inteligencji stosuje się równolegle, każdy do swojego przedmiotu. Akt o sztucznej inteligencji stwierdza w motywach, że pozostaje bez uszczerbku dla prawa Unii i krajowego prawa pracy dotyczącego warunków zatrudnienia oraz stosunków między pracodawcami a pracownikami, a jego art. 87 odsyła w sprawach zgłaszania naruszeń do dyrektywy 2019/1937. Relacja jest więc uzupełniająca, nie wypierająca.</w:t>
      </w:r>
    </w:p>
    <w:bookmarkEnd w:id="22"/>
    <w:bookmarkStart w:id="23" w:name="X2c962981bc6e07552afb414ed1892c6a6805b44"/>
    <w:p>
      <w:pPr>
        <w:pStyle w:val="Heading2"/>
      </w:pPr>
      <w:r>
        <w:t xml:space="preserve">Bramki weryfikacyjne (CN-GATE, kontrola zakresu)</w:t>
      </w:r>
    </w:p>
    <w:p>
      <w:pPr>
        <w:pStyle w:val="FirstParagraph"/>
      </w:pPr>
      <w:r>
        <w:t xml:space="preserve">Kontrola czasowa. Ustawa o ochronie sygnalistów z 14 czerwca 2024 r. obowiązuje; Kodeks pracy w brzmieniu tekstu jednolitego z 2025 r.; RODO i akt o sztucznej inteligencji obowiązują. ⬛ Kazus nie podaje dat zdarzeń, a przy akcie o sztucznej inteligencji ma to znaczenie przesądzające, ponieważ obowiązki dotyczące systemów wysokiego ryzyka i uprawnienia z art. 86 wchodzą w życie etapami. To jest pierwszy brak faktyczny o randze rozstrzygającej.</w:t>
      </w:r>
    </w:p>
    <w:p>
      <w:pPr>
        <w:pStyle w:val="BodyText"/>
      </w:pPr>
      <w:r>
        <w:t xml:space="preserve">Kontrola zakresu przedmiotowego. Katalog z art. 3 ust. 1 ustawy o sygnalistach — patrz teza. Katalog celów z art. 22³ § 1 KP — patrz teza. Próg „wyłącznie” z art. 22 ust. 1 RODO — patrz zagadnienie trzecie.</w:t>
      </w:r>
    </w:p>
    <w:p>
      <w:pPr>
        <w:pStyle w:val="BodyText"/>
      </w:pPr>
      <w:r>
        <w:t xml:space="preserve">CN-GATE — norma centralna per oś sporu.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Oś sporu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centralna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Przedmiot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Ochrona 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 ust. 1 pkt 13 i art. 6 ustawy o sygnalistach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Ochrona zgłoszenia — wątek dyskryminacyjny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 ust. 1 pkt 17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przepis dotyczy stosunków z organami władzy publicznej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11, art. 12 ust. 1 pkt 2 i 11 oraz ust. 3 ustawy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Uzasadnienie wypowiedzenia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30 § 4 i art. 45 § 1 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Konsultacja związkowa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38 § 1 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czy Marta była reprezentowana przez organizację związkową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Podstawa monitoringu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22³ § 1 i 4 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cele systemu leżą poza katalogiem z §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Retencja logów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22² § 4 KP przez odesłanie z art. 22³ §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odesłanie obejmuje § 6–10, a nie § 3–5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Decyzja zautomatyzowana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22 ust. 1 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zależy od realności udziału zarządu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Wyjaśnienie decyzji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86 ust. 1 aktu o sztucznej inteligencji w zw. z zał. III pkt 4 lit.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etap stosowania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Ujawnienie mediom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ustawy o sygnalistach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dla art. 51–52 — stosuje się Prawo prasowe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Odpowiedzialność za tajemnicę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 ust. 1 ustawy o sygnalistach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</w:tbl>
    <w:p>
      <w:pPr>
        <w:pStyle w:val="BodyText"/>
      </w:pPr>
      <w:r>
        <w:t xml:space="preserve">Cztery wyniki „NIE” są rozstrzygające i każdy przenosi analizę na inną normę: punkt 13 zamiast punktu 17; brak podstawy monitoringu zamiast wadliwej podstawy; ogólne skutki utraty dowodu zamiast naruszenia terminu retencji; art. 6 ustawy zamiast art. 51.</w:t>
      </w:r>
    </w:p>
    <w:bookmarkEnd w:id="23"/>
    <w:bookmarkStart w:id="29" w:name="analiza-materialna-według-zagadnień"/>
    <w:p>
      <w:pPr>
        <w:pStyle w:val="Heading2"/>
      </w:pPr>
      <w:r>
        <w:t xml:space="preserve">Analiza materialna według zagadnień</w:t>
      </w:r>
    </w:p>
    <w:bookmarkStart w:id="24" w:name="X4b0e62babd6ad8088bcb32171d6c7fd5b66ca00"/>
    <w:p>
      <w:pPr>
        <w:pStyle w:val="Heading3"/>
      </w:pPr>
      <w:r>
        <w:t xml:space="preserve">Zagadnienie 1: ochrona zgłoszenia i charakter odwetowy wypowiedzenia</w:t>
      </w:r>
    </w:p>
    <w:p>
      <w:pPr>
        <w:pStyle w:val="FirstParagraph"/>
      </w:pPr>
      <w:r>
        <w:t xml:space="preserve">Ochrona powstaje z chwilą dokonania zgłoszenia, pod warunkiem że sygnalista miał uzasadnione podstawy sądzić, iż informacja jest prawdziwa w momencie zgłoszenia i że stanowi informację o naruszeniu prawa (art. 6 ustawy). Próg jest zatem subiektywno-obiektywny i nie wymaga, by naruszenie zostało ostatecznie stwierdzone. Marta dołączyła fragmenty kodu i dane testowe — a więc materiał, który uzasadnione podstawy buduje, a nie samo przypuszczenie.</w:t>
      </w:r>
    </w:p>
    <w:p>
      <w:pPr>
        <w:pStyle w:val="BodyText"/>
      </w:pPr>
      <w:r>
        <w:t xml:space="preserve">Kwalifikacja przedmiotowa przebiega jednak przez punkt 13 katalogu, nie przez wątek dyskryminacyjny, z powodu opisanego w tezie. Model rekrutacyjny przetwarza dane osobowe kandydatek i profiluje je; zaniżanie oceny na podstawie faktu korzystania z urlopu rodzicielskiego jest zarzutem dotyczącym sposobu przetwarzania tych danych. To wystarcza, ale wymaga świadomego sformułowania zgłoszenia i pisma procesowego — a nie jest to sformułowanie, po które sięga się naturalnie.</w:t>
      </w:r>
    </w:p>
    <w:p>
      <w:pPr>
        <w:pStyle w:val="BodyText"/>
      </w:pPr>
      <w:r>
        <w:t xml:space="preserve">Charakter odwetowy. Art. 11 zakazuje działań odwetowych, prób i gróźb ich zastosowania. Art. 12 ust. 1 wymienia — w katalogu otwartym, poprzedzonym zwrotem „w szczególności” — wypowiedzenie stosunku pracy (pkt 2) oraz negatywną ocenę wyników pracy lub negatywną opinię o pracy (pkt 11). Obniżenie ratingu przez PeopleScore mieści się w punkcie 11 samodzielnie, niezależnie od wypowiedzenia. Są to zatem dwa odrębne działania odwetowe, a nie jedno, i każde uzasadnia roszczenie z art. 14.</w:t>
      </w:r>
    </w:p>
    <w:p>
      <w:pPr>
        <w:pStyle w:val="BodyText"/>
      </w:pPr>
      <w:r>
        <w:t xml:space="preserve">Rozkład ciężaru dowodu jest tu rozstrzygający i przesądza wynik przy niepełnym materiale. Art. 12 ust. 3 nakłada na pracodawcę ciężar dowodu, że działanie nie było odwetowe. Marta wykazuje: fakt zgłoszenia, jego datę, dwutygodniowy odstęp do obniżenia ratingu oraz treść uzasadnienia ratingu, w którym wprost figuruje „nielojalność” i kontakty z mediami. Dalej dowodzić nie musi. Spółka musi wykazać przyczynę niezależną — i musi to zrobić bez logów, które sama utraciła.</w:t>
      </w:r>
    </w:p>
    <w:bookmarkEnd w:id="24"/>
    <w:bookmarkStart w:id="25" w:name="Xaf6b49ee8c2a1d88c46ee283aa27955a61713b3"/>
    <w:p>
      <w:pPr>
        <w:pStyle w:val="Heading3"/>
      </w:pPr>
      <w:r>
        <w:t xml:space="preserve">Zagadnienie 2: rzeczywistość reorganizacji i gwarancje prawa pracy</w:t>
      </w:r>
    </w:p>
    <w:p>
      <w:pPr>
        <w:pStyle w:val="FirstParagraph"/>
      </w:pPr>
      <w:r>
        <w:t xml:space="preserve">Trzy niezależne zarzuty formalne, każdy wystarczający do uwzględnienia odwołania.</w:t>
      </w:r>
    </w:p>
    <w:p>
      <w:pPr>
        <w:pStyle w:val="BodyText"/>
      </w:pPr>
      <w:r>
        <w:t xml:space="preserve">Przyczyna. Art. 30 § 4 KP wymaga, aby w oświadczeniu pracodawcy o wypowiedzeniu umowy zawartej na czas nieokreślony wskazana była przyczyna uzasadniająca wypowiedzenie. „Przyczyny reorganizacyjne” bez wskazania, na czym reorganizacja polega i dlaczego dotyczy tego stanowiska, przyczyny nie konkretyzują.</w:t>
      </w:r>
    </w:p>
    <w:p>
      <w:pPr>
        <w:pStyle w:val="BodyText"/>
      </w:pPr>
      <w:r>
        <w:t xml:space="preserve">Rzeczywistość reorganizacji. Likwidacja stanowiska i utworzenie po miesiącu stanowiska podobnego jest okolicznością, która wprost podważa rzeczywisty charakter przyczyny. Nie przesądza jej pozorności — reorganizacja bywa korygowana — ale przenosi ciężar wyjaśnienia na pracodawcę, i to niezależnie od art. 12 ust. 3 ustawy o sygnalistach. ⬛ Kazus nie podaje zakresu obowiązków nowego stanowiska ani tego, kto je objął.</w:t>
      </w:r>
    </w:p>
    <w:p>
      <w:pPr>
        <w:pStyle w:val="BodyText"/>
      </w:pPr>
      <w:r>
        <w:t xml:space="preserve">Konsultacja związkowa. Art. 38 § 1 KP nakazuje zawiadomić na piśmie reprezentującą pracownika zakładową organizację związkową o zamiarze wypowiedzenia, z podaniem przyczyny. ⬛ Kazus podaje jedynie, że związek nie wiedział o monitoringu — nie mówi, czy Marta była przez organizację reprezentowana ani czy dopełniono art. 38. Rozstrzygnięcie warunkowe: jeżeli była reprezentowana i konsultacji nie przeprowadzono, wypowiedzenie narusza przepisy o wypowiadaniu w rozumieniu art. 45 § 1 KP niezależnie od zasadności przyczyny.</w:t>
      </w:r>
    </w:p>
    <w:p>
      <w:pPr>
        <w:pStyle w:val="BodyText"/>
      </w:pPr>
      <w:r>
        <w:t xml:space="preserve">Roszczenie i jego kształt. Art. 45 § 1 KP daje sądowi — stosownie do żądania pracownika — orzec o przywróceniu do pracy albo o odszkodowaniu. Paragraf 2 pozwala sądowi nie uwzględnić żądania przywrócenia, jeżeli jest ono niemożliwe lub niecelowe. Paragraf 3 wyłącza jednak zdanie pierwsze § 2 wobec pracowników wskazanych w art. 39 i 177 KP „oraz w przepisach szczególnych dotyczących ochrony pracowników przed wypowiedzeniem lub rozwiązaniem umowy o pracę”. Powstaje pytanie o randze strategicznej: czy art. 12 ust. 1 pkt 2 ustawy o ochronie sygnalistów, zakazujący wypowiedzenia jako działania odwetowego, jest takim przepisem szczególnym. Argument za: przepis wprost zakazuje wypowiedzenia określonej kategorii pracowników z określonej przyczyny, a to jest istota ochrony przed wypowiedzeniem. Argument przeciw: konstrukcja ustawy jest konstrukcją zakazu odwetu i sankcji odszkodowawczej z art. 14, a nie klasycznej ochrony szczególnej powiązanej ze statusem. Rozstrzygnięcie tego pytania decyduje, czy sąd może zamienić przywrócenie na odszkodowanie — i pełnomocnik, który go nie postawi, odda tę kwestię sądowi bez argumentacji.</w:t>
      </w:r>
    </w:p>
    <w:bookmarkEnd w:id="25"/>
    <w:bookmarkStart w:id="26" w:name="X9019c978b40763e176c329c550b5bce8ef48cd4"/>
    <w:p>
      <w:pPr>
        <w:pStyle w:val="Heading3"/>
      </w:pPr>
      <w:r>
        <w:t xml:space="preserve">Zagadnienie 3: czy decyzja była faktycznie zautomatyzowana</w:t>
      </w:r>
    </w:p>
    <w:p>
      <w:pPr>
        <w:pStyle w:val="FirstParagraph"/>
      </w:pPr>
      <w:r>
        <w:t xml:space="preserve">Art. 22 ust. 1 RODO przyznaje prawo do niepodlegania decyzji, która „opiera się wyłącznie na zautomatyzowanym przetwarzaniu, w tym profilowaniu”, i wywołuje skutki prawne lub w podobny sposób istotnie wpływa na osobę. Słowo „wyłącznie” jest progiem i to wokół niego zbudowana będzie obrona spółki: decyzję podjął zarząd, więc przetwarzanie nie było wyłączne.</w:t>
      </w:r>
    </w:p>
    <w:p>
      <w:pPr>
        <w:pStyle w:val="BodyText"/>
      </w:pPr>
      <w:r>
        <w:t xml:space="preserve">Test realności udziału człowieka nie jest testem formalnym. Pytanie brzmi, czy osoba uczestnicząca w decyzji miała kompetencję i informacje pozwalające odstąpić od wyniku systemu. Kazus dostarcza materiału, który na to pytanie odpowiada w sposób dla spółki niekorzystny: dostawca odmawia ujawnienia logiki systemu, powołując się na tajemnicę przedsiębiorstwa. Jeżeli logika nie została ujawniona samej spółce, zarząd nie mógł ocenić wyniku merytorycznie — mógł go wyłącznie zaakceptować albo odrzucić bez podstaw. Krótka wideokonferencja tę ocenę wzmacnia, ale nie jest sama w sobie rozstrzygająca; rozstrzyga brak informacji, nie brak czasu. ⬛ Kazus nie podaje, czy spółka dysponowała dokumentacją systemu.</w:t>
      </w:r>
    </w:p>
    <w:p>
      <w:pPr>
        <w:pStyle w:val="BodyText"/>
      </w:pPr>
      <w:r>
        <w:t xml:space="preserve">I tu pojawia się asymetria, którą trzeba postawić, ponieważ odwraca ona kierunek obrony. Im mocniej spółka dowodzi, że decyzję podjął zarząd, tym pewniej wychodzi spod art. 22 RODO — i tym pewniej wchodzi pod art. 86 ust. 1 aktu o sztucznej inteligencji. Przepis ten przyznaje osobie będącej przedmiotem decyzji podjętej przez podmiot stosujący „na podstawie wyników systemu AI wysokiego ryzyka wymienionego w załączniku III” prawo uzyskania jasnego i merytorycznego wyjaśnienia roli tego systemu w procedurze podejmowania decyzji oraz głównych elementów podjętej decyzji. Konstrukcja „na podstawie wyników systemu” nie zawiera progu wyłączności — obejmuje więc dokładnie tę sytuację, w której człowiek formalnie decyduje, opierając się na wyniku systemu. Załącznik III pkt 4 lit. b wymienia systemy przeznaczone do podejmowania decyzji wpływających na warunki stosunków pracy, decyzji o awansie lub rozwiązaniu umownego stosunku pracy oraz do monitorowania lub oceny wydajności i zachowania osób pozostających w takich stosunkach. PeopleScore mieści się w tym opisie wprost i podwójnie.</w:t>
      </w:r>
    </w:p>
    <w:p>
      <w:pPr>
        <w:pStyle w:val="BodyText"/>
      </w:pPr>
      <w:r>
        <w:t xml:space="preserve">Zastrzeżenie z art. 86 ust. 3 — przepis stosuje się jedynie w zakresie, w jakim prawo, o którym mowa w ust. 1, nie zostało inaczej ustanowione w prawie Unii — nie odbiera Marcie tego narzędzia, lecz porządkuje kolejność. Jeżeli decyzja była wyłącznie zautomatyzowana, działa art. 22 ust. 3 RODO wraz z prawem do interwencji ludzkiej i zakwestionowania decyzji. Jeżeli nie była, art. 22 RODO nie działa w ogóle, a lukę wypełnia art. 86. Obie gałęzie są operacyjne i żadna nie zostawia Marty bez środka.</w:t>
      </w:r>
    </w:p>
    <w:bookmarkEnd w:id="26"/>
    <w:bookmarkStart w:id="27" w:name="Xbcb428416f0f6327643626efa475f43318504b9"/>
    <w:p>
      <w:pPr>
        <w:pStyle w:val="Heading3"/>
      </w:pPr>
      <w:r>
        <w:t xml:space="preserve">Zagadnienie 4: kontrola sądowa wobec tajemnicy przedsiębiorstwa dostawcy</w:t>
      </w:r>
    </w:p>
    <w:p>
      <w:pPr>
        <w:pStyle w:val="FirstParagraph"/>
      </w:pPr>
      <w:r>
        <w:t xml:space="preserve">Spór wygląda na konflikt wartości, a jest w znacznej części sporem o źle postawione żądanie.</w:t>
      </w:r>
    </w:p>
    <w:p>
      <w:pPr>
        <w:pStyle w:val="BodyText"/>
      </w:pPr>
      <w:r>
        <w:t xml:space="preserve">Art. 86 ust. 1 aktu o sztucznej inteligencji nie żąda ujawnienia algorytmu, kodu ani wag modelu. Żąda wyjaśnienia roli systemu w procedurze podejmowania decyzji oraz głównych elementów podjętej decyzji. Dostawca broni się zatem przed żądaniem, którego przepis nie stawia. Właściwie sformułowane żądanie brzmi: jakie cechy wejściowe system uwzględnił, jaka była ich waga kierunkowa dla wyniku Marty i w jakim momencie procedury wynik został przekazany zarządowi. Odpowiedź na to nie wymaga ujawnienia tajemnicy przedsiębiorstwa i to trzeba w piśmie napisać wprost, żeby zamknąć obronę opartą na przeciwnym założeniu.</w:t>
      </w:r>
    </w:p>
    <w:p>
      <w:pPr>
        <w:pStyle w:val="BodyText"/>
      </w:pPr>
      <w:r>
        <w:t xml:space="preserve">Rozkład ciężaru dowodu rozwiązuje resztę impasu. Art. 12 ust. 3 ustawy o sygnalistach obciąża pracodawcę dowodem nieodwetowego charakteru działania. Jeżeli spółka nie może tego wykazać bez odwołania się do logiki systemu, a dostawca odmawia jej ujawnienia, to skutki niewykazania obciążają spółkę, nie Martę. Relacja spółki z dostawcą jest jej problemem kontraktowym. Sąd nie musi rozstrzygać konfliktu między kontrolą sądową a tajemnicą — wystarczy, że przypisze skutki nieudowodnienia właściwej stronie.</w:t>
      </w:r>
    </w:p>
    <w:p>
      <w:pPr>
        <w:pStyle w:val="BodyText"/>
      </w:pPr>
      <w:r>
        <w:t xml:space="preserve">Odrębnie: art. 16 ust. 1 ustawy o sygnalistach stanowi, że dokonanie zgłoszenia lub ujawnienia publicznego nie może stanowić podstawy odpowiedzialności, w tym za szkodę z tytułu naruszenia praw innych osób lub obowiązków, w szczególności w przedmiocie ochrony danych osobowych oraz obowiązku zachowania tajemnicy, w tym tajemnicy przedsiębiorstwa — pod warunkiem że sygnalista miał uzasadnione podstawy sądzić, iż zgłoszenie lub ujawnienie jest niezbędne do ujawnienia naruszenia. Tajemnica przedsiębiorstwa nie figuruje przy tym w katalogu wyłączeń z art. 5 ust. 1 ustawy, obejmującym informacje niejawne, tajemnicę zawodów medycznych i prawniczych, tajemnicę narady sędziowskiej oraz tajemnicę postępowania karnego. Wniosek: tajemnica przedsiębiorstwa nie wyłącza stosowania ustawy i nie jest samodzielną podstawą odpowiedzialności Marty. Art. 16 ust. 2 pozwala jej nadto wystąpić o umorzenie wszczętego przeciwko niej postępowania.</w:t>
      </w:r>
    </w:p>
    <w:bookmarkEnd w:id="27"/>
    <w:bookmarkStart w:id="28" w:name="X07ed423aec2db1f925c30d8333ff16f62bea103"/>
    <w:p>
      <w:pPr>
        <w:pStyle w:val="Heading3"/>
      </w:pPr>
      <w:r>
        <w:t xml:space="preserve">Zagadnienie 5: ujawnienie dokumentów mediom i dowody do natychmiastowego zabezpieczenia</w:t>
      </w:r>
    </w:p>
    <w:p>
      <w:pPr>
        <w:pStyle w:val="FirstParagraph"/>
      </w:pPr>
      <w:r>
        <w:t xml:space="preserve">Kwalifikacja przekazania dokumentów dziennikarzowi. Art. 53 ustawy wyłącza stosowanie art. 51 i art. 52 przy przekazaniu informacji bezpośrednio do prasy i odsyła do Prawa prasowego. Nie jest to więc „ujawnienie publiczne” oceniane według warunków wyczerpania ścieżki zgłoszeń. Ochrona Marty biegnie od zgłoszenia wewnętrznego na podstawie art. 6 i art. 53 jej nie przerywa. Zarzut spółki, że Marta poszła do mediów, zanim wyczerpała procedurę, jest zarzutem opartym na przepisie, który do niej nie ma zastosowania.</w:t>
      </w:r>
    </w:p>
    <w:p>
      <w:pPr>
        <w:pStyle w:val="BodyText"/>
      </w:pPr>
      <w:r>
        <w:t xml:space="preserve">Granica pozostaje jednak realna i przebiega gdzie indziej. Art. 16 ust. 1 warunkuje wyłączenie odpowiedzialności tym, że sygnalista miał uzasadnione podstawy sądzić, iż zgłoszenie lub ujawnienie jest niezbędne do ujawnienia naruszenia. Marta przekazała dziennikarzowi materiał zawierający dane osobowe i informacje poufne. Test niezbędności stosuje się do zakresu przekazanego materiału, nie tylko do samego faktu przekazania: przekazanie fragmentów kodu i danych testowych ilustrujących mechanizm zaniżania ocen mieści się w tym teście, przekazanie korespondencji zarządu niezwiązanej z modelem — niekoniecznie. ⬛ Kazus nie podaje, jaki był zakres materiału przekazanego dziennikarzowi w stosunku do zakresu zgłoszenia wewnętrznego. To jest brak przesądzający dla żądania spółki o odszkodowanie.</w:t>
      </w:r>
    </w:p>
    <w:p>
      <w:pPr>
        <w:pStyle w:val="BodyText"/>
      </w:pPr>
      <w:r>
        <w:t xml:space="preserve">Żądanie zakazu publikacji. Materiał dotyczy działania systemu oceniającego kandydatki do pracy w spółce prywatnej i jest przedmiotem toczących się postępowań przed PIP i UODO — a więc dotyczy sprawy o wyraźnym interesie publicznym. Uprzedni zakaz publikacji jest wobec takiego materiału środkiem o najwyższym ciężarze uzasadnienia. Właściwym środkiem, jeżeli spółka wykaże, że część materiału zawiera dane osobowe osób trzecich, jest zakaz publikacji tych konkretnych danych, nie całości.</w:t>
      </w:r>
    </w:p>
    <w:p>
      <w:pPr>
        <w:pStyle w:val="BodyText"/>
      </w:pPr>
      <w:r>
        <w:t xml:space="preserve">Dowody do zabezpieczenia natychmiast. Retencja jest tu problemem zdiagnozowanym zbyt późno i trzeba to nazwać. Art. 22³ § 3 KP odsyła do art. 22² § 6–10 — a więc do obowiązków informacyjnych i do trybu ustalenia zasad monitoringu. Nie odsyła do § 3–5, czyli do reżimu retencji i do jej przedłużenia na czas postępowania. Trzydziestodniowa retencja logów nie narusza więc art. 22² § 4 przez odesłanie, bo odesłania nie ma; skutki utraty dowodu ocenia się na gruncie ogólnego rozkładu ciężaru dowodu z art. 12 ust. 3 ustawy o sygnalistach oraz reguł oceny odmowy lub niemożności przedstawienia dowodu. Dla Marty jest to wynik korzystny, ale nie zwalnia z natychmiastowego zabezpieczenia tego, co pozostało.</w:t>
      </w:r>
    </w:p>
    <w:p>
      <w:pPr>
        <w:pStyle w:val="BodyText"/>
      </w:pPr>
      <w:r>
        <w:t xml:space="preserve">Lista czynności do wykonania bez zwłoki: wniosek o zabezpieczenie dowodu obejmujący kopie zapasowe logów PeopleScore, w tym kopie u dostawcy jako podmiotu przetwarzającego; wezwanie do zaprzestania nadpisywania i utrwalenia stanu na dzień doręczenia; wniosek z art. 15 RODO o kopię danych i informacje o zautomatyzowanym podejmowaniu decyzji; żądanie z art. 86 aktu o sztucznej inteligencji skierowane do spółki jako podmiotu stosującego; utrwalenie treści uzasadnienia ratingu wraz z metadanymi; zabezpieczenie korespondencji ze zgłoszenia wewnętrznego i potwierdzenia jego wpływu; wystąpienie do UODO i PIP o informację o zakresie zabezpieczonego przez nie materiału.</w:t>
      </w:r>
    </w:p>
    <w:bookmarkEnd w:id="28"/>
    <w:bookmarkEnd w:id="29"/>
    <w:bookmarkStart w:id="30" w:name="macierz-argumentów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Marty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Algometrii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przedmiotowy 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 dotyczy przetwarzania danych osobowych kandydatek (art. 3 ust. 1 pkt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 dotyczyło dyskryminacji, która nie figuruje w katalogu, a pkt 17 dotyczy stosunków z organami władzy publicznej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Dwutygodniowy odstęp i wskazanie „nielojalności” oraz kontaktów z mediami w uzasadnieniu ratingu; ciężar dowodu po stronie pracodawcy (art. 12 ust.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jest funkcją systemu ocenianego dla wszystkich pracowników jednakowo; wypowiedzenie ma przyczynę reorganizacyjną, niezależną od zgłoszenia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Rzeczywistość reorganizacji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Utworzenie podobnego stanowiska po miesiącu przeczy likwidacji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Reorganizacja jest procesem, a późniejsze utworzenie stanowiska o innym zakresie obowiązków nie podważa jej rzeczywistości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Gwarancje formalne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konkretyzacji przyczyny (art. 30 § 4) i brak konsultacji związkowej (art. 38 §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Przyczyna została wskazana zgodnie z praktyką; obowiązek konsultacji nie powstał wobec braku reprezentacji związkowej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Automatyzacja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Zarząd nie znał logiki systemu, więc nie mógł od wyniku odstąpić — udział był pozorny (art. 22 ust. 1 RODO)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Decyzję podjął zarząd po naradzie, więc przetwarzanie nie było wyłączne i art. 22 RODO nie ma zastosowania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Wyjaśnienie decyzji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86 ust. 1 aktu o AI nie zawiera progu wyłączności i obejmuje decyzje podejmowane na podstawie wyniku systemu z zał. III pkt 4 lit.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Obowiązki wobec systemów wysokiego ryzyka wchodzą etapami; art. 86 ust. 3 ustępuje przed prawem ustanowionym w prawie Unii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 systemu leżą poza katalogiem z art. 22³ § 1 KP, więc brak podstawy; nie dopełniono trybu z art. 22² § 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służy ocenie pracy, a nie monitoringowi w rozumieniu Kodeksu; obowiązki informacyjne dotyczą monitoringu, nie systemów oceny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Tajemnica dostawcy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86 żąda wyjaśnienia roli systemu, nie kodu; skutki nieudowodnienia obciążają pracodawcę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Ujawnienie parametrów modelu naruszyłoby tajemnicę przedsiębiorstwa osoby trzeciej, która nie jest stroną sporu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Ujawnienie mediom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wyłącza reżim art. 51–52; ochrona biegnie od zgłoszenia wewnętrznego (art. 6); art. 16 ust. 1 wyłącza odpowiedzialność za tajemnicę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Przekazano dane osobowe i korespondencję wykraczające poza to, co niezbędne do ujawnienia naruszenia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Utrata logów przy przewidywalnym sporze obciąża pracodawcę, na którym spoczywa ciężar dowodu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Trzydziestodniowa retencja była zgodna z polityką i nie narusza żadnego przepisu, bo art. 22² § 4 nie został odesłany</w:t>
            </w:r>
          </w:p>
        </w:tc>
      </w:tr>
    </w:tbl>
    <w:bookmarkEnd w:id="30"/>
    <w:bookmarkStart w:id="31" w:name="braki-faktyczne-i-dowody-rozstrzygające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Dowód, który go usuwa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Daty zdarzeń wobec etapów stosowania aktu o sztucznej inteligencji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dostępność art. 86 jako narzędzia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Chronologia zdarzeń, dokumentacja wdrożenia systemu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Dosłowna treść zgłoszenia wewnętrznego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kwalifikację przez art. 3 ust. 1 pkt 13 i zakres późniejszego przekazania mediom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 z datą wpływu, potwierdzenie przyjęcia, rejestr zgłoszeń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Marta była reprezentowana przez zakładową organizację związkową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zastosowania art. 38 § 1 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Informacja organizacji związkowej, oświadczenie pracownicy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oświadczenia o wypowiedzeniu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na gruncie art. 30 § 4 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 z datą doręczenia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obowiązków stanowiska utworzonego po miesiącu i osoba, która je objęła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rzeczywistości reorganizacji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Struktura organizacyjna przed i po, opisy stanowisk, umowa z nowym pracownikiem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spółka dysponowała dokumentacją logiki systemu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Rdzeń testu realności udziału zarządu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 z dostawcą, dokumentacja techniczna, korespondencja o odmowie ujawnienia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Protokół i czas trwania wideokonferencji zarządu oraz materiał, którym dysponował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Odróżnia decyzję od zatwierdzenia wyniku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Protokół posiedzenia, prezentacja, korespondencja przygotowawcza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Pełna lista cech wejściowych systemu i ich waga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oceny legalności przetwarzania i zasadności ratingu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 na żądanie z art. 86, dokumentacja modelu, opinia biegłego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istnieją kopie zapasowe logów u dostawcy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Przesądza, czy dowód jest bezpowrotnie utracony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 powierzenia przetwarzania, polityka kopii zapasowych, zapytanie do dostawcy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materiału przekazanego dziennikarzowi wobec zakresu 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testu niezbędności z art. 16 ust. 1 i podstawa żądania odszkodowawczego spółki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Wykaz przekazanych dokumentów, korespondencja z redakcją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i w jakiej formie poinformowano pracowników o systemie oceniającym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na gruncie art. 22² § 6–8 KP stosowanych przez art. 22³ §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Regulamin pracy, obwieszczenie, potwierdzenia odbioru informacji</w:t>
            </w:r>
          </w:p>
        </w:tc>
      </w:tr>
    </w:tbl>
    <w:bookmarkEnd w:id="31"/>
    <w:bookmarkStart w:id="32" w:name="proponowane-rozstrzygnięcie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W zakresie odwołania od wypowiedzenia: uwzględnić odwołanie i orzec o przywróceniu do pracy na poprzednich warunkach, jeżeli takie jest żądanie pracownicy. Podstawę oprzeć na dwóch niezależnych filarach: naruszeniu art. 30 § 4 KP przez brak konkretyzacji przyczyny oraz niewykazaniu przez pracodawcę nieodwetowego charakteru wypowiedzenia w trybie art. 12 ust. 3 ustawy o ochronie sygnalistów. Podnieść wprost argument z art. 45 § 3 KP przeciwko zamianie przywrócenia na odszkodowanie, kwalifikując art. 12 ust. 1 pkt 2 ustawy jako przepis szczególny dotyczący ochrony przed wypowiedzeniem — i zaznaczyć, że kwestia jest sporna, a jej pominięcie oddaje ją sądowi bez argumentacji.</w:t>
      </w:r>
    </w:p>
    <w:p>
      <w:pPr>
        <w:pStyle w:val="BodyText"/>
      </w:pPr>
      <w:r>
        <w:t xml:space="preserve">W zakresie odszkodowania z ustawy: zasądzić odszkodowanie z art. 14 w wysokości nie niższej niż przeciętne miesięczne wynagrodzenie w gospodarce narodowej w poprzednim roku, wskazując dwa odrębne działania odwetowe — obniżenie ratingu (art. 12 ust. 1 pkt 11) i wypowiedzenie (pkt 2) — oraz zaznaczając, że roszczenie z art. 14 przysługuje obok roszczeń kodeksowych, a nie zamiast nich.</w:t>
      </w:r>
    </w:p>
    <w:p>
      <w:pPr>
        <w:pStyle w:val="BodyText"/>
      </w:pPr>
      <w:r>
        <w:t xml:space="preserve">W zakresie automatyzacji: rozstrzygnięcie warunkowe o dwóch operacyjnych gałęziach. Jeżeli ustalone zostanie, że zarząd nie dysponował informacjami pozwalającymi odstąpić od wyniku systemu — uznać decyzję za opartą wyłącznie na zautomatyzowanym przetwarzaniu w rozumieniu art. 22 ust. 1 RODO, z konsekwencjami z ust. 3, w tym prawem do zakwestionowania decyzji. Jeżeli udział zarządu okaże się realny — stwierdzić, że art. 22 RODO nie ma zastosowania, i przyznać uprawnienie z art. 86 ust. 1 aktu o sztucznej inteligencji, którego przesłanki nie zawierają progu wyłączności. Zapisać wprost, że obie gałęzie prowadzą do środka, więc obrona oparta na realności udziału zarządu nie kończy sprawy, lecz zmienia podstawę.</w:t>
      </w:r>
    </w:p>
    <w:p>
      <w:pPr>
        <w:pStyle w:val="BodyText"/>
      </w:pPr>
      <w:r>
        <w:t xml:space="preserve">W zakresie monitoringu: stwierdzić, że system oceniający nie mieści się w celach z art. 22³ § 1 KP, a zatem art. 22³ § 4 nie rozciąga na niego reżimu kodeksowego — konsekwencją nie jest naruszenie trybu, lecz brak podstawy kodeksowej w ogóle. Legalność przetwarzania ocenić na gruncie RODO i przekazać ustalenia Prezesowi UODO. Rozstrzygnięcie warunkowe: jeżeli spółka twierdzi, że system stanowił monitoring w rozumieniu Kodeksu, obciążyć ją wykazaniem celu z § 1 oraz dopełnienia trybu z art. 22² § 6–8 stosowanych przez art. 22³ § 3, w tym ustalenia zasad w regulaminie pracy i poinformowania pracowników na dwa tygodnie przed uruchomieniem.</w:t>
      </w:r>
    </w:p>
    <w:p>
      <w:pPr>
        <w:pStyle w:val="BodyText"/>
      </w:pPr>
      <w:r>
        <w:t xml:space="preserve">W zakresie tajemnicy dostawcy: oddalić zarzut, że kontrola sądowa wymaga ujawnienia tajemnicy przedsiębiorstwa, wskazując, że art. 86 ust. 1 aktu o sztucznej inteligencji dotyczy roli systemu i głównych elementów decyzji, a nie parametrów modelu. Przypisać skutki nieudowodnienia spółce jako stronie obciążonej ciężarem dowodu z art. 12 ust. 3 ustawy. Nie rozstrzygać konfliktu wartości, którego rozstrzygać nie trzeba.</w:t>
      </w:r>
    </w:p>
    <w:p>
      <w:pPr>
        <w:pStyle w:val="BodyText"/>
      </w:pPr>
      <w:r>
        <w:t xml:space="preserve">W zakresie żądań spółki: oddalić żądanie zakazu publikacji w części obejmującej materiał dotyczący działania systemu; uwzględnić wyłącznie w zakresie danych osobowych osób trzecich, i to po ich indywidualnym wskazaniu przez spółkę. Żądanie odszkodowawcze rozpoznać przez art. 16 ust. 1 ustawy z zastosowaniem testu niezbędności do zakresu przekazanego materiału, a nie do samego faktu przekazania; pouczyć o uprawnieniu Marty z art. 16 ust. 2 do wystąpienia o umorzenie postępowania. Oddalić zarzut niewyczerpania ścieżki zgłoszeń jako oparty na art. 51, którego art. 53 do przekazania bezpośrednio do prasy nie stosuje.</w:t>
      </w:r>
    </w:p>
    <w:p>
      <w:pPr>
        <w:pStyle w:val="BodyText"/>
      </w:pPr>
      <w:r>
        <w:t xml:space="preserve">W zakresie zabezpieczenia dowodów: udzielić zabezpieczenia obejmującego logi systemu wraz z kopiami zapasowymi u dostawcy jako podmiotu przetwarzającego, dokumentację modelu w zakresie cech wejściowych i ich wag, protokół posiedzenia zarządu oraz pełną historię ratingu Marty. Zabezpieczenie objąć także zakazem dalszego nadpisywania danych, ponieważ sam nakaz wydania nie chroni przed upływem retencji.</w:t>
      </w:r>
    </w:p>
    <w:bookmarkEnd w:id="32"/>
    <w:bookmarkStart w:id="33" w:name="bramka-środka-naprawczego-rem-gate-pl-01"/>
    <w:p>
      <w:pPr>
        <w:pStyle w:val="Heading2"/>
      </w:pPr>
      <w:r>
        <w:t xml:space="preserve">Bramka środka naprawczego (REM-GATE) — PL-01</w:t>
      </w:r>
    </w:p>
    <w:p>
      <w:pPr>
        <w:pStyle w:val="FirstParagraph"/>
      </w:pPr>
      <w:r>
        <w:t xml:space="preserve">REM-0 próby: 4 powołania kandydujące do znacznika, 4 próby, 4 odzyskane, 0 porażek. API ELI Sejmu (</w:t>
      </w:r>
      <w:r>
        <w:rPr>
          <w:rStyle w:val="VerbatimChar"/>
        </w:rPr>
        <w:t xml:space="preserve">api.sejm.gov.pl/eli</w:t>
      </w:r>
      <w:r>
        <w:t xml:space="preserve">) wydało metadane i pełne teksty przez curl, wraz z listą tekstów jednolitych pozwalającą ustalić aktualne brzmienie Kodeksu pracy bez zgadywania numeru pozycji. Kanał EUR-Lex ponownie zastąpiony Cellarem Urzędu Publikacji UE.</w:t>
      </w:r>
    </w:p>
    <w:p>
      <w:pPr>
        <w:pStyle w:val="BodyText"/>
      </w:pPr>
      <w:r>
        <w:t xml:space="preserve">REM-1 oddalenia: 4 oddalone (kwalifikacja zgłoszenia przez art. 3 ust. 1 pkt 17; zarzut naruszenia terminu retencji z art. 22² § 4 KP; zarzut spółki o niewyczerpanie ścieżki zgłoszeń; żądanie zakazu publikacji w całości), 4 sparowane alternatywy rozwinięte na tę samą głębokość (kwalifikacja przez pkt 13; skutki utraty dowodu przez ciężar dowodu z art. 12 ust. 3; ochrona od zgłoszenia wewnętrznego na podstawie art. 6; zakaz ograniczony do danych osób trzecich).</w:t>
      </w:r>
    </w:p>
    <w:p>
      <w:pPr>
        <w:pStyle w:val="BodyText"/>
      </w:pPr>
      <w:r>
        <w:t xml:space="preserve">REM-2 braki: 11 pozycji ⬛, 11 rozstrzygnięć warunkowych, 0 blokad. Pozycja o datach zdarzeń wobec etapów stosowania aktu o sztucznej inteligencji jest najbliższa blokadzie i nią nie jest, ponieważ przy niedostępności art. 86 analiza wraca do art. 22 RODO, a przy dostępności obie normy działają równolegle.</w:t>
      </w:r>
    </w:p>
    <w:p>
      <w:pPr>
        <w:pStyle w:val="BodyText"/>
      </w:pPr>
      <w:r>
        <w:t xml:space="preserve">REM-3 instrumenty o niższej mocy: brak. Cała argumentacja spoczywa na ustawach i rozporządzeniach unijnych zweryfikowanych na RZĘDZIE 1.</w:t>
      </w:r>
    </w:p>
    <w:p>
      <w:pPr>
        <w:pStyle w:val="BodyText"/>
      </w:pPr>
      <w:r>
        <w:t xml:space="preserve">REM-4 pokrycie: ochrona zgłoszenia i odwet — PEŁNA; gwarancje wypowiedzenia — PEŁNA; automatyzacja i wyjaśnienie decyzji — PEŁNA; tajemnica dostawcy — PEŁNA; ujawnienie mediom i zabezpieczenie dowodów — PEŁNA; odpowiedzialność administracyjna spółki wobec kandydatek jako osób, których dane dotyczą — CIENKA i deklaruję to wprost: oś dotknięta wyłącznie przez wskazanie właściwości Prezesa UODO, bez analizy podstaw przetwarzania i oceny skutków.</w:t>
      </w:r>
    </w:p>
    <w:bookmarkEnd w:id="33"/>
    <w:bookmarkStart w:id="34" w:name="zweryfikowane-pozycje-źródłowe-pl-01"/>
    <w:p>
      <w:pPr>
        <w:pStyle w:val="Heading2"/>
      </w:pPr>
      <w:r>
        <w:t xml:space="preserve">Zweryfikowane pozycje źródłowe (PL-01)</w:t>
      </w:r>
    </w:p>
    <w:p>
      <w:pPr>
        <w:pStyle w:val="FirstParagraph"/>
      </w:pPr>
      <w:r>
        <w:t xml:space="preserve">Ustawa z dnia 14 czerwca 2024 r. o ochronie sygnalistów, Dz.U. 2024 poz. 928, status: obowiązujący — sprawdzono art. 3 ust. 1 pkt 1–17 i ust. 2, art. 4 ust. 1, art. 5 ust. 1–4, art. 6, art. 7 ust. 1–2, art. 9, art. 10 ust. 1–2, art. 11, art. 12 ust. 1 pkt 1–21 oraz ust. 2–3, art. 13 ust. 1–2, art. 14, art. 15, art. 16 ust. 1–3, art. 51 ust. 1–2, art. 52, art. 53. ✅ [VER: api.sejm.gov.pl/eli, curl 200, pełny tekst PDF, RZĄD 1, 2026-09-06]</w:t>
      </w:r>
    </w:p>
    <w:p>
      <w:pPr>
        <w:pStyle w:val="BodyText"/>
      </w:pPr>
      <w:r>
        <w:t xml:space="preserve">Ustawa z dnia 26 czerwca 1974 r. — Kodeks pracy, tekst jednolity Dz.U. 2025 poz. 277 (ustalony z listy tekstów jednolitych w rejestrze ELI) — sprawdzono art. 22² § 1–10, art. 22³ § 1–4, art. 30 § 3–5, art. 38 § 1–5, art. 39, art. 44, art. 45 § 1–3, art. 47, art. 47¹. ✅ [VER: api.sejm.gov.pl/eli, curl 200, pełny tekst PDF, RZĄD 1, 2026-09-06]</w:t>
      </w:r>
    </w:p>
    <w:p>
      <w:pPr>
        <w:pStyle w:val="BodyText"/>
      </w:pPr>
      <w:r>
        <w:t xml:space="preserve">Rozporządzenie (UE) 2016/679 (RODO), CELEX 32016R0679 — sprawdzono art. 22 ust. 1–4 oraz art. 23 ust. 1. ✅ [VER: publications.europa.eu, curl 200, pełny tekst polski, RZĄD 1, 2026-09-06]</w:t>
      </w:r>
    </w:p>
    <w:p>
      <w:pPr>
        <w:pStyle w:val="BodyText"/>
      </w:pPr>
      <w:r>
        <w:t xml:space="preserve">Rozporządzenie (UE) 2024/1689 (akt w sprawie sztucznej inteligencji), CELEX 32024R1689 — sprawdzono art. 86 ust. 1–3, art. 87 oraz załącznik III pkt 4 lit. a–b, a także motywy dotyczące relacji do krajowego prawa pracy. ✅ [VER: publications.europa.eu, curl 200, pełny tekst polski, RZĄD 1, 2026-09-06]</w:t>
      </w:r>
    </w:p>
    <w:p>
      <w:pPr>
        <w:pStyle w:val="BodyText"/>
      </w:pPr>
      <w:r>
        <w:t xml:space="preserve">Nie przypisano jednostkom redakcyjnym i przedstawiono jako standard doktrynalny: kryteria oceny realności udziału człowieka w decyzji wspieranej systemem zautomatyzowanym; reguły procesowe oceny skutków niemożności przedstawienia dowodu przez stronę obciążoną ciężarem dowodu; przesłanki zabezpieczenia dowodu i zabezpieczenia roszczeń niepieniężnych; kwalifikacja ustawy o ochronie sygnalistów jako przepisu szczególnego w rozumieniu art. 45 § 3 KP; standard oceny uprzedniego zakazu publikacji materiału prasowego. Wymagają samodzielnego potwierdzenia w tekstach źródłowych i w orzecznictwie.</w:t>
      </w:r>
    </w:p>
    <w:bookmarkEnd w:id="34"/>
    <w:bookmarkEnd w:id="35"/>
    <w:bookmarkStart w:id="36" w:name="nota-do-partii-10"/>
    <w:p>
      <w:pPr>
        <w:pStyle w:val="Heading1"/>
      </w:pPr>
      <w:r>
        <w:t xml:space="preserve">Nota do partii 10</w:t>
      </w:r>
    </w:p>
    <w:p>
      <w:pPr>
        <w:pStyle w:val="FirstParagraph"/>
      </w:pPr>
      <w:r>
        <w:t xml:space="preserve">Trzy obserwacje z pierwszego kazusu części polskiej.</w:t>
      </w:r>
    </w:p>
    <w:p>
      <w:pPr>
        <w:pStyle w:val="BodyText"/>
      </w:pPr>
      <w:r>
        <w:t xml:space="preserve">Zamknięty katalog dziedzin zadziałał tak samo jak nagłówek katalogu w kazusach międzynarodowych. Art. 3 ust. 1 ustawy o sygnalistach wymienia siedemnaście dziedzin, a dyskryminacja w rekrutacji nie jest żadną z nich wprost. Punkt 17, po który sięga się odruchowo jako po klauzulę domykającą, ma własny warunek podmiotowy — dotyczy stosunków jednostki z organami władzy publicznej. Ochrona wchodzi przez punkt 13, czyli przez wątek ochrony danych, i tak trzeba zbudować zgłoszenie oraz pismo. Jest to ustalenie, którego nie da się odtworzyć z ogólnej wiedzy o tym, „co chroni ustawa o sygnalistach”.</w:t>
      </w:r>
    </w:p>
    <w:p>
      <w:pPr>
        <w:pStyle w:val="BodyText"/>
      </w:pPr>
      <w:r>
        <w:t xml:space="preserve">Odesłanie niepełne jest odrębną klasą pułapki i w tej sprawie występuje dwukrotnie. Art. 22³ § 3 KP odsyła do art. 22² § 6–10, pomijając § 3–5, czyli cały reżim retencji nagrań i jej przedłużenia na czas postępowania. Zarzut wobec pracodawcy oparty na naruszeniu terminu retencji upada więc na braku odesłania — a właściwym narzędziem jest rozkład ciężaru dowodu. Symetrycznie art. 22³ § 4 rozciąga reżim na inne formy monitoringu tylko w granicach celów z § 1, czego skutkiem jest nie wadliwość podstawy, lecz jej brak.</w:t>
      </w:r>
    </w:p>
    <w:p>
      <w:pPr>
        <w:pStyle w:val="BodyText"/>
      </w:pPr>
      <w:r>
        <w:t xml:space="preserve">Najciekawsza w tym kazusie jest asymetria między dwoma reżimami unijnymi. Art. 22 RODO ma próg wyłączności zautomatyzowanego przetwarzania, a art. 86 aktu o sztucznej inteligencji go nie ma. Im mocniej pracodawca dowodzi, że decyzję podjął zarząd, tym pewniej wychodzi spod pierwszego przepisu i wchodzi pod drugi. Rozpoznanie tej asymetrii zamienia obronę przeciwnika w podstawę własnego żądania — i to jest w tej sprawie najwyżej punktowany ruch.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kazusów wieloaspektowych — arkusz odpowiedzi</dc:title>
  <dc:creator/>
  <cp:keywords/>
  <dcterms:created xsi:type="dcterms:W3CDTF">2026-09-07T11:32:27Z</dcterms:created>
  <dcterms:modified xsi:type="dcterms:W3CDTF">2026-09-07T11:32:27Z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Partia 10: PL-01 (otwarcie części polskiej)</vt:lpwstr>
  </property>
</Properties>
</file>