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Bank</w:t>
      </w:r>
      <w:r>
        <w:t xml:space="preserve"> </w:t>
      </w:r>
      <w:r>
        <w:t xml:space="preserve">kazusów</w:t>
      </w:r>
      <w:r>
        <w:t xml:space="preserve"> </w:t>
      </w:r>
      <w:r>
        <w:t xml:space="preserve">wieloaspektowych</w:t>
      </w:r>
      <w:r>
        <w:t xml:space="preserve"> </w:t>
      </w:r>
      <w:r>
        <w:t xml:space="preserve">—</w:t>
      </w:r>
      <w:r>
        <w:t xml:space="preserve"> </w:t>
      </w:r>
      <w:r>
        <w:t xml:space="preserve">arkusz</w:t>
      </w:r>
      <w:r>
        <w:t xml:space="preserve"> </w:t>
      </w:r>
      <w:r>
        <w:t xml:space="preserve">odpowiedzi</w:t>
      </w:r>
    </w:p>
    <w:p>
      <w:pPr>
        <w:pStyle w:val="Subtitle"/>
      </w:pPr>
      <w:r>
        <w:t xml:space="preserve">Partia</w:t>
      </w:r>
      <w:r>
        <w:t xml:space="preserve"> </w:t>
      </w:r>
      <w:r>
        <w:t xml:space="preserve">9:</w:t>
      </w:r>
      <w:r>
        <w:t xml:space="preserve"> </w:t>
      </w:r>
      <w:r>
        <w:t xml:space="preserve">K-07</w:t>
      </w:r>
      <w:r>
        <w:t xml:space="preserve"> </w:t>
      </w:r>
      <w:r>
        <w:t xml:space="preserve">(zamknięcie</w:t>
      </w:r>
      <w:r>
        <w:t xml:space="preserve"> </w:t>
      </w:r>
      <w:r>
        <w:t xml:space="preserve">części</w:t>
      </w:r>
      <w:r>
        <w:t xml:space="preserve"> </w:t>
      </w:r>
      <w:r>
        <w:t xml:space="preserve">międzynarodowej)</w:t>
      </w:r>
    </w:p>
    <w:bookmarkStart w:id="20" w:name="metryka-arkusza"/>
    <w:p>
      <w:pPr>
        <w:pStyle w:val="Heading1"/>
      </w:pPr>
      <w:r>
        <w:t xml:space="preserve">Metryka arkusza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Pozycja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partii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 (Anthropic)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 skillami — router prawny v3.41, ścieżka UP-5, PRIMARY DR-14; bramki MG-1, MG-2, CN-GATE, REM-GATE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Weryfikacja źródeł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Cellar Urzędu Publikacji UE (curl, RZĄD 1) — Konwencja o różnorodności biologicznej i Protokół z Nagoi; depozytariusz UNTS (curl, RZĄD 1) — konwencja waszyngtońska o handlu gatunkami zagrożonymi; cbd.int (curl, RZĄD 1) — decyzja COP16 nr 16/2; un.org (curl, RZĄD 1) — deklaracja o prawach ludów tubylczych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sporządzenia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września 2026 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 zamyka część międzynarodową banku kazusów (K-01 – K-07)</w:t>
            </w:r>
          </w:p>
        </w:tc>
      </w:tr>
    </w:tbl>
    <w:bookmarkEnd w:id="20"/>
    <w:bookmarkStart w:id="36" w:name="k-07-anecoyon-przeciwko-ridusowi"/>
    <w:p>
      <w:pPr>
        <w:pStyle w:val="Heading1"/>
      </w:pPr>
      <w:r>
        <w:t xml:space="preserve">K-07 Anecoyon przeciwko Ridusowi</w:t>
      </w:r>
    </w:p>
    <w:bookmarkStart w:id="21" w:name="teza-wstępna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Kazus wygląda na spór o podział korzyści z zasobu genetycznego, a rozstrzyga się na dwóch definicjach z art. 2 Konwencji o różnorodności biologicznej. Obie są progowe, a jedna jest sformułowana w czasie teraźniejszym — i to ona przesądza sprawę.</w:t>
      </w:r>
    </w:p>
    <w:p>
      <w:pPr>
        <w:pStyle w:val="BodyText"/>
      </w:pPr>
      <w:r>
        <w:t xml:space="preserve">Pierwsza. „Materiał genetyczny” oznacza jakikolwiek materiał roślinny, zwierzęcy, mikrobiologiczny lub innego pochodzenia zawierający funkcjonalne jednostki dziedziczności, a „zasoby genetyczne” to materiał genetyczny posiadający faktyczną lub potencjalną wartość. Próg jest jakościowy: nie wystarczy przynależność rodzajowa do materiału biologicznego, konieczna jest obecność funkcjonalnych jednostek dziedziczności. Kazus mówi o fragmentach DNA pozyskanych ze skamieniałości i uzupełnionych danymi współczesnego gatunku spokrewnionego — a materiał szczątkowy, degradowany przez czas, może tego progu nie spełniać.</w:t>
      </w:r>
    </w:p>
    <w:p>
      <w:pPr>
        <w:pStyle w:val="BodyText"/>
      </w:pPr>
      <w:r>
        <w:t xml:space="preserve">Druga i rozstrzygająca. „Kraj pochodzenia zasobów genetycznych” oznacza kraj, który</w:t>
      </w:r>
      <w:r>
        <w:t xml:space="preserve"> </w:t>
      </w:r>
      <w:r>
        <w:rPr>
          <w:bCs/>
          <w:b/>
        </w:rPr>
        <w:t xml:space="preserve">posiada</w:t>
      </w:r>
      <w:r>
        <w:t xml:space="preserve"> </w:t>
      </w:r>
      <w:r>
        <w:t xml:space="preserve">te zasoby genetyczne w warunkach in-situ, a „warunki in-situ” to warunki, w których zasoby genetyczne</w:t>
      </w:r>
      <w:r>
        <w:t xml:space="preserve"> </w:t>
      </w:r>
      <w:r>
        <w:rPr>
          <w:bCs/>
          <w:b/>
        </w:rPr>
        <w:t xml:space="preserve">występują</w:t>
      </w:r>
      <w:r>
        <w:t xml:space="preserve"> </w:t>
      </w:r>
      <w:r>
        <w:t xml:space="preserve">w ekosystemach lub naturalnych siedliskach, a w przypadku gatunków udomowionych lub hodowlanych — w otoczeniu, w którym rozwinęły swoje charakterystyczne właściwości. Obie definicje operują czasem teraźniejszym. Gatunek wymarły nie występuje w żadnym ekosystemie ani siedlisku, więc żaden kraj nie posiada jego zasobów genetycznych w warunkach in-situ, a zatem żaden kraj nie jest jego krajem pochodzenia w rozumieniu Konwencji. Art. 15 ust. 3 zamyka drogę definitywnie: za zasoby genetyczne dostarczane przez Umawiającą się Stronę uważa się wyłącznie zasoby dostarczane przez Strony będące krajami pochodzenia albo przez Strony, które pozyskały zasoby zgodnie z Konwencją. Roszczenie Anecoyonu oparte wprost na art. 15 upada — nie dlatego, że jest słabe, lecz dlatego, że norma nie obejmuje tego stanu.</w:t>
      </w:r>
    </w:p>
    <w:p>
      <w:pPr>
        <w:pStyle w:val="BodyText"/>
      </w:pPr>
      <w:r>
        <w:t xml:space="preserve">Ustalenie porządkujące: to przenosi sprawę, a nie ją kończy, i przenosi ją do miejsca, które sam Protokół z Nagoi przewidział. Art. 10 Protokołu nakazuje Stronom rozważyć wprowadzenie globalnego wielostronnego mechanizmu podziału korzyści właśnie dla zasobów genetycznych i związanej z nimi wiedzy tradycyjnej występujących w sytuacjach transgranicznych</w:t>
      </w:r>
      <w:r>
        <w:t xml:space="preserve"> </w:t>
      </w:r>
      <w:r>
        <w:rPr>
          <w:bCs/>
          <w:b/>
        </w:rPr>
        <w:t xml:space="preserve">lub dla których nie jest możliwe udzielenie lub uzyskanie uprzedniej świadomej zgody</w:t>
      </w:r>
      <w:r>
        <w:t xml:space="preserve">. Kazus opisuje obie te sytuacje jednocześnie: historyczny zasięg pantery obejmował oba terytoria, a uprzedniej świadomej zgody nie da się uzyskać od kraju pochodzenia, którego prawnie nie ma. Jest to przypadek podręcznikowy dla art. 10 i to on, a nie art. 15, jest właściwą osią roszczenia o udział w przychodach.</w:t>
      </w:r>
    </w:p>
    <w:bookmarkEnd w:id="21"/>
    <w:bookmarkStart w:id="22" w:name="mapa-jurysdykcji-źródeł-i-kompetencji"/>
    <w:p>
      <w:pPr>
        <w:pStyle w:val="Heading2"/>
      </w:pPr>
      <w:r>
        <w:t xml:space="preserve">Mapa jurysdykcji, źródeł i kompetencji</w:t>
      </w:r>
    </w:p>
    <w:p>
      <w:pPr>
        <w:pStyle w:val="FirstParagraph"/>
      </w:pPr>
      <w:r>
        <w:t xml:space="preserve">Fora i ich zakres. Kazus opisuje spór dwóch państw, ale roszczenia rozkładają się na trzy płaszczyzny o różnych forach. Płaszczyzna międzypaństwowa dotyczy zobowiązań z Konwencji i Protokołu i wymaga tytułu jurysdykcyjnego, którego kazus nie precyzuje. Płaszczyzna kontraktowa dotyczy umowy przekazania skamieniałości do muzeum i podlega prawu właściwemu dla tej umowy oraz sądowi wskazanemu w niej albo właściwemu według reguł kolizyjnych. Płaszczyzna administracyjna dotyczy reintrodukcji i handlu okazami i toczy się przed organami krajowymi obu państw oraz — w zakresie handlu — w reżimie konwencji waszyngtońskiej. Roszczenia społeczności rdzennej nie mają w tym układzie własnego forum międzynarodowego; mogą być podnoszone przez państwo albo w postępowaniach krajowych.</w:t>
      </w:r>
    </w:p>
    <w:p>
      <w:pPr>
        <w:pStyle w:val="BodyText"/>
      </w:pPr>
      <w:r>
        <w:t xml:space="preserve">Reżimy i ich moc wiążąca. Konwencja o różnorodności biologicznej i Protokół z Nagoi wiążą państwa, które są ich stronami. Decyzja Konferencji Stron numer 16/2 z 1 listopada 2024 r. jest aktem organu traktatowego, nie traktatem; jej modalność jest zachęcająca — mówi, że użytkownicy „powinni” wnosić wkład, podaje stawki jako indykatywne i odsyła ustalenie progów i stawek do siedemnastego posiedzenia Konferencji Stron. Deklaracja Narodów Zjednoczonych o prawach ludów tubylczych nie jest instrumentem wiążącym. Konwencja waszyngtońska wiąże swoje strony i działa w płaszczyźnie handlu, nie podziału korzyści.</w:t>
      </w:r>
    </w:p>
    <w:p>
      <w:pPr>
        <w:pStyle w:val="BodyText"/>
      </w:pPr>
      <w:r>
        <w:t xml:space="preserve">Cztery warstwy, których nie wolno łączyć. Dostęp do zasobu (kiedy i na jakiej podstawie pozyskano skamieniałość), wykorzystanie zasobu (sekwencjonowanie i prace badawczo-rozwojowe prowadzone współcześnie), status prawny wytworzonego organizmu oraz obrót nim i licencjonowanie technologii to cztery odrębne pytania. Zgodne z prawem pozyskanie nie legalizuje każdego późniejszego wykorzystania; brak podstawy do roszczenia o podział korzyści nie przesądza o dopuszczalności reintrodukcji; a status gatunkowy odtworzonego zwierzęcia jest pytaniem odrębnym od obu poprzednich.</w:t>
      </w:r>
    </w:p>
    <w:bookmarkEnd w:id="22"/>
    <w:bookmarkStart w:id="23" w:name="bramki-weryfikacyjne-mg-1-mg-2-cn-gate"/>
    <w:p>
      <w:pPr>
        <w:pStyle w:val="Heading2"/>
      </w:pPr>
      <w:r>
        <w:t xml:space="preserve">Bramki weryfikacyjne (MG-1, MG-2, CN-GATE)</w:t>
      </w:r>
    </w:p>
    <w:p>
      <w:pPr>
        <w:pStyle w:val="FirstParagraph"/>
      </w:pPr>
      <w:r>
        <w:t xml:space="preserve">MG-1 — ratyfikacja, zakres czasowy i podmiotowy. ⬛ Kazus nie podaje, czy Anecoyon i Ridus są stronami Konwencji o różnorodności biologicznej i Protokołu z Nagoi ani od kiedy każdy z tych instrumentów wiąże każde z nich; oba mają odrębne listy stron, a Protokół wszedł w życie znacznie później niż Konwencja. ⬛ Nie podaje, czy są stronami konwencji waszyngtońskiej. ⬛ Nie podaje, w którym państwie znajduje się muzeum przechowujące skamieniałość — a od tego zależy, czy w ogóle występuje „kraj dostarczający” w rozumieniu art. 2 Konwencji.</w:t>
      </w:r>
    </w:p>
    <w:p>
      <w:pPr>
        <w:pStyle w:val="BodyText"/>
      </w:pPr>
      <w:r>
        <w:t xml:space="preserve">Retroakcja jest tu kontrolą obowiązkową i przesądzającą, a nie formalną. Skamieniałość znaleziono „dekady wcześniej” i przekazano do muzeum na podstawie umowy. Art. 28 Konwencji wiedeńskiej o prawie traktatów stanowi, że jeżeli odmienny zamiar nie wynika z traktatu ani nie jest ustalony w inny sposób, jego postanowienia nie wiążą strony w odniesieniu do czynu lub faktu, który miał miejsce, ani sytuacji, która przestała istnieć przed datą wejścia traktatu w życie dla tej strony. ⬛ Kazus nie podaje daty przekazania wobec dat wejścia w życie obu instrumentów. Jeżeli przekazanie poprzedza wejście w życie Konwencji dla obu państw, wymóg uprzedniej świadomej zgody z art. 15 ust. 5 nie mógł powstać wobec tego zdarzenia.</w:t>
      </w:r>
    </w:p>
    <w:p>
      <w:pPr>
        <w:pStyle w:val="BodyText"/>
      </w:pPr>
      <w:r>
        <w:t xml:space="preserve">Rozróżnienie, którego nie wolno tu przeoczyć: dostęp i wykorzystanie są dwoma odrębnymi zdarzeniami w czasie. Sekwencjonowanie i prace nad odtworzeniem przeprowadzono współcześnie. Art. 2 lit. c Protokołu definiuje wykorzystanie zasobów genetycznych jako prowadzenie prac badawczo-rozwojowych nad genetycznym lub biochemicznym składem zasobów genetycznych, w tym przez zastosowanie biotechnologii. Powstaje więc realne pytanie, czy Protokół obejmuje nowe wykorzystanie materiału pozyskanego legalnie przed jego wejściem w życie. Tekst tego nie rozstrzyga: art. 3 wyznacza zakres przez odesłanie do zasobów objętych zakresem art. 15 Konwencji, a art. 15 reguluje dostęp. Jest to spór realny i trzeba go przedstawić jako spór, a nie jako rozstrzygnięcie.</w:t>
      </w:r>
    </w:p>
    <w:p>
      <w:pPr>
        <w:pStyle w:val="BodyText"/>
      </w:pPr>
      <w:r>
        <w:t xml:space="preserve">MG-2 — wykładnia i krawędzie jednostek.</w:t>
      </w:r>
    </w:p>
    <w:p>
      <w:pPr>
        <w:pStyle w:val="BodyText"/>
      </w:pPr>
      <w:r>
        <w:t xml:space="preserve">S1 definicje: 4 trafienia, z czego dwa rozstrzygające. Art. 2 Konwencji — „materiał genetyczny” z progiem funkcjonalnych jednostek dziedziczności (próg jakościowy). Art. 2 Konwencji — „kraj pochodzenia” i „warunki in-situ” w czasie teraźniejszym (trafienie rozstrzygające dla zagadnienia pierwszego i trzeciego). Art. 2 Konwencji — „kraj dostarczający zasoby genetyczne” oznacza kraj dostarczający zasoby ze źródeł in-situ albo ze źródeł ex-situ, które mogą, ale nie muszą pochodzić z tego kraju; definicja rozłączna z pojęciem kraju pochodzenia i obejmująca zbiory muzealne. Art. 2 lit. e Protokołu — „pochodna” oznacza naturalnie występujący związek chemiczny otrzymany na skutek ekspresji genów lub metabolizmu zasobów biologicznych lub genetycznych, nawet jeżeli nie zawiera funkcjonalnej jednostki dziedziczenia; jednostka pokazuje, że reżim potrafi sięgać poza materiał zawierający takie jednostki, ale czyni to wyłącznie wobec związków chemicznych naturalnie występujących.</w:t>
      </w:r>
    </w:p>
    <w:p>
      <w:pPr>
        <w:pStyle w:val="BodyText"/>
      </w:pPr>
      <w:r>
        <w:t xml:space="preserve">S2 krawędzie: 3 trafienia. Art. 15 ust. 3 Konwencji — klauzula zawężająca umieszczona w środku artykułu o dostępie, a wyznaczająca zakres podmiotowy całego reżimu, w tym art. 16 i 19. Art. 4 ust. 4 Protokołu — jeżeli ma zastosowanie specjalistyczny instrument międzynarodowy o dostępie i podziale korzyści, spójny z celami Konwencji i Protokołu, Protokół nie ma zastosowania do stron tego instrumentu w zakresie objętych nim zasobów; klauzula ustępowania położona na końcu artykułu o relacjach z innymi umowami. Art. XVI ust. 1 konwencji waszyngtońskiej — uprawnienie Strony do jednostronnego zgłoszenia gatunku do załącznika III, ale wyłącznie takiego, który identyfikuje jako podlegający regulacji w ramach jej jurysdykcji; warunek podmiotowy zapisany w zdaniu wprowadzającym, łatwy do pominięcia przy czytaniu przepisu jako narzędzia samopomocy.</w:t>
      </w:r>
    </w:p>
    <w:p>
      <w:pPr>
        <w:pStyle w:val="BodyText"/>
      </w:pPr>
      <w:r>
        <w:t xml:space="preserve">S3 instrumenty powiązane i mechanizmy późniejsze: 3 trafienia. Art. 10 Protokołu — globalny wielostronny mechanizm podziału korzyści dla sytuacji transgranicznych oraz dla zasobów, dla których nie jest możliwe udzielenie lub uzyskanie uprzedniej świadomej zgody. Art. 11 ust. 1 Protokołu — współpraca transgraniczna, ale wyłącznie „w przypadkach gdy te same zasoby genetyczne znajdują się in-situ na terytorium więcej niż jednej Strony”; ta sama konstrukcja czasu teraźniejszego co w definicji kraju pochodzenia, więc wobec gatunku wymarłego przepis nie działa i art. 10 pozostaje jedyną drogą. Decyzja Konferencji Stron numer 16/2 ustanawiająca wielostronny mechanizm podziału korzyści z wykorzystania cyfrowej informacji sekwencyjnej wraz z funduszem globalnym — ⚑ samo ustanowienie odrębnego mechanizmu dla tej kategorii jest argumentem, że reżim bazowy jej nie obejmował, ale decyzja zawiera wprost zastrzeżenie przeciwne i obie strony tego argumentu trzeba przedstawić.</w:t>
      </w:r>
    </w:p>
    <w:p>
      <w:pPr>
        <w:pStyle w:val="BodyText"/>
      </w:pPr>
      <w:r>
        <w:t xml:space="preserve">S4 nowelizacje i reżim przejściowy: 1 trafienie. Protokół z Nagoi jest instrumentem wdrażającym postanowienia Konwencji o dostępie i podziale korzyści (art. 4 ust. 4 zdanie pierwsze) i wiąże wyłącznie państwa, które go ratyfikowały — państwo może być stroną Konwencji i nie być stroną Protokołu, co zmienia dostępny katalog obowiązków.</w:t>
      </w:r>
    </w:p>
    <w:p>
      <w:pPr>
        <w:pStyle w:val="BodyText"/>
      </w:pPr>
      <w:r>
        <w:t xml:space="preserve">CN-GATE — norma centralna per oś sporu.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Oś sporu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centralna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 czas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CN-2 podmiot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CN-3 przedmiot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Roszczenie o podział korzyści z zasobu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ust. 7 w zw. z ust. 3 Konwencji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data przekazania wobec wejścia w życie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brak kraju pochodzenia, bo gatunek nie występuje in-situ nigdzie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Roszczenie zastępcze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Protokołu z Nagoi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sytuacja transgraniczna i niemożność uzyskania zgody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Kwalifikacja materiału ze skamieniałości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 Konwencji, definicja materiału genetycznego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czy fragmenty zawierały funkcjonalne jednostki dziedziczności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Uprzednia świadoma zgoda na dostęp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ust. 5 Konwencji i art. 6 ust. 1 Protokołu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retroakcja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obowiązek adresowany wobec Strony dostarczającej będącej krajem pochodzenia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Wykorzystanie materiału pozyskanego wcześniej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 lit. c w zw. z art. 3 Protokołu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tekst nie rozstrzyga zakresu czasowego wykorzystania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Cyfrowa informacja sekwencyjna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 Konwencji, definicja materiału genetycznego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definicja wymaga materiału, a sekwencja cyfrowa materiałem nie jest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Cyfrowa informacja sekwencyjna — reżim zastępczy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decyzja COP16 nr 16/2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instrument o modalności zachęcającej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Zgoda społeczności na dostęp do wiedzy tradycyjnej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 Protokołu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nie sięgnięto po wiedzę tradycyjną o właściwościach zasobu; znaczenie duchowe nie jest taką wiedzą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Prawa społeczności — reżim zastępczy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19 i art. 32 ust. 2 deklaracji ONZ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reintrodukcja jako środek administracyjny i projekt dotyczący ziem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Naruszenie umowy muzealnej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prawo właściwe dla umowy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umowa nie przewidywała sekwencjonowania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Kontrola obrotu okazami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XVI ust. 1 konwencji waszyngtońskiej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warunek regulacji w ramach jurysdykcji Anecoyonu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warunkowo — dopiero po reintrodukcji na jego terytorium</w:t>
            </w:r>
          </w:p>
        </w:tc>
      </w:tr>
    </w:tbl>
    <w:p>
      <w:pPr>
        <w:pStyle w:val="BodyText"/>
      </w:pPr>
      <w:r>
        <w:t xml:space="preserve">Cztery wyniki „NIE” są rozstrzygające i przenoszą analizę na normy zastępcze: art. 10 Protokołu zamiast art. 15 Konwencji, decyzja 16/2 zamiast definicji materiału genetycznego, art. 19 i 32 ust. 2 deklaracji zamiast art. 7 Protokołu. Sześć ⬛ przechodzi do REM-GATE jako rozstrzygnięcia warunkowe.</w:t>
      </w:r>
    </w:p>
    <w:bookmarkEnd w:id="23"/>
    <w:bookmarkStart w:id="30" w:name="analiza-materialna-według-zagadnień"/>
    <w:p>
      <w:pPr>
        <w:pStyle w:val="Heading2"/>
      </w:pPr>
      <w:r>
        <w:t xml:space="preserve">Analiza materialna według zagadnień</w:t>
      </w:r>
    </w:p>
    <w:bookmarkStart w:id="24" w:name="Xcb457cc6fc6e0eeb6ec12a7071ea23938878c2b"/>
    <w:p>
      <w:pPr>
        <w:pStyle w:val="Heading3"/>
      </w:pPr>
      <w:r>
        <w:t xml:space="preserve">Zagadnienie 1: czy DNA ze skamieniałości jest zasobem genetycznym objętym reżimem dostępu i podziału korzyści</w:t>
      </w:r>
    </w:p>
    <w:p>
      <w:pPr>
        <w:pStyle w:val="FirstParagraph"/>
      </w:pPr>
      <w:r>
        <w:t xml:space="preserve">Pytanie rozpada się na trzy, z których każde może samodzielnie zamknąć drogę Anecoyonowi, a odpowiedź „tak” na wszystkie trzy jest konieczna, by ją otworzyć.</w:t>
      </w:r>
    </w:p>
    <w:p>
      <w:pPr>
        <w:pStyle w:val="BodyText"/>
      </w:pPr>
      <w:r>
        <w:t xml:space="preserve">Czy materiał spełnia próg definicyjny. Art. 2 Konwencji wymaga, by materiał genetyczny zawierał funkcjonalne jednostki dziedziczności. Jest to wymóg cechy jakościowej, a nie przynależności rodzajowej — i właśnie dlatego przy materiale kopalnym nie jest formalnością. Kazus podaje, że naukowcy pozyskali „fragmenty DNA” i że cyfrową sekwencję uzupełniono danymi współczesnego gatunku spokrewnionego. Uzupełnienie jest tu informacją znaczącą: sięgnięto po nie dlatego, że materiał kopalny sam w sobie nie wystarczał. ⬛ Rozstrzygnięcie warunkowe: jeżeli fragmenty zawierały funkcjonalne jednostki dziedziczności, próg jest spełniony i badanie idzie dalej; jeżeli były na tyle zdegradowane, że pełniły wyłącznie funkcję szablonu informacyjnego, materiał nie jest materiałem genetycznym w rozumieniu Konwencji, a cały reżim dostępu i podziału korzyści odpada u podstawy.</w:t>
      </w:r>
    </w:p>
    <w:p>
      <w:pPr>
        <w:pStyle w:val="BodyText"/>
      </w:pPr>
      <w:r>
        <w:t xml:space="preserve">Czy istnieje kraj pochodzenia. Nie istnieje i jest to ustalenie tekstowe, nie ocenne. Kraj pochodzenia to kraj, który posiada zasoby genetyczne w warunkach in-situ, a warunki in-situ to warunki, w których zasoby występują w ekosystemach lub naturalnych siedliskach. Oba przepisy operują czasem teraźniejszym i opisują stan aktualny, nie historyczny. Gatunek wymarły nie występuje nigdzie, więc nie ma kraju, który by go posiadał w tych warunkach. Konsekwencja jest sformułowana wprost w art. 15 ust. 3: za zasoby dostarczane przez Umawiającą się Stronę uważa się wyłącznie zasoby dostarczane przez Strony będące krajami pochodzenia albo przez Strony, które pozyskały zasoby zgodnie z Konwencją. Anecoyon nie mieści się w pierwszej kategorii, a do drugiej nie aspiruje, bo nie twierdzi, że sam dostarczył materiał — twierdzi, że materiał pochodzi z jego terytorium.</w:t>
      </w:r>
    </w:p>
    <w:p>
      <w:pPr>
        <w:pStyle w:val="BodyText"/>
      </w:pPr>
      <w:r>
        <w:t xml:space="preserve">Trzeba przy tym uczciwie zamknąć drogę, którą Anecoyon będzie próbował otworzyć. Definicja „kraju dostarczającego zasoby genetyczne” obejmuje kraj dostarczający zasoby ze źródeł ex-situ, które mogą, ale nie muszą pochodzić z tego kraju. Kategoria ta obejmuje więc państwo muzeum i pokazuje, że reżim widzi zbiory ex-situ. Ale to nie pomaga Anecoyonowi z dwóch powodów: po pierwsze, dostarczającym byłoby państwo muzeum, nie on; po drugie, art. 15 ust. 3 i art. 5 ust. 1 Protokołu wiążą obowiązek podziału korzyści z krajem pochodzenia albo ze Stroną, która nabyła zasoby zgodnie z Konwencją — a nabycie „zgodnie z Konwencją” zakłada, że nastąpiło po jej wejściu w życie i w jej trybie, czego przekazanie sprzed dekad nie spełnia.</w:t>
      </w:r>
    </w:p>
    <w:p>
      <w:pPr>
        <w:pStyle w:val="BodyText"/>
      </w:pPr>
      <w:r>
        <w:t xml:space="preserve">Czy reżim obejmuje zdarzenie w czasie. Tu leży spór realny, którego tekst nie rozstrzyga, i trzeba go przedstawić jako spór. Konwencja i Protokół regulują dostęp; Protokół definiuje wykorzystanie i wiąże z nim podział korzyści. Ridus będzie twierdził, że dostęp nastąpił dekady temu, poza zakresem czasowym obu instrumentów, a wykorzystanie jest tylko dalszym etapem tego samego, legalnie zapoczątkowanego procesu. Anecoyon będzie twierdził, że przedmiotem obowiązku podziału korzyści jest wykorzystanie, a nie dostęp, i że wykorzystanie nastąpiło współcześnie. Argument Anecoyonu jest tekstowo lepszy przy art. 5 ust. 1 Protokołu, który wiąże podział korzyści z „wykorzystania zasobów genetycznych oraz z ich późniejszych zastosowań i komercjalizacji”; argument Ridusu jest lepszy przy art. 3, który wyznacza zakres Protokołu przez odesłanie do zasobów objętych zakresem art. 15 Konwencji, a więc do reżimu dostępu. Rozstrzygnięcie warunkowe jest tu jedyną uczciwą formą, ale — i to jest istotne — dla Anecoyonu jest ono bezprzedmiotowe, dopóki nie pokona przeszkody z kraju pochodzenia. Kolejność badania ma więc znaczenie: bez kraju pochodzenia spór o zakres czasowy nie ma czego dotyczyć.</w:t>
      </w:r>
    </w:p>
    <w:bookmarkEnd w:id="24"/>
    <w:bookmarkStart w:id="25" w:name="X9f72963af7f963e96939a580287fd685214025d"/>
    <w:p>
      <w:pPr>
        <w:pStyle w:val="Heading3"/>
      </w:pPr>
      <w:r>
        <w:t xml:space="preserve">Zagadnienie 2: cyfrowa informacja sekwencyjna i jej komercyjne wykorzystanie</w:t>
      </w:r>
    </w:p>
    <w:p>
      <w:pPr>
        <w:pStyle w:val="FirstParagraph"/>
      </w:pPr>
      <w:r>
        <w:t xml:space="preserve">Sprawa jest sporna w skali globalnej i wymaga przedstawienia obu stron w pełnej sile, a nie wyboru wygodnej.</w:t>
      </w:r>
    </w:p>
    <w:p>
      <w:pPr>
        <w:pStyle w:val="BodyText"/>
      </w:pPr>
      <w:r>
        <w:t xml:space="preserve">Stanowisko Ridusu. Definicja z art. 2 Konwencji wymaga materiału zawierającego funkcjonalne jednostki dziedziczności. Sekwencja zapisana cyfrowo nie jest materiałem w żadnym znaczeniu tego słowa — jest informacją o materiale. Protokół nie zmienia tej definicji; jego art. 2 stanowi wprost, że stosuje się pojęcia zdefiniowane w art. 2 Konwencji. Definicja „pochodnej” z art. 2 lit. e, jedyna, która sięga poza materiał zawierający funkcjonalne jednostki dziedziczenia, obejmuje naturalnie występujące związki chemiczne otrzymane na skutek ekspresji genów lub metabolizmu — a więc nadal substancje, nie dane. Wykładnia rozszerzająca na dane byłaby wykładnią wbrew zwykłemu znaczeniu.</w:t>
      </w:r>
    </w:p>
    <w:p>
      <w:pPr>
        <w:pStyle w:val="BodyText"/>
      </w:pPr>
      <w:r>
        <w:t xml:space="preserve">Do tego dochodzi argument systemowy, który jest w tej sprawie mocny i który trzeba postawić wprost. Konferencja Stron przyjęła 1 listopada 2024 r. decyzję numer 16/2 ustanawiającą wielostronny mechanizm sprawiedliwego i równego podziału korzyści z wykorzystania cyfrowej informacji sekwencyjnej o zasobach genetycznych wraz z funduszem globalnym. Ustanowienie odrębnego mechanizmu dla tej kategorii jest argumentem, że reżim bazowy jej nie obejmował — inaczej mechanizm byłby zbędny.</w:t>
      </w:r>
    </w:p>
    <w:p>
      <w:pPr>
        <w:pStyle w:val="BodyText"/>
      </w:pPr>
      <w:r>
        <w:t xml:space="preserve">Stanowisko Anecoyonu. Argument systemowy działa w obie strony i decyzja 16/2 sama go osłabia: jej preambuła stanowi, że przyjęte w niej podejście pozostaje bez uszczerbku dla krajowych środków dostępu i podziału korzyści oraz nie wpływa na prawa i obowiązki żadnej Strony wynikające z jakiejkolwiek istniejącej umowy międzynarodowej. Decyzja nie przesądza więc, że cyfrowa informacja sekwencyjna jest poza Konwencją — celowo pozostawia tę kwestię otwartą. Ponadto celem Konwencji jest sprawiedliwy i równy podział korzyści z wykorzystania zasobów genetycznych, a interpretacja, w której zdigitalizowanie sekwencji zwalnia z tego obowiązku w całości, czyni cel nieosiągalnym w warunkach, w których badania prowadzi się dziś głównie na danych. Argument celowościowy jest tu jednak politycznie mocny i tekstowo słaby, i tak należy go oznaczyć.</w:t>
      </w:r>
    </w:p>
    <w:p>
      <w:pPr>
        <w:pStyle w:val="BodyText"/>
      </w:pPr>
      <w:r>
        <w:t xml:space="preserve">Rozstrzygnięcie. Na gruncie samego tekstu Konwencji stanowisko Ridusu jest lepsze i zarzut oparty wprost na definicji materiału genetycznego należy oddalić. Ale oddalenie nie może być sieroce, bo istnieje reżim zastępczy stworzony dokładnie dla tej sytuacji. Decyzja 16/2 przewiduje, że wszyscy użytkownicy cyfrowej informacji sekwencyjnej objęci mechanizmem powinni dzielić się korzyściami w sposób sprawiedliwy i równy, a użytkownicy z sektorów czerpiących bezpośrednio lub pośrednio korzyści z jej wykorzystania w działalności komercyjnej powinni wnosić do funduszu globalnego część zysku lub przychodu odpowiednio do swojej wielkości, przy czym podmioty przekraczające co najmniej dwa z trzech progów bilansowych powinny wnosić jeden procent zysku albo jedną dziesiątą procenta przychodu jako stawkę indykatywną, a Konferencja Stron ustali progi i stawki na siedemnastym posiedzeniu.</w:t>
      </w:r>
    </w:p>
    <w:p>
      <w:pPr>
        <w:pStyle w:val="BodyText"/>
      </w:pPr>
      <w:r>
        <w:t xml:space="preserve">Charakter tego instrumentu trzeba nazwać dokładnie, bo od tego zależy dobór środka. Modalność jest zachęcająca — „powinni”, a nie „są obowiązani” — stawki są indykatywne, a progi jeszcze nieustalone. Anecoyon nie może zatem dochodzić wkładu jako roszczenia pieniężnego wobec instytutu. Może natomiast żądać rozstrzygnięcia stwierdzającego, że wykorzystanie mieści się w zakresie mechanizmu, i domagać się od Ridusu podjęcia środków, o których mowa w decyzji, zachęcających użytkowników w jego jurysdykcji do wnoszenia wkładu. Dodatkowo decyzja przewiduje, że połowa środków funduszu trafia do ludów tubylczych i społeczności lokalnych — co czyni tę drogę korzystną dla społeczności Anecoyonu bardziej niż roszczenie skierowane do budżetu państwa.</w:t>
      </w:r>
    </w:p>
    <w:bookmarkEnd w:id="25"/>
    <w:bookmarkStart w:id="26" w:name="Xfc5c2560b140db7cb85fd52842428d5e673718f"/>
    <w:p>
      <w:pPr>
        <w:pStyle w:val="Heading3"/>
      </w:pPr>
      <w:r>
        <w:t xml:space="preserve">Zagadnienie 3: państwo pochodzenia przy gatunku o historycznie transgranicznym zasięgu</w:t>
      </w:r>
    </w:p>
    <w:p>
      <w:pPr>
        <w:pStyle w:val="FirstParagraph"/>
      </w:pPr>
      <w:r>
        <w:t xml:space="preserve">Spór stron jest o to, które z dwóch państw jest państwem pochodzenia. Prawidłowa odpowiedź brzmi, że żadne — i to nie jest uchylenie się od odpowiedzi, lecz jej treść, z której wynika konkretny środek.</w:t>
      </w:r>
    </w:p>
    <w:p>
      <w:pPr>
        <w:pStyle w:val="BodyText"/>
      </w:pPr>
      <w:r>
        <w:t xml:space="preserve">Konstrukcja jest następująca. Kraj pochodzenia definiuje się przez aktualne posiadanie zasobu w warunkach in-situ. Przy gatunku wymarłym warunek ten nie jest spełniony przez żadne państwo. Historyczny zasięg nie tworzy tytułu, ponieważ definicja nie odsyła do zasięgu historycznego ani do miejsca znalezienia materiału — odsyła do występowania w ekosystemach. Ta sama konstrukcja powtarza się w art. 11 ust. 1 Protokołu, dotyczącym współpracy transgranicznej: przepis odnosi się do przypadków, „gdy te same zasoby genetyczne znajdują się in-situ na terytorium więcej niż jednej Strony”. Wobec gatunku wymarłego i on nie działa. Instrument przewidziany dla sytuacji transgranicznych jest więc niedostępny z tego samego powodu, dla którego niedostępny jest reżim podstawowy.</w:t>
      </w:r>
    </w:p>
    <w:p>
      <w:pPr>
        <w:pStyle w:val="BodyText"/>
      </w:pPr>
      <w:r>
        <w:t xml:space="preserve">Pozostaje art. 10 i jego brzmienie jest dopasowane do kazusu w sposób, który wygląda na napisany do niego. Strony rozważają konieczność wprowadzenia i zasady działania globalnego wielostronnego mechanizmu podziału korzyści, służącego sprawiedliwemu i równemu dzieleniu się korzyściami wynikającymi z wykorzystania zasobów genetycznych i wiedzy tradycyjnej związanej z tymi zasobami występującymi w sytuacjach transgranicznych lub dla których nie jest możliwe udzielenie lub uzyskanie uprzedniej świadomej zgody; korzyści dzielone za pośrednictwem mechanizmu wykorzystuje się do wspierania ochrony różnorodności biologicznej i zrównoważonego użytkowania jej elementów w skali światowej.</w:t>
      </w:r>
    </w:p>
    <w:p>
      <w:pPr>
        <w:pStyle w:val="BodyText"/>
      </w:pPr>
      <w:r>
        <w:t xml:space="preserve">Trzeba jednak uczciwie powiedzieć, czego ten przepis nie daje. Nie tworzy roszczenia Anecoyonu wobec Ridusu ani wobec instytutu, bo nakłada na Strony obowiązek rozważenia mechanizmu, a nie obowiązek świadczenia. Korzyści dzielone przez mechanizm służą ochronie różnorodności biologicznej w skali światowej, a nie zaspokojeniu roszczenia konkretnego państwa. Środek, jaki z niego wynika, ma zatem kształt inny niż żądany: nie udział w przychodach parku hodowlanego, lecz skierowanie części korzyści do mechanizmu wielostronnego, uzupełnione — na podstawie decyzji 16/2 — alokacją połowy środków funduszu na rzecz ludów tubylczych i społeczności lokalnych. Dla społeczności, w której tradycji pantera ma znaczenie duchowe, ta droga jest realna; dla budżetu Anecoyonu — nie.</w:t>
      </w:r>
    </w:p>
    <w:p>
      <w:pPr>
        <w:pStyle w:val="BodyText"/>
      </w:pPr>
      <w:r>
        <w:t xml:space="preserve">Odrębnie i mocniej: najsilniejsza podstawa Anecoyonu w tym kazusie nie leży w prawie międzynarodowym środowiska wcale. Skamieniałość przekazano do muzeum na podstawie umowy, która nie przewidywała sekwencjonowania genetycznego. Jeżeli umowa określała cel przekazania — a przekazanie do muzeum bez wskazania celu jest w praktyce rzadkością — wykorzystanie poza tym celem jest naruszeniem umowy, ocenianym według prawa dla niej właściwego, bez konieczności pokonywania którejkolwiek z definicji z art. 2 Konwencji. ⬛ Kazus nie podaje ani treści umowy, ani prawa właściwego. Jest to brak faktyczny o największym znaczeniu w całej sprawie i zarzut, który należy postawić na pierwszym miejscu.</w:t>
      </w:r>
    </w:p>
    <w:bookmarkEnd w:id="26"/>
    <w:bookmarkStart w:id="27" w:name="X92e60ba53cf99b161b68afe065afb265045e907"/>
    <w:p>
      <w:pPr>
        <w:pStyle w:val="Heading3"/>
      </w:pPr>
      <w:r>
        <w:t xml:space="preserve">Zagadnienie 4: prawa społeczności rdzennej</w:t>
      </w:r>
    </w:p>
    <w:p>
      <w:pPr>
        <w:pStyle w:val="FirstParagraph"/>
      </w:pPr>
      <w:r>
        <w:t xml:space="preserve">Odruch prowadzi do art. 7 Protokołu i jest to odruch błędny na zakresie przedmiotowym.</w:t>
      </w:r>
    </w:p>
    <w:p>
      <w:pPr>
        <w:pStyle w:val="BodyText"/>
      </w:pPr>
      <w:r>
        <w:t xml:space="preserve">Art. 7 nakazuje Stronom podjąć środki, aby dostęp do wiedzy tradycyjnej związanej z zasobami genetycznymi, którą posiadają społeczności tubylcze i lokalne, uzyskiwano za uprzednią świadomą zgodą lub akceptacją oraz z udziałem tych społeczności, oraz aby ustanowiono wzajemnie uzgodnione warunki. Przedmiotem ochrony jest wiedza tradycyjna związana z zasobami genetycznymi — czyli wiedza o właściwościach, zastosowaniach i sposobach użycia zasobu. Kazus nie opisuje sięgnięcia po żadną taką wiedzę. Opisuje, że pantera ma w tradycji społeczności znaczenie duchowe, a naukowcy pracowali na skamieniałości z muzeum i na danych współczesnego gatunku spokrewnionego. Znaczenie duchowe nie jest wiedzą o właściwościach zasobu, a art. 7 nie chroni związku kulturowego jako takiego. Ta sama uwaga dotyczy art. 5 ust. 5 Protokołu, który wiąże podział korzyści z wykorzystaniem wiedzy tradycyjnej, oraz art. 8 lit. j Konwencji, którego przedmiotem są wiedza, innowacje i praktyki społeczności — a którego modalność jest przy tym słaba, bo zobowiązuje Stronę „stosownie do jej ustawodawstwa krajowego” do respektowania i utrzymywania tej wiedzy oraz do zachęcania do równego podziału korzyści.</w:t>
      </w:r>
    </w:p>
    <w:p>
      <w:pPr>
        <w:pStyle w:val="BodyText"/>
      </w:pPr>
      <w:r>
        <w:t xml:space="preserve">Zamiast pozostawić tę oś bez środka, przenosi się ją tam, gdzie ma podstawę — a podstawa jest, i to mocniejsza niż wygląda, choć w instrumencie niewiążącym. Art. 19 deklaracji ONZ o prawach ludów tubylczych zobowiązuje państwa do konsultacji i współpracy w dobrej wierze z zainteresowanymi ludami tubylczymi, poprzez ich własne instytucje przedstawicielskie, w celu uzyskania ich swobodnej, uprzedniej i świadomej zgody przed przyjęciem i wdrożeniem środków ustawodawczych lub administracyjnych, które mogą ich dotyczyć. Art. 32 ust. 1 przyznaje prawo do określania priorytetów i strategii rozwoju lub wykorzystania ich ziem, terytoriów i innych zasobów, a ust. 2 zobowiązuje państwa do konsultacji w celu uzyskania swobodnej i świadomej zgody przed zatwierdzeniem projektu wpływającego na te ziemia, terytoria i zasoby.</w:t>
      </w:r>
    </w:p>
    <w:p>
      <w:pPr>
        <w:pStyle w:val="BodyText"/>
      </w:pPr>
      <w:r>
        <w:t xml:space="preserve">Rozstrzygające jest to, że obie te jednostki działają na przyszłość i mają w kazusie konkretny przedmiot: zapowiedzianą reintrodukcję gatunku. Reintrodukcja zwierzęcia o znaczeniu duchowym na terytorium społeczności jest zarówno środkiem administracyjnym w rozumieniu art. 19, jak i projektem dotyczącym ziem i zasobów w rozumieniu art. 32 ust. 2. Sekwencjonowanie i utworzenie parku hodowlanego są zdarzeniami zamkniętymi, wobec których deklaracja nie daje środka; reintrodukcja jest zdarzeniem przyszłym, wobec którego daje go w pełni. Roszczenie społeczności o kontrolę nad reintrodukcją, sformułowane w kazusie jako jedno z czterech żądań Anecoyonu, jest zatem jedynym z nich, które ma mocną podstawę — i jest to podstawa inna niż ta, na której Anecoyon je opiera.</w:t>
      </w:r>
    </w:p>
    <w:p>
      <w:pPr>
        <w:pStyle w:val="BodyText"/>
      </w:pPr>
      <w:r>
        <w:t xml:space="preserve">Znacznik i moc: deklaracja jest instrumentem niewiążącym. Argument prowadzę w pełnej objętości, bo jego waga w sprawie jest wysoka, a status weryfikacyjny i moc wiążąca to dwie różne osie. Dla nadania mu skutku wiążącego konieczne byłoby wykazanie statusu zwyczajowego albo oparcie się na prawie krajowym Ridusu.</w:t>
      </w:r>
    </w:p>
    <w:bookmarkEnd w:id="27"/>
    <w:bookmarkStart w:id="28" w:name="Xfa6b689d04f0fa8ea030c5deae2a8b5a3e0d6cd"/>
    <w:p>
      <w:pPr>
        <w:pStyle w:val="Heading3"/>
      </w:pPr>
      <w:r>
        <w:t xml:space="preserve">Zagadnienie 5: status prawny odtworzonego organizmu i reżim handlu</w:t>
      </w:r>
    </w:p>
    <w:p>
      <w:pPr>
        <w:pStyle w:val="FirstParagraph"/>
      </w:pPr>
      <w:r>
        <w:t xml:space="preserve">Pytanie, czy odtworzone zwierzę jest prawnie tym samym gatunkiem co organizm wymarły, nie ma odpowiedzi w żadnym z powołanych instrumentów i trzeba to powiedzieć wprost, zamiast konstruować odpowiedź z definicji nieprzeznaczonych do tego celu.</w:t>
      </w:r>
    </w:p>
    <w:p>
      <w:pPr>
        <w:pStyle w:val="BodyText"/>
      </w:pPr>
      <w:r>
        <w:t xml:space="preserve">Konwencja waszyngtońska definiuje „gatunek” jako jakikolwiek gatunek, podgatunek lub geograficznie odrębne populacje tych gatunków, a „okaz” — w odniesieniu do zwierząt — jako jakiekolwiek zwierzę, żywe lub martwe, oraz, dla gatunków z załączników I i II, jakąkolwiek łatwo rozpoznawalną jego część lub pochodną. Definicje są zbudowane wokół przynależności taksonomicznej i nie odnoszą się do sposobu powstania organizmu. Organizm powstały z sekwencji uzupełnionej danymi gatunku spokrewnionego i wytworzony techniką edycji genów jest pod względem taksonomicznym pytaniem otwartym, a pod względem prawnym — pytaniem, na które odpowiedź daje dopiero decyzja Konferencji Stron albo praktyka organów krajowych.</w:t>
      </w:r>
    </w:p>
    <w:p>
      <w:pPr>
        <w:pStyle w:val="BodyText"/>
      </w:pPr>
      <w:r>
        <w:t xml:space="preserve">Reżim, który natomiast działa, jest reżimem handlu, nie tożsamości. Jeżeli gatunek figuruje w załączniku I, obrót okazami wymaga zezwolenia wywozowego i przywozowego, przy czym zezwolenie przywozowe wydaje się tylko wtedy, gdy organ administracyjny państwa przywozu upewni się, że okaz nie będzie użyty głównie w celach komercyjnych. Odpłatny park hodowlany jest przedsięwzięciem komercyjnym, więc przy załączniku I międzynarodowy obrót okazami dla jego potrzeb byłby zablokowany. Jeżeli gatunek figuruje w załączniku II, wystarcza zezwolenie wywozowe wydawane po spełnieniu przesłanek merytorycznych. ⬛ Kazus nie podaje, czy gatunek figuruje w którymkolwiek załączniku — a przy gatunku uznanym za wymarły jest to realnie wątpliwe.</w:t>
      </w:r>
    </w:p>
    <w:p>
      <w:pPr>
        <w:pStyle w:val="BodyText"/>
      </w:pPr>
      <w:r>
        <w:t xml:space="preserve">Anecoyon dysponuje przy tym instrumentem samopomocy, którego zakres trzeba jednak odczytać dokładnie. Art. XVI ust. 1 pozwala każdej Stronie w dowolnym czasie przedłożyć Sekretariatowi listę gatunków, które identyfikuje jako podlegające regulacji w ramach jej jurysdykcji w celu wskazanym w art. II ust. 3; lista wchodzi w życie jako część załącznika III po 90 dniach od zakomunikowania jej Stronom, przy czym każda Strona może wobec niej zgłosić zastrzeżenie i wtedy jest traktowana jak państwo niebędące stroną w odniesieniu do handlu danym gatunkiem. Warunek zapisany w zdaniu wprowadzającym jest tu decydujący: gatunek musi podlegać regulacji w ramach jurysdykcji zgłaszającej Strony. Dopóki pantera nie występuje na terytorium Anecoyonu, warunek nie jest spełniony. Instrument staje się dostępny dopiero po reintrodukcji — i to jest kolejny powód, dla którego oś reintrodukcji, a nie oś podziału korzyści, jest w tej sprawie osią o największym potencjale.</w:t>
      </w:r>
    </w:p>
    <w:bookmarkEnd w:id="28"/>
    <w:bookmarkStart w:id="29" w:name="X0bd6e1f128ac5bc864759d30df069af01c4e4fe"/>
    <w:p>
      <w:pPr>
        <w:pStyle w:val="Heading3"/>
      </w:pPr>
      <w:r>
        <w:t xml:space="preserve">Zagadnienie 6: żądania Anecoyonu wobec dostępnych podstaw</w:t>
      </w:r>
    </w:p>
    <w:p>
      <w:pPr>
        <w:pStyle w:val="FirstParagraph"/>
      </w:pPr>
      <w:r>
        <w:t xml:space="preserve">Kazus wymienia cztery żądania i warto zestawić każde z podstawą, bo rozkład jest bardzo nierówny i to jest istotna treść odpowiedzi.</w:t>
      </w:r>
    </w:p>
    <w:p>
      <w:pPr>
        <w:pStyle w:val="BodyText"/>
      </w:pPr>
      <w:r>
        <w:t xml:space="preserve">Udział w przychodach parku hodowlanego i z licencji. Najsłabsze. Podstawa z art. 15 Konwencji odpada na braku kraju pochodzenia; podstawa z decyzji 16/2 istnieje, ale kieruje korzyści do funduszu globalnego, nie do Anecoyonu, i ma modalność zachęcającą. Najmocniejsza droga do tego rezultatu prowadzi przez umowę muzealną i prawo dla niej właściwe.</w:t>
      </w:r>
    </w:p>
    <w:p>
      <w:pPr>
        <w:pStyle w:val="BodyText"/>
      </w:pPr>
      <w:r>
        <w:t xml:space="preserve">Dostęp do technologii. Art. 16 ust. 3 Konwencji zobowiązuje Stronę do działań gwarantujących Stronom dostarczającym zasoby genetyczne dostęp do technologii opartych na wykorzystaniu tych zasobów na wzajemnie uzgodnionych warunkach, w tym technologii chronionej patentami. Przepis odsyła jednak do tej samej kategorii Stron co art. 15 ust. 3 — a więc do krajów pochodzenia i Stron, które nabyły zasoby zgodnie z Konwencją. Anecoyon do niej nie należy, więc i to żądanie upada na tym samym zakresie. Odnotowuję to wprost, bo jest to skutek uboczny klauzuli z art. 15 ust. 3, którego przy czytaniu art. 16 osobno się nie widzi.</w:t>
      </w:r>
    </w:p>
    <w:p>
      <w:pPr>
        <w:pStyle w:val="BodyText"/>
      </w:pPr>
      <w:r>
        <w:t xml:space="preserve">Kontrola nad reintrodukcją. Najmocniejsze, ale na innej podstawie, niż zakłada Anecoyon — nie na reżimie dostępu i podziału korzyści, lecz na prawach społeczności rdzennej, z art. 19 i art. 32 ust. 2 deklaracji, uzupełnionych po reintrodukcji o instrument z art. XVI konwencji waszyngtońskiej. Instrument niewiążący, argument silny.</w:t>
      </w:r>
    </w:p>
    <w:p>
      <w:pPr>
        <w:pStyle w:val="BodyText"/>
      </w:pPr>
      <w:r>
        <w:t xml:space="preserve">Uznanie praw społeczności rdzennej. Zasadne co do zasady, ale nie w zakresie, w jakim opiera się na dostępie do wiedzy tradycyjnej — takiego dostępu nie było. Zasadne w zakresie udziału w decyzjach dotyczących reintrodukcji i w zakresie alokacji środków z mechanizmu wielostronnego, gdzie decyzja 16/2 przewiduje przeznaczenie połowy zasobów funduszu na rzecz ludów tubylczych i społeczności lokalnych.</w:t>
      </w:r>
    </w:p>
    <w:p>
      <w:pPr>
        <w:pStyle w:val="BodyText"/>
      </w:pPr>
      <w:r>
        <w:t xml:space="preserve">Osobno o argumencie Ridusu, że projekt służy ochronie różnorodności biologicznej. Argument nie jest pozbawiony podstawy — art. 9 Protokołu zachęca użytkowników i dostarczycieli do przeznaczania korzyści z wykorzystania zasobów genetycznych na ochronę różnorodności biologicznej, a art. 8 lit. a Protokołu nakazuje tworzyć warunki promujące badania wnoszące wkład w ochronę, w tym przez uproszczenie procedur dostępu do celów badań niekomercyjnych, przy uwzględnieniu możliwej zmiany celu takich badań. Ostatni człon obraca się jednak przeciwko Ridusowi: instytut utworzył odpłatny park i udzielił licencji, a więc cel badań uległ zmianie na komercyjny. Uproszczenia przewidziane dla badań niekomercyjnych przestają go chronić z chwilą tej zmiany, i to jest właściwa odpowiedź na argument o ochronie różnorodności.</w:t>
      </w:r>
    </w:p>
    <w:bookmarkEnd w:id="29"/>
    <w:bookmarkEnd w:id="30"/>
    <w:bookmarkStart w:id="31" w:name="macierz-argumentów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Anecoyonu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Ridusu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Kwalifikacja materiału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Fragmenty DNA ze skamieniałości są materiałem genetycznym o potencjalnej wartości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Definicja wymaga funkcjonalnych jednostek dziedziczności; materiał kopalny uzupełniano danymi innego gatunku właśnie dlatego, że sam nie wystarczał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Kraj pochodzenia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Skamieniałość znaleziono na terytorium Anecoyonu, a historyczny zasięg obejmował je w całości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Kraj pochodzenia to kraj posiadający zasób in-situ; gatunek wymarły nie występuje nigdzie, więc kraju pochodzenia nie ma (art. 2 i art. 15 ust.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czasowy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Przedmiotem podziału korzyści jest wykorzystanie, a ono nastąpiło współcześnie (art. 5 ust. 1 Protokołu)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 Protokołu wyznacza odesłanie do art. 15 Konwencji, czyli do dostępu; dostęp nastąpił przed wejściem instrumentów w życie (art. 28 KWPT)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Informacja sekwencyjna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Decyzja 16/2 zastrzega, że pozostaje bez uszczerbku dla istniejących zobowiązań; cel Konwencji byłby nieosiągalny przy wyłączeniu danych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Definicja wymaga materiału; ustanowienie odrębnego mechanizmu dla tej kategorii dowodzi, że reżim bazowy jej nie obejmował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Wiedza tradycyjna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Pantera ma znaczenie duchowe w tradycji społeczności, a projekt ingeruje w to dziedzictwo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 Protokołu chroni wiedzę o właściwościach zasobu, a takiej wiedzy nie wykorzystano; pracowano na muzealiach i bazach danych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Umowa muzealna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 nie przewidywała sekwencjonowania, więc wykorzystanie wykroczyło poza jej 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 nie zawierała zakazu; brak wskazania celu oznacza swobodę badawczą właściwą dla zbiorów naukowych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Ochrona różnorodności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Odpłatny park i licencje pokazują cel komercyjny, a nie ochronny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 służy ochronie różnorodności biologicznej i korzysta z ułatwień przewidzianych dla badań (art. 8 lit. a, art. 9 Protokołu)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Reintrodukcja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Wymaga zgody uzyskanej w trybie art. 19 i art. 32 ust. 2 deklaracji ONZ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Deklaracja jest instrumentem niewiążącym; reintrodukcja na terytorium Ridusu nie dotyczy ziem społeczności Anecoyonu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odtworzonego zwierzęcia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to ten sam gatunek, więc obowiązuje reżim ochronny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Kwestia taksonomiczna nierozstrzygnięta; żaden z instrumentów nie reguluje organizmów odtworzonych</w:t>
            </w:r>
          </w:p>
        </w:tc>
      </w:tr>
    </w:tbl>
    <w:bookmarkEnd w:id="31"/>
    <w:bookmarkStart w:id="32" w:name="braki-faktyczne-i-dowody-rozstrzygające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Dowód, który go usuwa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umowy przekazania skamieniałości i prawo dla niej właściwe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to najmocniejsza podstawa Anecoyonu i jedyna omijająca definicje z art. 2 Konwencji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Umowa, korespondencja towarzysząca, regulamin zbiorów muzeum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fragmenty DNA zawierały funkcjonalne jednostki dziedziczności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Próg definicyjny materiału genetycznego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Opinia biegłego z zakresu genetyki, dokumentacja laboratoryjna, publikacja opisująca metodę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przekazania skamieniałości wobec dat wejścia w życie Konwencji i Protokołu dla obu państw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Kontrola nieretroakcji (art. 28 KWPT)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 z datą, wykazy stron u depozytariuszy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ratyfikacyjny Konwencji, Protokołu i konwencji waszyngtońskiej dla obu państw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MG-1: trzy instrumenty, trzy odrębne listy stron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Wykazy stron u depozytariuszy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którym państwie znajduje się muzeum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Przesądza, czy występuje kraj dostarczający w rozumieniu art. 2 Konwencji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Dokumentacja zbiorów, akt przekazania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Proporcja materiału kopalnego do danych gatunku spokrewnionego w wytworzonym genomie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Wpływa na kwalifikację taksonomiczną i na ocenę, czego faktycznie użyto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Dokumentacja konstrukcji genomu, publikacje, dane sekwencyjne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gatunek figuruje w załączniku konwencji waszyngtońskiej i w którym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reżim obrotu okazami i licencjonowania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Wykaz załączników w brzmieniu obowiązującym, notyfikacje Sekretariatu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Miejsce planowanej reintrodukcji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zastosowania art. 32 ust. 2 deklaracji i art. XVI konwencji waszyngtońskiej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Dokumentacja projektu reintrodukcji, decyzje organów krajowych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Kto reprezentuje społeczność rdzenną i według jakiej procedury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wymogu własnych instytucji przedstawicielskich z art. 19 i art. 32 ust. 2 deklaracji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Uchwały społeczności, dokumenty zwyczajowe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Ridus podjął środki, o których mowa w decyzji 16/2, wobec użytkowników w swojej jurysdykcji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roszczenia o zaniechanie w płaszczyźnie mechanizmu wielostronnego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Akty prawa krajowego, wytyczne, korespondencja z Sekretariatem Konwencji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Struktura przychodów instytutu wobec progów bilansowych z decyzji 16/2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stwierdzenia, że instytut mieści się w kręgu podmiotów objętych mechanizmem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Sprawozdania finansowe instytutu i podmiotów licencjonujących</w:t>
            </w:r>
          </w:p>
        </w:tc>
      </w:tr>
    </w:tbl>
    <w:bookmarkEnd w:id="32"/>
    <w:bookmarkStart w:id="33" w:name="proponowane-rozstrzygnięcie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W zakresie roszczenia o udział w przychodach: oddalić żądanie oparte na art. 15 ust. 7 Konwencji z powodu braku spełnienia warunku z art. 15 ust. 3 — Anecoyon nie jest krajem pochodzenia w rozumieniu art. 2, ponieważ definicja wymaga aktualnego posiadania zasobu w warunkach in-situ, a gatunek wymarły nie występuje w żadnym ekosystemie. Zapisać wprost, że podstawą oddalenia jest zakres normy, a nie ocena słuszności żądania, aby oddalenie nie zamykało drogi do tych samych faktów na innych podstawach.</w:t>
      </w:r>
    </w:p>
    <w:p>
      <w:pPr>
        <w:pStyle w:val="BodyText"/>
      </w:pPr>
      <w:r>
        <w:t xml:space="preserve">Zamiast pozostawić tę oś bez środka, wskazać dwie drogi zastępcze i rozwinąć obie. Pierwsza: stwierdzić, że sprawa mieści się w hipotezie art. 10 Protokołu — sytuacja transgraniczna oraz niemożność uzyskania uprzedniej świadomej zgody występują tu łącznie — i nałożyć na obie Strony obowiązek podjęcia rozmów o skierowaniu części korzyści do mechanizmu wielostronnego, z zaznaczeniem, że przepis nie tworzy roszczenia pieniężnego Anecoyonu i że korzyści służą ochronie różnorodności biologicznej w skali światowej. Druga: przekazać kwestię naruszenia umowy przekazania skamieniałości do rozstrzygnięcia w płaszczyźnie kontraktowej, wskazując, że jest to podstawa najmocniejsza, bo nie wymaga pokonania żadnej z definicji z art. 2 Konwencji. Rozstrzygnięcie warunkowe: jeżeli umowa określała cel przekazania i sekwencjonowanie poza nim wykracza — stwierdzić naruszenie z konsekwencjami według prawa właściwego; jeżeli umowa celu nie określała — żądanie oddalić także na tej podstawie.</w:t>
      </w:r>
    </w:p>
    <w:p>
      <w:pPr>
        <w:pStyle w:val="BodyText"/>
      </w:pPr>
      <w:r>
        <w:t xml:space="preserve">W zakresie informacji sekwencyjnej: oddalić zarzut oparty wprost na definicji materiału genetycznego z art. 2 Konwencji, ponieważ definicja wymaga materiału, a sekwencja cyfrowa nim nie jest, i ponieważ art. 2 Protokołu nie modyfikuje tej definicji. Sparować oddalenie z reżimem zastępczym: stwierdzić, że komercyjne wykorzystanie informacji sekwencyjnej mieści się w zakresie mechanizmu ustanowionego decyzją 16/2, i nałożyć na Ridusa obowiązek podjęcia środków zachęcających użytkowników w jego jurysdykcji do wnoszenia wkładu do funduszu globalnego, zgodnie z modalnościami tej decyzji. Zaznaczyć wyraźnie, że stawki są indykatywne, progi zostaną ustalone na siedemnastym posiedzeniu Konferencji Stron, a instrument ma charakter zachęty — Anecoyon nie może dochodzić wkładu jako roszczenia pieniężnego, ale może dochodzić stwierdzenia zakresu i obowiązku podjęcia środków.</w:t>
      </w:r>
    </w:p>
    <w:p>
      <w:pPr>
        <w:pStyle w:val="BodyText"/>
      </w:pPr>
      <w:r>
        <w:t xml:space="preserve">W zakresie dostępu do technologii: oddalić żądanie oparte na art. 16 ust. 3 Konwencji, wskazując, że przepis odsyła do tej samej kategorii Stron co art. 15 ust. 3, a Anecoyon do niej nie należy. Sprawdzone i odrzucone podstawy alternatywne wpisać wprost: art. 19 ust. 1 Konwencji (udział w badaniach biotechnologicznych — dotyczy Stron dostarczających zasoby, ta sama przeszkoda), art. 23 Protokołu (transfer technologii — kieruje się do Stron będących państwami rozwijającymi się i do Stron dostarczających zasoby, ta sama przeszkoda). Brak podstawy alternatywnej dla tego konkretnego żądania i należy to powiedzieć wprost.</w:t>
      </w:r>
    </w:p>
    <w:p>
      <w:pPr>
        <w:pStyle w:val="BodyText"/>
      </w:pPr>
      <w:r>
        <w:t xml:space="preserve">W zakresie praw społeczności rdzennej: oddalić zarzut oparty na art. 7 Protokołu i art. 5 ust. 5 Protokołu z powodu zakresu przedmiotowego — nie sięgnięto po wiedzę tradycyjną o właściwościach zasobu, a znaczenie duchowe nią nie jest. Zamiast pozostawić tę oś bez środka, przenieść ją na art. 19 i art. 32 ust. 2 deklaracji ONZ i tam ją rozstrzygnąć: nakazać, aby przed zatwierdzeniem reintrodukcji przeprowadzono konsultacje z zainteresowaną społecznością poprzez jej własne instytucje przedstawicielskie, w dobrej wierze i w celu uzyskania jej swobodnej i świadomej zgody, obejmując nimi także tę część społeczności, która zamieszkuje poza terytorium państwa prowadzącego reintrodukcję, o ile stanowi część tej samej społeczności. Oznaczyć instrument jako niewiążący i wskazać, że nadanie mu skutku wiążącego wymagałoby wykazania statusu zwyczajowego albo oparcia się na prawie krajowym.</w:t>
      </w:r>
    </w:p>
    <w:p>
      <w:pPr>
        <w:pStyle w:val="BodyText"/>
      </w:pPr>
      <w:r>
        <w:t xml:space="preserve">W zakresie statusu odtworzonego organizmu: nie rozstrzygać kwestii tożsamości gatunkowej, ponieważ żaden z powołanych instrumentów jej nie reguluje, a konstruowanie odpowiedzi z definicji nieprzeznaczonych do tego celu byłoby wykładnią rozszerzającą. Zamiast tego rozstrzygnąć kwestię, która ma podstawę: reżim obrotu. Rozstrzygnięcie warunkowe: jeżeli gatunek figuruje w załączniku I konwencji waszyngtońskiej, zezwolenie przywozowe jest niedostępne dla przedsięwzięcia komercyjnego (art. III ust. 3 lit. c), co blokuje międzynarodowy obrót okazami na potrzeby odpłatnego parku; jeżeli w załączniku II, wystarcza zezwolenie wywozowe (art. IV ust. 2 i 4); jeżeli gatunek nie figuruje w żadnym załączniku, reżim konwencyjny nie działa, a Anecoyon może zgłosić gatunek do załącznika III w trybie art. XVI ust. 1 — ale dopiero wtedy, gdy będzie mógł wykazać, że podlega on regulacji w ramach jego jurysdykcji, czyli po reintrodukcji na jego terytorium.</w:t>
      </w:r>
    </w:p>
    <w:p>
      <w:pPr>
        <w:pStyle w:val="BodyText"/>
      </w:pPr>
      <w:r>
        <w:t xml:space="preserve">W zakresie argumentu o ochronie różnorodności biologicznej: uwzględnić go jako okoliczność, ale ograniczyć jego skutek. Ułatwienia przewidziane w art. 8 lit. a Protokołu dotyczą badań niekomercyjnych i przepis wprost nakazuje uwzględnić możliwą zmianę celu takich badań. Utworzenie odpłatnego parku hodowlanego i udzielenie licencji na technologię jest taką zmianą, więc ułatwienia przestają chronić projekt od chwili jej nastąpienia.</w:t>
      </w:r>
    </w:p>
    <w:bookmarkEnd w:id="33"/>
    <w:bookmarkStart w:id="34" w:name="bramka-środka-naprawczego-rem-gate-k-07"/>
    <w:p>
      <w:pPr>
        <w:pStyle w:val="Heading2"/>
      </w:pPr>
      <w:r>
        <w:t xml:space="preserve">Bramka środka naprawczego (REM-GATE) — K-07</w:t>
      </w:r>
    </w:p>
    <w:p>
      <w:pPr>
        <w:pStyle w:val="FirstParagraph"/>
      </w:pPr>
      <w:r>
        <w:t xml:space="preserve">REM-0 próby: 5 powołań kandydujących do znacznika, 5 prób dwukanałowych, 5 odzyskanych, 0 porażek. Konwencja o różnorodności biologicznej i Protokół z Nagoi pobrane przez Cellar Urzędu Publikacji UE (curl 200, pełne teksty polskie), decyzja 16/2 z</w:t>
      </w:r>
      <w:r>
        <w:t xml:space="preserve"> </w:t>
      </w:r>
      <w:r>
        <w:rPr>
          <w:rStyle w:val="VerbatimChar"/>
        </w:rPr>
        <w:t xml:space="preserve">cbd.int</w:t>
      </w:r>
      <w:r>
        <w:t xml:space="preserve"> </w:t>
      </w:r>
      <w:r>
        <w:t xml:space="preserve">(curl 200, pełny tekst), deklaracja ONZ z</w:t>
      </w:r>
      <w:r>
        <w:t xml:space="preserve"> </w:t>
      </w:r>
      <w:r>
        <w:rPr>
          <w:rStyle w:val="VerbatimChar"/>
        </w:rPr>
        <w:t xml:space="preserve">un.org</w:t>
      </w:r>
      <w:r>
        <w:t xml:space="preserve"> </w:t>
      </w:r>
      <w:r>
        <w:t xml:space="preserve">(curl 200), konwencja waszyngtońska z depozytariusza UNTS (curl 200). Kanał</w:t>
      </w:r>
      <w:r>
        <w:t xml:space="preserve"> </w:t>
      </w:r>
      <w:r>
        <w:rPr>
          <w:rStyle w:val="VerbatimChar"/>
        </w:rPr>
        <w:t xml:space="preserve">eur-lex.europa.eu</w:t>
      </w:r>
      <w:r>
        <w:t xml:space="preserve"> </w:t>
      </w:r>
      <w:r>
        <w:t xml:space="preserve">pozostaje zablokowany zaporą aplikacyjną dla curl — potwierdzenie pomiaru z partii 7; kanał zastępczy tego samego publikatora działa i utrzymuje RZĄD 1.</w:t>
      </w:r>
    </w:p>
    <w:p>
      <w:pPr>
        <w:pStyle w:val="BodyText"/>
      </w:pPr>
      <w:r>
        <w:t xml:space="preserve">REM-1 oddalenia: 5 oddalonych (roszczenie z art. 15 ust. 7 Konwencji; zarzut oparty na definicji materiału genetycznego wobec informacji sekwencyjnej; zarzut z art. 7 Protokołu o wiedzę tradycyjną; żądanie dostępu do technologii z art. 16 ust. 3; żądanie rozstrzygnięcia o tożsamości gatunkowej), 4 sparowane alternatywy rozwinięte na tę samą głębokość (art. 10 Protokołu oraz droga kontraktowa; decyzja 16/2; art. 19 i art. 32 ust. 2 deklaracji; reżim obrotu z konwencji waszyngtońskiej wraz z art. XVI jako instrumentem przyszłym). Dla żądania dostępu do technologii alternatywy brak i wpisano listę sprawdzonych podstaw: art. 19 ust. 1 Konwencji i art. 23 Protokołu — obie odsyłają do tej samej kategorii Stron i upadają na tej samej przeszkodzie.</w:t>
      </w:r>
    </w:p>
    <w:p>
      <w:pPr>
        <w:pStyle w:val="BodyText"/>
      </w:pPr>
      <w:r>
        <w:t xml:space="preserve">REM-2 braki: 11 pozycji ⬛, 11 rozstrzygnięć warunkowych, 0 blokad dopuszczalności.</w:t>
      </w:r>
    </w:p>
    <w:p>
      <w:pPr>
        <w:pStyle w:val="BodyText"/>
      </w:pPr>
      <w:r>
        <w:t xml:space="preserve">REM-3 instrumenty o niższym statusie: trzy obszary. Decyzja Konferencji Stron numer 16/2 — akt organu traktatowego o modalności zachęcającej, niosący całość reżimu zastępczego dla informacji sekwencyjnej. Deklaracja ONZ o prawach ludów tubylczych — instrument niewiążący, niosący całość zagadnienia czwartego po przeniesieniu i najmocniejszy środek w całej sprawie. Art. 10 Protokołu — postanowienie wiążące, ale o treści zobowiązującej do rozważenia, nie do świadczenia. Wszystkie trzy argumentowane w pełnej objętości, z jawnym oznaczeniem mocy przy każdym powołaniu; objętość wywodu odpowiada wadze w sprawie, a nie łatwości weryfikacji.</w:t>
      </w:r>
    </w:p>
    <w:p>
      <w:pPr>
        <w:pStyle w:val="BodyText"/>
      </w:pPr>
      <w:r>
        <w:t xml:space="preserve">REM-4 pokrycie: kwalifikacja zasobu i kraj pochodzenia — PEŁNA; informacja sekwencyjna — PEŁNA; zasięg transgraniczny i mechanizm zastępczy — PEŁNA; prawa społeczności — PEŁNA; status odtworzonego organizmu i reżim obrotu — PEŁNA; oś kontraktowa oparta na umowie muzealnej — CIENKA i deklaruję to wprost: jest to najmocniejsza podstawa w sprawie, a kazus nie podaje ani treści umowy, ani prawa dla niej właściwego, więc rozwinięcie kończy się na wskazaniu podstawy i warunków; reżim krajowy Ridusu w zakresie dostępu i podziału korzyści — ⬛, kazus go nie zaczepia.</w:t>
      </w:r>
    </w:p>
    <w:bookmarkEnd w:id="34"/>
    <w:bookmarkStart w:id="35" w:name="zweryfikowane-pozycje-źródłowe-k-07"/>
    <w:p>
      <w:pPr>
        <w:pStyle w:val="Heading2"/>
      </w:pPr>
      <w:r>
        <w:t xml:space="preserve">Zweryfikowane pozycje źródłowe (K-07)</w:t>
      </w:r>
    </w:p>
    <w:p>
      <w:pPr>
        <w:pStyle w:val="FirstParagraph"/>
      </w:pPr>
      <w:r>
        <w:t xml:space="preserve">Konwencja o różnorodności biologicznej, Rio de Janeiro, 5 czerwca 1992 r., CELEX 21993A1213(01) — sprawdzono art. 2 (definicje zasobów biologicznych, kraju pochodzenia zasobów genetycznych, kraju dostarczającego zasoby genetyczne, materiału genetycznego, zasobów genetycznych, warunków in-situ), art. 3, art. 8 lit. j, art. 15 ust. 1–7, art. 16 ust. 1 i 3, art. 17 ust. 2, art. 19 ust. 1. ✅ [VER: publications.europa.eu (Cellar Urzędu Publikacji UE), curl 200, pełny tekst polski, RZĄD 1, 2026-09-06]</w:t>
      </w:r>
    </w:p>
    <w:p>
      <w:pPr>
        <w:pStyle w:val="BodyText"/>
      </w:pPr>
      <w:r>
        <w:t xml:space="preserve">Protokół z Nagoi o dostępie do zasobów genetycznych oraz sprawiedliwym i równym podziale korzyści wynikających z wykorzystania tych zasobów do Konwencji o różnorodności biologicznej, CELEX 22014A0520(01) — sprawdzono art. 2 lit. a–e, art. 3, art. 4 ust. 1–4, art. 5 ust. 1–5, art. 6 ust. 1–3, art. 7, art. 8 lit. a–c, art. 9, art. 10, art. 11 ust. 1–2, art. 23. ✅ [VER: publications.europa.eu, curl 200, pełny tekst polski, RZĄD 1, 2026-09-06]</w:t>
      </w:r>
    </w:p>
    <w:p>
      <w:pPr>
        <w:pStyle w:val="BodyText"/>
      </w:pPr>
      <w:r>
        <w:t xml:space="preserve">Decyzja Konferencji Stron Konwencji o różnorodności biologicznej numer 16/2 z dnia 1 listopada 2024 r. w sprawie cyfrowej informacji sekwencyjnej o zasobach genetycznych, CBD/COP/DEC/16/2 — sprawdzono preambułę (zastrzeżenie o braku uszczerbku dla istniejących zobowiązań), punkt 2 decyzji (nazwa funduszu), punkty 2 i 3 załącznika (modalność „powinni”, progi bilansowe, stawki indykatywne), punkt 4 (ustalenie progów na siedemnastym posiedzeniu), punkt 18 (alokacja środków, w tym na rzecz ludów tubylczych i społeczności lokalnych) oraz punkt dotyczący ewentualnego dobrowolnego rozszerzenia mechanizmu na zasoby genetyczne. ✅ [VER: cbd.int, curl 200, pełny tekst PDF, RZĄD 1, 2026-09-06] — akt organu traktatowego, nie traktat; modalność zachęcająca.</w:t>
      </w:r>
    </w:p>
    <w:p>
      <w:pPr>
        <w:pStyle w:val="BodyText"/>
      </w:pPr>
      <w:r>
        <w:t xml:space="preserve">Konwencja o międzynarodowym handlu dzikimi zwierzętami i roślinami gatunków zagrożonych wyginięciem, Waszyngton, 3 marca 1973 r., UNTS vol. 993, nr I-14537 — sprawdzono art. I lit. a–f (definicje gatunku, okazu i handlu), art. III ust. 2–3, art. IV ust. 2 i 4, art. XVI ust. 1–3, art. XXIII ust. 3. ✅ [VER: treaties.un.org, curl 200, pełny tekst UNTS, RZĄD 1, 2026-09-06]</w:t>
      </w:r>
    </w:p>
    <w:p>
      <w:pPr>
        <w:pStyle w:val="BodyText"/>
      </w:pPr>
      <w:r>
        <w:t xml:space="preserve">Deklaracja Narodów Zjednoczonych o prawach ludów tubylczych (2007) — sprawdzono art. 19 oraz art. 32 ust. 1–2. ✅ [VER: un.org, curl 200, pełny tekst PDF wydania ONZ, RZĄD 1, 2026-09-06] — instrument niewiążący.</w:t>
      </w:r>
    </w:p>
    <w:p>
      <w:pPr>
        <w:pStyle w:val="BodyText"/>
      </w:pPr>
      <w:r>
        <w:t xml:space="preserve">Konwencja wiedeńska o prawie traktatów, UNTS vol. 1155, nr I-18232 — sprawdzono art. 28 (nieretroakcja). ✅ [VER: treaties.un.org, curl 200, pełny tekst UNTS, RZĄD 1, 2026-09-06]</w:t>
      </w:r>
    </w:p>
    <w:p>
      <w:pPr>
        <w:pStyle w:val="BodyText"/>
      </w:pPr>
      <w:r>
        <w:t xml:space="preserve">Nie przypisano jednostkom redakcyjnym i przedstawiono jako standard doktrynalny: kryteria taksonomicznej tożsamości organizmów odtworzonych technikami edycji genów; praktyka organów krajowych w zakresie kwalifikowania takich organizmów pod reżim ochrony gatunkowej; treść pojęcia wiedzy tradycyjnej związanej z zasobami genetycznymi w praktyce organów Konwencji; status zwyczajowy standardu swobodnej, uprzedniej i świadomej zgody. Wymagają samodzielnego potwierdzenia.</w:t>
      </w:r>
    </w:p>
    <w:bookmarkEnd w:id="35"/>
    <w:bookmarkEnd w:id="36"/>
    <w:bookmarkStart w:id="37" w:name="X18d6f8dc36d541d628db650ae99dd4b8daab66c"/>
    <w:p>
      <w:pPr>
        <w:pStyle w:val="Heading1"/>
      </w:pPr>
      <w:r>
        <w:t xml:space="preserve">Nota do partii 9 i zamknięcie części międzynarodowej</w:t>
      </w:r>
    </w:p>
    <w:p>
      <w:pPr>
        <w:pStyle w:val="FirstParagraph"/>
      </w:pPr>
      <w:r>
        <w:t xml:space="preserve">Trzy obserwacje z tej partii i dwie z całej części międzynarodowej.</w:t>
      </w:r>
    </w:p>
    <w:p>
      <w:pPr>
        <w:pStyle w:val="BodyText"/>
      </w:pPr>
      <w:r>
        <w:t xml:space="preserve">Czas gramatyczny definicji rozstrzygnął sprawę. Kraj pochodzenia to kraj, który posiada zasoby genetyczne w warunkach in-situ, a warunki in-situ to warunki, w których zasoby występują w ekosystemach. Oba przepisy opisują stan aktualny, więc wobec gatunku wymarłego nie ma kraju pochodzenia i cały reżim art. 15 odpada u podstawy. Ta sama konstrukcja powtarza się w art. 11 ust. 1 Protokołu, przez co niedostępny staje się także instrument przewidziany dla sytuacji transgranicznych. Dopiero art. 10, napisany dla przypadków, w których zgody nie da się uzyskać, pozostaje otwarty. Trzy jednostki, jedna cecha gramatyczna, dwa zamknięcia i jedno otwarcie.</w:t>
      </w:r>
    </w:p>
    <w:p>
      <w:pPr>
        <w:pStyle w:val="BodyText"/>
      </w:pPr>
      <w:r>
        <w:t xml:space="preserve">Argument z późniejszego mechanizmu wypadł niejednoznacznie i tak trzeba go było przedstawić. Ustanowienie odrębnego mechanizmu dla cyfrowej informacji sekwencyjnej jest argumentem, że reżim bazowy jej nie obejmował — ale decyzja ustanawiająca ten mechanizm zawiera wprost zastrzeżenie, że pozostaje bez uszczerbku dla praw i obowiązków wynikających z istniejących umów. Instrument, który miałby rozstrzygnąć spór, celowo go nie rozstrzyga. Przedstawienie tylko jednej strony tego argumentu byłoby w tej sprawie łatwe i nieuczciwe.</w:t>
      </w:r>
    </w:p>
    <w:p>
      <w:pPr>
        <w:pStyle w:val="BodyText"/>
      </w:pPr>
      <w:r>
        <w:t xml:space="preserve">Najmocniejsza podstawa leżała poza dziedziną, w której kazus każe jej szukać. Wszystkie sześć pytań problemowych kieruje do prawa międzynarodowego środowiska, a najsilniejszy zarzut Anecoyonu to zwykłe naruszenie umowy przekazania skamieniałości, która sekwencjonowania nie przewidywała. Nie wymaga pokonania żadnej definicji z art. 2 Konwencji i nie zależy od statusu ratyfikacyjnego czegokolwiek. Rozpoznanie tego wymagało wyjścia poza listę pytań — a lista pytań w kazusie jest zarazem pomocą i pułapką.</w:t>
      </w:r>
    </w:p>
    <w:p>
      <w:pPr>
        <w:pStyle w:val="BodyText"/>
      </w:pPr>
      <w:r>
        <w:t xml:space="preserve">Z całej części międzynarodowej wynikają dwa wnioski powtarzalne. Pierwszy: w sześciu z siedmiu kazusów rozstrzygnięcie zapadło na zakresie normy, nie na jej treści — na nagłówku katalogu, na warunku wstępnym, na czasie gramatycznym definicji, na liście państw związanych poprawką albo na tym, do której kategorii podmiotów przepis jest adresowany. Bramka normy centralnej odpaliła użytecznie w każdym z nich. Drugi: tabela kanałów dostępu okazała się nieaktualna w czterech pomiarach na siedem partii — raz na niekorzyść, gdy zapora aplikacyjna zamknęła kanał opisany jako działający, i trzykrotnie na korzyść, gdy domena opisana jako zablokowana wydała pełny tekst po zmianie kształtu żądania. Reguła „spróbuj pobrać, zanim oznaczysz” zwróciła w tej serii cztery źródła, w tym jedno, które w poprzednim podejściu do tych samych kazusów pozostało na niższym rzędzie.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kazusów wieloaspektowych — arkusz odpowiedzi</dc:title>
  <dc:creator/>
  <cp:keywords/>
  <dcterms:created xsi:type="dcterms:W3CDTF">2026-09-07T11:22:16Z</dcterms:created>
  <dcterms:modified xsi:type="dcterms:W3CDTF">2026-09-07T11:22:16Z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Partia 9: K-07 (zamknięcie części międzynarodowej)</vt:lpwstr>
  </property>
</Properties>
</file>