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f34dc5ff901bf88ad4aeafe6cd5f6d7d1d529a"/>
    <w:p>
      <w:pPr>
        <w:pStyle w:val="Heading1"/>
      </w:pPr>
      <w:r>
        <w:t xml:space="preserve">GRUPA E — PRAWO ADMINISTRACYJNE + ZAMÓWIENIA PUBLICZNE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w:r>
        <w:t xml:space="preserve">Claude Haiku 4.5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 września 2026</w:t>
      </w:r>
      <w:r>
        <w:br/>
      </w:r>
      <w:r>
        <w:rPr>
          <w:bCs/>
          <w:b/>
        </w:rPr>
        <w:t xml:space="preserve">Kazusy:</w:t>
      </w:r>
      <w:r>
        <w:t xml:space="preserve"> </w:t>
      </w:r>
      <w:r>
        <w:t xml:space="preserve">PL-02 (Osiedle na zalewowej łące) | PL-05 (Chmura dla metropolii)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— Przegląd</w:t>
      </w:r>
    </w:p>
    <w:p>
      <w:r>
        <w:pict>
          <v:rect style="width:0;height:1.5pt" o:hralign="center" o:hrstd="t" o:hr="t"/>
        </w:pict>
      </w:r>
    </w:p>
    <w:bookmarkStart w:id="25" w:name="pl-02-osiedle-na-zalewowej-łące"/>
    <w:p>
      <w:pPr>
        <w:pStyle w:val="Heading2"/>
      </w:pPr>
      <w:r>
        <w:t xml:space="preserve">PL-02: OSIEDLE NA ZALEWOWEJ ŁĄCE</w:t>
      </w:r>
    </w:p>
    <w:bookmarkStart w:id="20" w:name="i.-teza-wstępna"/>
    <w:p>
      <w:pPr>
        <w:pStyle w:val="Heading3"/>
      </w:pPr>
      <w:r>
        <w:t xml:space="preserve">I. TEZA WSTĘPNA</w:t>
      </w:r>
    </w:p>
    <w:p>
      <w:pPr>
        <w:pStyle w:val="FirstParagraph"/>
      </w:pPr>
      <w:r>
        <w:t xml:space="preserve">Plan miejscowy dopuszczający osiedle w dolinie zalewowej został uchwalony z naruszeniami proceduralnymi (konflikt interesów radnych, brak pełnej oceny skutków) i materialnych (zmiana ryzyka powodziowego). Inwestor podzielił projekt na trzy postępowania osobno, unikając skumulowanej oceny. Nadzór budowlany powinien wstrzymać roboty; gmina odpowiada za szkody. Sąd administracyjny może stwierdzić nieważność planu lub warunków zabudowy.</w:t>
      </w:r>
    </w:p>
    <w:bookmarkEnd w:id="20"/>
    <w:bookmarkStart w:id="21" w:name="ii.-zagadnienia-kluczowe"/>
    <w:p>
      <w:pPr>
        <w:pStyle w:val="Heading3"/>
      </w:pPr>
      <w:r>
        <w:t xml:space="preserve">II. ZAGADNIENIA KLUCZOWE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Konflikt interesów radnych</w:t>
      </w:r>
      <w:r>
        <w:t xml:space="preserve"> </w:t>
      </w:r>
      <w:r>
        <w:t xml:space="preserve">— wpływ na legalność uchwały (art. 18 ustawy o samorządzie gminnym)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Brak rzeczywistego udziału społeczeństwa</w:t>
      </w:r>
      <w:r>
        <w:t xml:space="preserve"> </w:t>
      </w:r>
      <w:r>
        <w:t xml:space="preserve">— naruszenie ustawy o dostępie do informacji (art. 54 Konstytucji)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Podzielenie projektu na trzy postępowania</w:t>
      </w:r>
      <w:r>
        <w:t xml:space="preserve"> </w:t>
      </w:r>
      <w:r>
        <w:t xml:space="preserve">— czy to obejście oceny skutków łącznej?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Zmiana mapy zagrożeń powodziowych</w:t>
      </w:r>
      <w:r>
        <w:t xml:space="preserve"> </w:t>
      </w:r>
      <w:r>
        <w:t xml:space="preserve">— czy powinna zmienić decyzję?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Odpowiedzialność gminy</w:t>
      </w:r>
      <w:r>
        <w:t xml:space="preserve"> </w:t>
      </w:r>
      <w:r>
        <w:t xml:space="preserve">— za szkody od zalania</w:t>
      </w:r>
    </w:p>
    <w:bookmarkEnd w:id="21"/>
    <w:bookmarkStart w:id="22" w:name="iii.-analiza-materialna"/>
    <w:p>
      <w:pPr>
        <w:pStyle w:val="Heading3"/>
      </w:pPr>
      <w:r>
        <w:t xml:space="preserve">III. ANALIZA MATERIALNA</w:t>
      </w:r>
    </w:p>
    <w:p>
      <w:pPr>
        <w:pStyle w:val="FirstParagraph"/>
      </w:pPr>
      <w:r>
        <w:rPr>
          <w:bCs/>
          <w:b/>
        </w:rPr>
        <w:t xml:space="preserve">A. Konflikt interesów i legalność uchwały (art. 18 ustawy z 8 marca 1990 o samorządzie gminnym)</w:t>
      </w:r>
    </w:p>
    <w:p>
      <w:pPr>
        <w:pStyle w:val="BodyText"/>
      </w:pPr>
      <w:r>
        <w:t xml:space="preserve">Część radnych ma rodzinne powiązania z podwykonawcą inwestora. Skutek:</w:t>
      </w:r>
      <w:r>
        <w:t xml:space="preserve"> </w:t>
      </w:r>
      <w:r>
        <w:t xml:space="preserve">- Naruszenie zasady bezstronności (brak równości stron)</w:t>
      </w:r>
      <w:r>
        <w:t xml:space="preserve"> </w:t>
      </w:r>
      <w:r>
        <w:t xml:space="preserve">- Potencjalna nieważność uchwały (art. 18 ust. 2 i 3)</w:t>
      </w:r>
      <w:r>
        <w:t xml:space="preserve"> </w:t>
      </w:r>
      <w:r>
        <w:t xml:space="preserve">- Prawo do skargi do wojewody (art. 209 ustawy o samorządzie gminnym)</w:t>
      </w:r>
    </w:p>
    <w:p>
      <w:pPr>
        <w:pStyle w:val="BodyText"/>
      </w:pPr>
      <w:r>
        <w:rPr>
          <w:bCs/>
          <w:b/>
        </w:rPr>
        <w:t xml:space="preserve">B. Ocena oddziaływania na środowisko (OOŚ)</w:t>
      </w:r>
    </w:p>
    <w:p>
      <w:pPr>
        <w:pStyle w:val="BodyText"/>
      </w:pPr>
      <w:r>
        <w:t xml:space="preserve">Ustawa o ochronie środowiska (Dz. U. z 2008 r. poz. 1227): Osiedle w dolinę = zmiana charakteru terenu.</w:t>
      </w:r>
    </w:p>
    <w:p>
      <w:pPr>
        <w:numPr>
          <w:ilvl w:val="0"/>
          <w:numId w:val="1002"/>
        </w:numPr>
        <w:pStyle w:val="Compact"/>
      </w:pPr>
      <w:r>
        <w:t xml:space="preserve">Wymagana pełna ocena oddziaływania na środowisko</w:t>
      </w:r>
    </w:p>
    <w:p>
      <w:pPr>
        <w:numPr>
          <w:ilvl w:val="0"/>
          <w:numId w:val="1002"/>
        </w:numPr>
        <w:pStyle w:val="Compact"/>
      </w:pPr>
      <w:r>
        <w:t xml:space="preserve">Raport z konsultacji społecznych (art. 54 Konstytucji + ustawa o dostępie do informacji)</w:t>
      </w:r>
    </w:p>
    <w:p>
      <w:pPr>
        <w:numPr>
          <w:ilvl w:val="0"/>
          <w:numId w:val="1002"/>
        </w:numPr>
        <w:pStyle w:val="Compact"/>
      </w:pPr>
      <w:r>
        <w:t xml:space="preserve">Brak realnego udziału społeczeństwa → naruszenie procedury</w:t>
      </w:r>
    </w:p>
    <w:p>
      <w:pPr>
        <w:pStyle w:val="FirstParagraph"/>
      </w:pPr>
      <w:r>
        <w:rPr>
          <w:bCs/>
          <w:b/>
        </w:rPr>
        <w:t xml:space="preserve">C. Planowanie przestrzenne (art. 14 ustawy o planowaniu i zagospodarowaniu przestrzennym)</w:t>
      </w:r>
    </w:p>
    <w:p>
      <w:pPr>
        <w:pStyle w:val="BodyText"/>
      </w:pPr>
      <w:r>
        <w:t xml:space="preserve">Plan musi uwzględniać zagrożenia powodziowe. Nowa mapa zagrożeń zmienia ocenę ryzyka → podanie do wznowienia postępowania planistycznego.</w:t>
      </w:r>
    </w:p>
    <w:p>
      <w:pPr>
        <w:pStyle w:val="BodyText"/>
      </w:pPr>
      <w:r>
        <w:rPr>
          <w:bCs/>
          <w:b/>
        </w:rPr>
        <w:t xml:space="preserve">D. Podzielenie projektu na trzy postępowania</w:t>
      </w:r>
    </w:p>
    <w:p>
      <w:pPr>
        <w:pStyle w:val="BodyText"/>
      </w:pPr>
      <w:r>
        <w:t xml:space="preserve">Czy to obejście? Ustawa o zamówieniach publicznych (Dz. U. z 2019 r. poz. 2019): art. 137 — zamawiający nie może dzielić zamówienia w celu obejścia procedur.</w:t>
      </w:r>
    </w:p>
    <w:p>
      <w:pPr>
        <w:numPr>
          <w:ilvl w:val="0"/>
          <w:numId w:val="1003"/>
        </w:numPr>
        <w:pStyle w:val="Compact"/>
      </w:pPr>
      <w:r>
        <w:t xml:space="preserve">Osiedle + droga + zbiornik to jeden spójny projekt</w:t>
      </w:r>
    </w:p>
    <w:p>
      <w:pPr>
        <w:numPr>
          <w:ilvl w:val="0"/>
          <w:numId w:val="1003"/>
        </w:numPr>
        <w:pStyle w:val="Compact"/>
      </w:pPr>
      <w:r>
        <w:t xml:space="preserve">Łączna ocena wpływu = wymóg</w:t>
      </w:r>
    </w:p>
    <w:p>
      <w:pPr>
        <w:numPr>
          <w:ilvl w:val="0"/>
          <w:numId w:val="1003"/>
        </w:numPr>
        <w:pStyle w:val="Compact"/>
      </w:pPr>
      <w:r>
        <w:t xml:space="preserve">Każde oddzielnie = naruszenie zasad konkurencji</w:t>
      </w:r>
    </w:p>
    <w:bookmarkEnd w:id="22"/>
    <w:bookmarkStart w:id="23" w:name="iv.-braki-faktyczne"/>
    <w:p>
      <w:pPr>
        <w:pStyle w:val="Heading3"/>
      </w:pPr>
      <w:r>
        <w:t xml:space="preserve">IV. BRAKI FAKTYCZNE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Pełny raport z konsultacji społecznych</w:t>
      </w:r>
      <w:r>
        <w:t xml:space="preserve"> </w:t>
      </w:r>
      <w:r>
        <w:t xml:space="preserve">— czy istnieje i na jakie wnioski?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Dokładne data uchwalenia planu a data nowej mapy zagrożeń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Których radnych dokładnie łączy konflikt interesów z podwykonawcą?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Czy przeprowadzono SKMK (Strategiczną Ocenę Oddziaływania)?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Protokoły z przetargu — czy wymagano spełnienia warunków powodziowych?</w:t>
      </w:r>
    </w:p>
    <w:bookmarkEnd w:id="23"/>
    <w:bookmarkStart w:id="24" w:name="v.-ocena-szans"/>
    <w:p>
      <w:pPr>
        <w:pStyle w:val="Heading3"/>
      </w:pPr>
      <w:r>
        <w:t xml:space="preserve">V. OCENA SZANS</w:t>
      </w:r>
    </w:p>
    <w:p>
      <w:pPr>
        <w:pStyle w:val="FirstParagraph"/>
      </w:pPr>
      <w:r>
        <w:rPr>
          <w:bCs/>
          <w:b/>
        </w:rPr>
        <w:t xml:space="preserve">Dla sąsiednich + organizacji ekologicznej:</w:t>
      </w:r>
      <w:r>
        <w:t xml:space="preserve"> </w:t>
      </w:r>
      <w:r>
        <w:t xml:space="preserve">- Stwierdzenie nieważności planu: 40–50%</w:t>
      </w:r>
      <w:r>
        <w:t xml:space="preserve"> </w:t>
      </w:r>
      <w:r>
        <w:t xml:space="preserve">- Wstrzymanie robót nadzorem: 70–80%</w:t>
      </w:r>
      <w:r>
        <w:t xml:space="preserve"> </w:t>
      </w:r>
      <w:r>
        <w:t xml:space="preserve">- Nakaz opracowania nowej oceny: 80%</w:t>
      </w:r>
    </w:p>
    <w:p>
      <w:pPr>
        <w:pStyle w:val="BodyText"/>
      </w:pPr>
      <w:r>
        <w:rPr>
          <w:bCs/>
          <w:b/>
        </w:rPr>
        <w:t xml:space="preserve">Dla Marty (pracownica gminy, jeśli będzie świadkiem):</w:t>
      </w:r>
      <w:r>
        <w:t xml:space="preserve"> </w:t>
      </w:r>
      <w:r>
        <w:t xml:space="preserve">Ochrona sygnalistki jeśli ujawni konflikt interesów.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l-05-chmura-dla-metropolii"/>
    <w:p>
      <w:pPr>
        <w:pStyle w:val="Heading2"/>
      </w:pPr>
      <w:r>
        <w:t xml:space="preserve">PL-05: CHMURA DLA METROPOLII</w:t>
      </w:r>
    </w:p>
    <w:bookmarkStart w:id="26" w:name="i.-teza-wstępna-1"/>
    <w:p>
      <w:pPr>
        <w:pStyle w:val="Heading3"/>
      </w:pPr>
      <w:r>
        <w:t xml:space="preserve">I. TEZA WSTĘPNA</w:t>
      </w:r>
    </w:p>
    <w:p>
      <w:pPr>
        <w:pStyle w:val="FirstParagraph"/>
      </w:pPr>
      <w:r>
        <w:t xml:space="preserve">Metropolia zawarła umowę na platformę IT z kryteriami oceny niejasno sformułowanymi (</w:t>
      </w:r>
      <w:r>
        <w:t xml:space="preserve">“</w:t>
      </w:r>
      <w:r>
        <w:t xml:space="preserve">suwerenność technologiczna</w:t>
      </w:r>
      <w:r>
        <w:t xml:space="preserve">”</w:t>
      </w:r>
      <w:r>
        <w:t xml:space="preserve">), co naruszało zasady przejrzystości zamówień publicznych. Pracodawca wybrał konsorcjum polskiego, ale faktycznie bazuje na globalnej chmurze. Konkurent wniósł do KIO; jednocześnie bezpieczeństwo systemu jest zagrożone. Sąd powinien wznowić postępowanie.</w:t>
      </w:r>
    </w:p>
    <w:bookmarkEnd w:id="26"/>
    <w:bookmarkStart w:id="27" w:name="ii.-zagadnienia-kluczowe-1"/>
    <w:p>
      <w:pPr>
        <w:pStyle w:val="Heading3"/>
      </w:pPr>
      <w:r>
        <w:t xml:space="preserve">II. ZAGADNIENIA KLUCZOWE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Niejasne kryteria oceny</w:t>
      </w:r>
      <w:r>
        <w:t xml:space="preserve"> </w:t>
      </w:r>
      <w:r>
        <w:t xml:space="preserve">— czy spełniają test przejrzystości (art. 1 PZP)?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Wybrana oferta oparta na usługach trzeciego podmiotu</w:t>
      </w:r>
      <w:r>
        <w:t xml:space="preserve"> </w:t>
      </w:r>
      <w:r>
        <w:t xml:space="preserve">— czy to utajnianie rzeczywistego zakresu?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Incydent bezpieczeństwa</w:t>
      </w:r>
      <w:r>
        <w:t xml:space="preserve"> </w:t>
      </w:r>
      <w:r>
        <w:t xml:space="preserve">— czy zmienia obowiązki zamawiającego?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Prawo konkurenta do nałożenia środka tymczasowego</w:t>
      </w:r>
      <w:r>
        <w:t xml:space="preserve"> </w:t>
      </w:r>
      <w:r>
        <w:t xml:space="preserve">— KIO, art. 181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Tajemnica w postępowaniu</w:t>
      </w:r>
      <w:r>
        <w:t xml:space="preserve"> </w:t>
      </w:r>
      <w:r>
        <w:t xml:space="preserve">— co może być utajnione wobec konkurenta a co nie?</w:t>
      </w:r>
    </w:p>
    <w:bookmarkEnd w:id="27"/>
    <w:bookmarkStart w:id="28" w:name="iii.-analiza-materialna-1"/>
    <w:p>
      <w:pPr>
        <w:pStyle w:val="Heading3"/>
      </w:pPr>
      <w:r>
        <w:t xml:space="preserve">III. ANALIZA MATERIALNA</w:t>
      </w:r>
    </w:p>
    <w:p>
      <w:pPr>
        <w:pStyle w:val="FirstParagraph"/>
      </w:pPr>
      <w:r>
        <w:rPr>
          <w:bCs/>
          <w:b/>
        </w:rPr>
        <w:t xml:space="preserve">A. Kryterium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suwerenności technologicznej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(art. 1, 24 PZP)</w:t>
      </w:r>
    </w:p>
    <w:p>
      <w:pPr>
        <w:pStyle w:val="BodyText"/>
      </w:pPr>
      <w:r>
        <w:t xml:space="preserve">PZP wymaga:</w:t>
      </w:r>
      <w:r>
        <w:t xml:space="preserve"> </w:t>
      </w:r>
      <w:r>
        <w:t xml:space="preserve">- Powiązania kryterium z przedmiotem zamówienia</w:t>
      </w:r>
      <w:r>
        <w:t xml:space="preserve"> </w:t>
      </w:r>
      <w:r>
        <w:t xml:space="preserve">- Przejrzystości i mierzalności</w:t>
      </w:r>
      <w:r>
        <w:t xml:space="preserve"> </w:t>
      </w:r>
      <w:r>
        <w:t xml:space="preserve">- Niedyskryminacyjności wobec oferentów</w:t>
      </w:r>
    </w:p>
    <w:p>
      <w:pPr>
        <w:pStyle w:val="BodyText"/>
      </w:pPr>
      <w:r>
        <w:t xml:space="preserve">“</w:t>
      </w:r>
      <w:r>
        <w:t xml:space="preserve">Suwerenność technologiczna</w:t>
      </w:r>
      <w:r>
        <w:t xml:space="preserve">”</w:t>
      </w:r>
      <w:r>
        <w:t xml:space="preserve"> </w:t>
      </w:r>
      <w:r>
        <w:t xml:space="preserve">jest:</w:t>
      </w:r>
      <w:r>
        <w:t xml:space="preserve"> </w:t>
      </w:r>
      <w:r>
        <w:t xml:space="preserve">- Zbyt ogólne (nie wiadomo, jak się ocenia)</w:t>
      </w:r>
      <w:r>
        <w:t xml:space="preserve"> </w:t>
      </w:r>
      <w:r>
        <w:t xml:space="preserve">- Dyskryminacyjne (faworyzuje polskie centra danych)</w:t>
      </w:r>
      <w:r>
        <w:t xml:space="preserve"> </w:t>
      </w:r>
      <w:r>
        <w:t xml:space="preserve">- Nieskazane na treść procedury</w:t>
      </w:r>
    </w:p>
    <w:p>
      <w:pPr>
        <w:pStyle w:val="BodyText"/>
      </w:pPr>
      <w:r>
        <w:rPr>
          <w:bCs/>
          <w:b/>
        </w:rPr>
        <w:t xml:space="preserve">Naruszenie:</w:t>
      </w:r>
      <w:r>
        <w:t xml:space="preserve"> </w:t>
      </w:r>
      <w:r>
        <w:t xml:space="preserve">Art. 1 PZP (zasada konkurencji i przejrzystości)</w:t>
      </w:r>
    </w:p>
    <w:p>
      <w:pPr>
        <w:pStyle w:val="BodyText"/>
      </w:pPr>
      <w:r>
        <w:rPr>
          <w:bCs/>
          <w:b/>
        </w:rPr>
        <w:t xml:space="preserve">B. Rola zasobów grupy vs. oferta główna (art. 70 PZP)</w:t>
      </w:r>
    </w:p>
    <w:p>
      <w:pPr>
        <w:pStyle w:val="BodyText"/>
      </w:pPr>
      <w:r>
        <w:t xml:space="preserve">Jeśli konsorcjum korzysta z sił podwykonawców i nie ujawnia tego wprost w ofercie → naruszenie art. 70 (wymóg ujawnienia).</w:t>
      </w:r>
    </w:p>
    <w:p>
      <w:pPr>
        <w:pStyle w:val="BodyText"/>
      </w:pPr>
      <w:r>
        <w:rPr>
          <w:bCs/>
          <w:b/>
        </w:rPr>
        <w:t xml:space="preserve">C. Bezpieczeństwo i ciągłość usług (art. 1 PZP)</w:t>
      </w:r>
    </w:p>
    <w:p>
      <w:pPr>
        <w:pStyle w:val="BodyText"/>
      </w:pPr>
      <w:r>
        <w:t xml:space="preserve">Incydent u dostawcy chmury pokazuje deficyty. Zamawiający chce dodać wymogi (lokalne zarządzanie kluczami).</w:t>
      </w:r>
    </w:p>
    <w:p>
      <w:pPr>
        <w:numPr>
          <w:ilvl w:val="0"/>
          <w:numId w:val="1006"/>
        </w:numPr>
        <w:pStyle w:val="Compact"/>
      </w:pPr>
      <w:r>
        <w:t xml:space="preserve">Konsorcjum: zmiana zakresu, zmiana ceny</w:t>
      </w:r>
    </w:p>
    <w:p>
      <w:pPr>
        <w:numPr>
          <w:ilvl w:val="0"/>
          <w:numId w:val="1006"/>
        </w:numPr>
        <w:pStyle w:val="Compact"/>
      </w:pPr>
      <w:r>
        <w:t xml:space="preserve">Prawo: zmiana umowy = wznowienie postępowania (KIO, art. 181)</w:t>
      </w:r>
    </w:p>
    <w:p>
      <w:pPr>
        <w:pStyle w:val="FirstParagraph"/>
      </w:pPr>
      <w:r>
        <w:rPr>
          <w:bCs/>
          <w:b/>
        </w:rPr>
        <w:t xml:space="preserve">D. Tajemnica i jawność dla konkurenta (art. 8 PZP)</w:t>
      </w:r>
    </w:p>
    <w:p>
      <w:pPr>
        <w:pStyle w:val="BodyText"/>
      </w:pPr>
      <w:r>
        <w:t xml:space="preserve">Co musi być jawne dla konkurenta przed podpisaniem?</w:t>
      </w:r>
      <w:r>
        <w:t xml:space="preserve"> </w:t>
      </w:r>
      <w:r>
        <w:t xml:space="preserve">- Kryteria oceny (jawne)</w:t>
      </w:r>
      <w:r>
        <w:t xml:space="preserve"> </w:t>
      </w:r>
      <w:r>
        <w:t xml:space="preserve">- Wyjaśnienia do ofert (jawne)</w:t>
      </w:r>
      <w:r>
        <w:t xml:space="preserve"> </w:t>
      </w:r>
      <w:r>
        <w:t xml:space="preserve">- Dokumenty techniczne dostawcy chmury (mogą być poufne, ale zamawiający musi wiedzieć)</w:t>
      </w:r>
    </w:p>
    <w:p>
      <w:pPr>
        <w:pStyle w:val="BodyText"/>
      </w:pPr>
      <w:r>
        <w:t xml:space="preserve">Konkurent może żądać dostępu do części dokumentów. Całkowite utajnienie = naruszenie.</w:t>
      </w:r>
    </w:p>
    <w:bookmarkEnd w:id="28"/>
    <w:bookmarkStart w:id="29" w:name="iv.-braki-faktyczne-1"/>
    <w:p>
      <w:pPr>
        <w:pStyle w:val="Heading3"/>
      </w:pPr>
      <w:r>
        <w:t xml:space="preserve">IV. BRAKI FAKTYCZNE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Pełny tekst kryteriów oceny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suwerenności</w:t>
      </w:r>
      <w:r>
        <w:rPr>
          <w:bCs/>
          <w:b/>
        </w:rPr>
        <w:t xml:space="preserve">”</w:t>
      </w:r>
      <w:r>
        <w:t xml:space="preserve"> </w:t>
      </w:r>
      <w:r>
        <w:t xml:space="preserve">— gdzie jest zdefiniowana?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Wyniki ewaluacji technicznej — dokładne punkty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Umowa z dostawcą chmury — czy wymaga zgody na audyt?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Timing: kiedy incydent, kiedy nowe wymogi, kiedy podpisanie?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Czy przeprowadzono DPIA (ocenę wpływu na prywatność)?</w:t>
      </w:r>
    </w:p>
    <w:bookmarkEnd w:id="29"/>
    <w:bookmarkStart w:id="30" w:name="v.-ocena-szans-1"/>
    <w:p>
      <w:pPr>
        <w:pStyle w:val="Heading3"/>
      </w:pPr>
      <w:r>
        <w:t xml:space="preserve">V. OCENA SZANS</w:t>
      </w:r>
    </w:p>
    <w:p>
      <w:pPr>
        <w:pStyle w:val="FirstParagraph"/>
      </w:pPr>
      <w:r>
        <w:rPr>
          <w:bCs/>
          <w:b/>
        </w:rPr>
        <w:t xml:space="preserve">Dla konkurenta (wniesienie do KIO):</w:t>
      </w:r>
      <w:r>
        <w:t xml:space="preserve"> </w:t>
      </w:r>
      <w:r>
        <w:t xml:space="preserve">- Wznowienie postępowania: 60–70%</w:t>
      </w:r>
      <w:r>
        <w:t xml:space="preserve"> </w:t>
      </w:r>
      <w:r>
        <w:t xml:space="preserve">- Środek tymczasowy (wstrzymanie podpisania): 50–60%</w:t>
      </w:r>
      <w:r>
        <w:t xml:space="preserve"> </w:t>
      </w:r>
      <w:r>
        <w:t xml:space="preserve">- Nagrodzenie kosztów postępowania: 40–50%</w:t>
      </w:r>
    </w:p>
    <w:p>
      <w:pPr>
        <w:pStyle w:val="BodyText"/>
      </w:pPr>
      <w:r>
        <w:rPr>
          <w:bCs/>
          <w:b/>
        </w:rPr>
        <w:t xml:space="preserve">Dla metropolii:</w:t>
      </w:r>
      <w:r>
        <w:t xml:space="preserve"> </w:t>
      </w:r>
      <w:r>
        <w:t xml:space="preserve">- Wykonanie wyroku KIO: obowiązkowe</w:t>
      </w:r>
      <w:r>
        <w:t xml:space="preserve"> </w:t>
      </w:r>
      <w:r>
        <w:t xml:space="preserve">- Koszty ponownego postępowania: mogą być znaczne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odsumowanie-grupy-e"/>
    <w:p>
      <w:pPr>
        <w:pStyle w:val="Heading2"/>
      </w:pPr>
      <w:r>
        <w:t xml:space="preserve">PODSUMOWANIE GRUPY E</w:t>
      </w:r>
    </w:p>
    <w:p>
      <w:pPr>
        <w:pStyle w:val="FirstParagraph"/>
      </w:pPr>
      <w:r>
        <w:rPr>
          <w:bCs/>
          <w:b/>
        </w:rPr>
        <w:t xml:space="preserve">Wspólny wątek:</w:t>
      </w:r>
      <w:r>
        <w:t xml:space="preserve"> </w:t>
      </w:r>
      <w:r>
        <w:t xml:space="preserve">Procedury administracyjne (planistyczne, zamówieniowe) z naruszeniami przejrzystości i jaw ności.</w:t>
      </w:r>
    </w:p>
    <w:p>
      <w:pPr>
        <w:pStyle w:val="BodyText"/>
      </w:pPr>
      <w:r>
        <w:rPr>
          <w:bCs/>
          <w:b/>
        </w:rPr>
        <w:t xml:space="preserve">Prawo właściwe:</w:t>
      </w:r>
      <w:r>
        <w:t xml:space="preserve"> </w:t>
      </w:r>
      <w:r>
        <w:t xml:space="preserve">- Ustawa o planowaniu i zagospodarowaniu przestrzennym (Dz. U. z 2003 r. poz. 717)</w:t>
      </w:r>
      <w:r>
        <w:t xml:space="preserve"> </w:t>
      </w:r>
      <w:r>
        <w:t xml:space="preserve">- Ustawa o ochronie środowiska (Dz. U. z 2008 r. poz. 1227)</w:t>
      </w:r>
      <w:r>
        <w:t xml:space="preserve"> </w:t>
      </w:r>
      <w:r>
        <w:t xml:space="preserve">- Prawo zamówień publicznych (Dz. U. z 2019 r. poz. 2019)</w:t>
      </w:r>
      <w:r>
        <w:t xml:space="preserve"> </w:t>
      </w:r>
      <w:r>
        <w:t xml:space="preserve">- Ustawa o samorządzie gminnym (z 8 marca 1990)</w:t>
      </w:r>
    </w:p>
    <w:p>
      <w:pPr>
        <w:pStyle w:val="BodyText"/>
      </w:pPr>
      <w:r>
        <w:rPr>
          <w:bCs/>
          <w:b/>
        </w:rPr>
        <w:t xml:space="preserve">Organy:</w:t>
      </w:r>
      <w:r>
        <w:t xml:space="preserve"> </w:t>
      </w:r>
      <w:r>
        <w:t xml:space="preserve">- Wojewoda (nadzór nad gmina)</w:t>
      </w:r>
      <w:r>
        <w:t xml:space="preserve"> </w:t>
      </w:r>
      <w:r>
        <w:t xml:space="preserve">- KIO (zamówienia publiczne)</w:t>
      </w:r>
      <w:r>
        <w:t xml:space="preserve"> </w:t>
      </w:r>
      <w:r>
        <w:t xml:space="preserve">- Sądy administracyjne (Prawo pracy, sądowo-administracyjne)</w:t>
      </w:r>
      <w:r>
        <w:t xml:space="preserve"> </w:t>
      </w:r>
      <w:r>
        <w:t xml:space="preserve">- Inspekcja Ochrony Środowiska</w:t>
      </w:r>
    </w:p>
    <w:p>
      <w:pPr>
        <w:pStyle w:val="BodyText"/>
      </w:pPr>
      <w:r>
        <w:rPr>
          <w:bCs/>
          <w:b/>
        </w:rPr>
        <w:t xml:space="preserve">Szanse łącznie:</w:t>
      </w:r>
      <w:r>
        <w:t xml:space="preserve"> </w:t>
      </w:r>
      <w:r>
        <w:t xml:space="preserve">55–65% dla pracowników/konkurentów/organizacji ekologicznych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2026-09-02T18:18:15Z</dcterms:created>
  <dcterms:modified xsi:type="dcterms:W3CDTF">2026-09-02T18:18:15Z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