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grupa-g-prawo-medyczne-wyborcze"/>
    <w:p>
      <w:pPr>
        <w:pStyle w:val="Heading1"/>
      </w:pPr>
      <w:r>
        <w:t xml:space="preserve">GRUPA G — PRAWO MEDYCZNE + WYBORCZE</w:t>
      </w:r>
    </w:p>
    <w:p>
      <w:pPr>
        <w:pStyle w:val="FirstParagraph"/>
      </w:pPr>
      <w:r>
        <w:rPr>
          <w:bCs/>
          <w:b/>
        </w:rPr>
        <w:t xml:space="preserve">Model:</w:t>
      </w:r>
      <w:r>
        <w:t xml:space="preserve"> </w:t>
      </w:r>
      <w:r>
        <w:t xml:space="preserve">Claude Haiku 4.5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 września 2026</w:t>
      </w:r>
      <w:r>
        <w:br/>
      </w:r>
      <w:r>
        <w:rPr>
          <w:bCs/>
          <w:b/>
        </w:rPr>
        <w:t xml:space="preserve">Kazusy:</w:t>
      </w:r>
      <w:r>
        <w:t xml:space="preserve"> </w:t>
      </w:r>
      <w:r>
        <w:t xml:space="preserve">PL-04 (Szpital podpowiada diagnozę) | PL-07 (Deepfake w wyborach)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Start w:id="26" w:name="pl-04-szpital-podpowiada-diagnozę"/>
    <w:p>
      <w:pPr>
        <w:pStyle w:val="Heading2"/>
      </w:pPr>
      <w:r>
        <w:t xml:space="preserve">PL-04: SZPITAL PODPOWIADA DIAGNOZĘ</w:t>
      </w:r>
    </w:p>
    <w:bookmarkStart w:id="20" w:name="i.-teza-wstępna"/>
    <w:p>
      <w:pPr>
        <w:pStyle w:val="Heading3"/>
      </w:pPr>
      <w:r>
        <w:t xml:space="preserve">I. TEZA WSTĘPNA</w:t>
      </w:r>
    </w:p>
    <w:p>
      <w:pPr>
        <w:pStyle w:val="FirstParagraph"/>
      </w:pPr>
      <w:r>
        <w:t xml:space="preserve">Szpital wdraża system AI (MedPrompt) do wsparcia diagnozy. System obniżył oceny ryzyka u pacjentów z nietypowymi objawami. Anna trafiła z objawami udaru, system ocenił nisko, lekarz nie badał pełnie, leczenie spóźnione, trwały uszczerbek. Dokumentacja nie zachowała pełnych wejść algorytmu ani historii wersji. Szpital, lekarz i producent dzielą odpowiedzialność.</w:t>
      </w:r>
    </w:p>
    <w:bookmarkEnd w:id="20"/>
    <w:bookmarkStart w:id="21" w:name="ii.-zagadnienia"/>
    <w:p>
      <w:pPr>
        <w:pStyle w:val="Heading3"/>
      </w:pPr>
      <w:r>
        <w:t xml:space="preserve">II. ZAGADNIENIA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Standard staranności lekarza wobec algorytmu</w:t>
      </w:r>
      <w:r>
        <w:t xml:space="preserve"> </w:t>
      </w:r>
      <w:r>
        <w:t xml:space="preserve">— czy może całkowicie polegać na systemie?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Odpowiedzialność producenta systemu</w:t>
      </w:r>
      <w:r>
        <w:t xml:space="preserve"> </w:t>
      </w:r>
      <w:r>
        <w:t xml:space="preserve">— czy to wyrób medyczny czy wsparcie?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Przetwarzanie danych pacjentki</w:t>
      </w:r>
      <w:r>
        <w:t xml:space="preserve"> </w:t>
      </w:r>
      <w:r>
        <w:t xml:space="preserve">— czy było lawful basis?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Act art. 52</w:t>
      </w:r>
      <w:r>
        <w:t xml:space="preserve"> </w:t>
      </w:r>
      <w:r>
        <w:t xml:space="preserve">— brak transparentności decyzji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Błąd medyczny</w:t>
      </w:r>
      <w:r>
        <w:t xml:space="preserve"> </w:t>
      </w:r>
      <w:r>
        <w:t xml:space="preserve">— czy przyczyna to sieć neuronowa czy lekarz?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Dokumentacja</w:t>
      </w:r>
      <w:r>
        <w:t xml:space="preserve"> </w:t>
      </w:r>
      <w:r>
        <w:t xml:space="preserve">— braki logów i wersji</w:t>
      </w:r>
    </w:p>
    <w:bookmarkEnd w:id="21"/>
    <w:bookmarkStart w:id="22" w:name="iii.-analiza"/>
    <w:p>
      <w:pPr>
        <w:pStyle w:val="Heading3"/>
      </w:pPr>
      <w:r>
        <w:t xml:space="preserve">III. ANALIZA</w:t>
      </w:r>
    </w:p>
    <w:p>
      <w:pPr>
        <w:pStyle w:val="FirstParagraph"/>
      </w:pPr>
      <w:r>
        <w:rPr>
          <w:bCs/>
          <w:b/>
        </w:rPr>
        <w:t xml:space="preserve">A. Standard staranności lekarza (Ustawa o działalności leczniczej, Dz. U. z 2011 r. poz. 654)</w:t>
      </w:r>
    </w:p>
    <w:p>
      <w:pPr>
        <w:pStyle w:val="BodyText"/>
      </w:pPr>
      <w:r>
        <w:t xml:space="preserve">Lekarz musi:</w:t>
      </w:r>
      <w:r>
        <w:t xml:space="preserve"> </w:t>
      </w:r>
      <w:r>
        <w:t xml:space="preserve">- Poddać pacjenta badaniu pełnemu, mimo co mówi algorytm</w:t>
      </w:r>
      <w:r>
        <w:t xml:space="preserve"> </w:t>
      </w:r>
      <w:r>
        <w:t xml:space="preserve">- Rozumieć logikę systemu wspomagającego</w:t>
      </w:r>
      <w:r>
        <w:t xml:space="preserve"> </w:t>
      </w:r>
      <w:r>
        <w:t xml:space="preserve">- Nie polegać ślepo na maszynie</w:t>
      </w:r>
    </w:p>
    <w:p>
      <w:pPr>
        <w:pStyle w:val="BodyText"/>
      </w:pPr>
      <w:r>
        <w:t xml:space="preserve">Standard:</w:t>
      </w:r>
      <w:r>
        <w:t xml:space="preserve"> </w:t>
      </w:r>
      <w:r>
        <w:t xml:space="preserve">“</w:t>
      </w:r>
      <w:r>
        <w:t xml:space="preserve">rozsądny lekarz w podobnej sytuacji</w:t>
      </w:r>
      <w:r>
        <w:t xml:space="preserve">”</w:t>
      </w:r>
      <w:r>
        <w:t xml:space="preserve"> </w:t>
      </w:r>
      <w:r>
        <w:t xml:space="preserve">— czy sprawdzałby dalej? Odpowiedź: TAK.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Błąd lekarza polegał na nie-zbadaniu pacjentki pełnie, pomimo algorytmu.</w:t>
      </w:r>
    </w:p>
    <w:p>
      <w:pPr>
        <w:pStyle w:val="BodyText"/>
      </w:pPr>
      <w:r>
        <w:rPr>
          <w:bCs/>
          <w:b/>
        </w:rPr>
        <w:t xml:space="preserve">B. Klasyfikacja systemu — wyrób medyczny vs. oprogramowanie wspierające (MDR 2017/745)</w:t>
      </w:r>
    </w:p>
    <w:p>
      <w:pPr>
        <w:pStyle w:val="BodyText"/>
      </w:pPr>
      <w:r>
        <w:t xml:space="preserve">MedPrompt:</w:t>
      </w:r>
      <w:r>
        <w:t xml:space="preserve"> </w:t>
      </w:r>
      <w:r>
        <w:t xml:space="preserve">- Jeśli przeznaczony do postawienia diagnozy (zamiast wsparcia) → wyrób medyczny</w:t>
      </w:r>
      <w:r>
        <w:t xml:space="preserve"> </w:t>
      </w:r>
      <w:r>
        <w:t xml:space="preserve">- Wymaga CE + dokumentacja ryzyka</w:t>
      </w:r>
      <w:r>
        <w:t xml:space="preserve"> </w:t>
      </w:r>
      <w:r>
        <w:t xml:space="preserve">- Szpital musiał przeprowadzić ocenę wpływu</w:t>
      </w:r>
    </w:p>
    <w:p>
      <w:pPr>
        <w:pStyle w:val="BodyText"/>
      </w:pPr>
      <w:r>
        <w:rPr>
          <w:bCs/>
          <w:b/>
        </w:rPr>
        <w:t xml:space="preserve">C. Odpowiedzialność producenta</w:t>
      </w:r>
    </w:p>
    <w:p>
      <w:pPr>
        <w:pStyle w:val="BodyText"/>
      </w:pPr>
      <w:r>
        <w:t xml:space="preserve">Jeśli system nie miał wymaganych certyfikatów (CE-MDR) lub zawierał błędy w modelu → odpowiada producent.</w:t>
      </w:r>
    </w:p>
    <w:p>
      <w:pPr>
        <w:pStyle w:val="BodyText"/>
      </w:pPr>
      <w:r>
        <w:t xml:space="preserve">Tutaj: wymagana ekspertyza informatyczna, którą wersję systemu było wdrażane i czy były ostrzeżenia o nowych błędach w grupach pacjentów.</w:t>
      </w:r>
    </w:p>
    <w:p>
      <w:pPr>
        <w:pStyle w:val="BodyText"/>
      </w:pPr>
      <w:r>
        <w:rPr>
          <w:bCs/>
          <w:b/>
        </w:rPr>
        <w:t xml:space="preserve">D. RODO — przetwarzanie danych medycznych (art. 9)</w:t>
      </w:r>
    </w:p>
    <w:p>
      <w:pPr>
        <w:pStyle w:val="BodyText"/>
      </w:pPr>
      <w:r>
        <w:t xml:space="preserve">Dane o zdrowiu Anna — wymagana:</w:t>
      </w:r>
      <w:r>
        <w:t xml:space="preserve"> </w:t>
      </w:r>
      <w:r>
        <w:t xml:space="preserve">- Wyraźna zgoda (art. 9 ust. 2 lit. a), LUB</w:t>
      </w:r>
      <w:r>
        <w:t xml:space="preserve"> </w:t>
      </w:r>
      <w:r>
        <w:t xml:space="preserve">- Nadzwyczajna przesłanka (art. 9 ust. 2 lit. h — konieczne dla świadczenia opieki)</w:t>
      </w:r>
    </w:p>
    <w:p>
      <w:pPr>
        <w:pStyle w:val="BodyText"/>
      </w:pPr>
      <w:r>
        <w:t xml:space="preserve">Tutaj: prawdopodobnie podstawa prawidłowa (leczenie), ale bez informacji dla pacjentki o przetwarzaniu przez algorytm → brak transparentności (art. 13, 14 RODO).</w:t>
      </w:r>
    </w:p>
    <w:p>
      <w:pPr>
        <w:pStyle w:val="BodyText"/>
      </w:pPr>
      <w:r>
        <w:rPr>
          <w:bCs/>
          <w:b/>
        </w:rPr>
        <w:t xml:space="preserve">E. AI Act art. 52</w:t>
      </w:r>
    </w:p>
    <w:p>
      <w:pPr>
        <w:pStyle w:val="BodyText"/>
      </w:pPr>
      <w:r>
        <w:t xml:space="preserve">System jest używany do wsparcia decyzji o leczeniu (wysokiego ryzyka wg AI Act). Wymaga:</w:t>
      </w:r>
      <w:r>
        <w:t xml:space="preserve"> </w:t>
      </w:r>
      <w:r>
        <w:t xml:space="preserve">- Wyjaśnienia użytkownikowi, że to AI</w:t>
      </w:r>
      <w:r>
        <w:t xml:space="preserve"> </w:t>
      </w:r>
      <w:r>
        <w:t xml:space="preserve">- Możliwości sprzeciwu</w:t>
      </w:r>
      <w:r>
        <w:t xml:space="preserve"> </w:t>
      </w:r>
      <w:r>
        <w:t xml:space="preserve">- Dokumentacji decyzji algorytmu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Naruszenie art. 52 AI Act.</w:t>
      </w:r>
    </w:p>
    <w:bookmarkEnd w:id="22"/>
    <w:bookmarkStart w:id="23" w:name="iv.-braki-faktyczne"/>
    <w:p>
      <w:pPr>
        <w:pStyle w:val="Heading3"/>
      </w:pPr>
      <w:r>
        <w:t xml:space="preserve">IV. BRAKI FAKTYCZNE</w:t>
      </w:r>
    </w:p>
    <w:p>
      <w:pPr>
        <w:numPr>
          <w:ilvl w:val="0"/>
          <w:numId w:val="1002"/>
        </w:numPr>
        <w:pStyle w:val="Compact"/>
      </w:pPr>
      <w:r>
        <w:t xml:space="preserve">Pełny kod źródłowy i dokumentacja systemu MedPrompt</w:t>
      </w:r>
    </w:p>
    <w:p>
      <w:pPr>
        <w:numPr>
          <w:ilvl w:val="0"/>
          <w:numId w:val="1002"/>
        </w:numPr>
        <w:pStyle w:val="Compact"/>
      </w:pPr>
      <w:r>
        <w:t xml:space="preserve">Która wersja systemu była wdrażana? Czy były hotfixy dotyczące objawów udarowych?</w:t>
      </w:r>
    </w:p>
    <w:p>
      <w:pPr>
        <w:numPr>
          <w:ilvl w:val="0"/>
          <w:numId w:val="1002"/>
        </w:numPr>
        <w:pStyle w:val="Compact"/>
      </w:pPr>
      <w:r>
        <w:t xml:space="preserve">Logi decyzji systemu dla Anna (wejście, wyjście, ranking ryzyka)</w:t>
      </w:r>
    </w:p>
    <w:p>
      <w:pPr>
        <w:numPr>
          <w:ilvl w:val="0"/>
          <w:numId w:val="1002"/>
        </w:numPr>
        <w:pStyle w:val="Compact"/>
      </w:pPr>
      <w:r>
        <w:t xml:space="preserve">Ostre wersje dokumentu szkoleniowego dla lekarzy — jak instruowano korzystać z systemu?</w:t>
      </w:r>
    </w:p>
    <w:p>
      <w:pPr>
        <w:numPr>
          <w:ilvl w:val="0"/>
          <w:numId w:val="1002"/>
        </w:numPr>
        <w:pStyle w:val="Compact"/>
      </w:pPr>
      <w:r>
        <w:t xml:space="preserve">Opinia eksperta medyka: czy przy bieżącej wiedzy lekarz powinienem badać dalej?</w:t>
      </w:r>
    </w:p>
    <w:p>
      <w:pPr>
        <w:numPr>
          <w:ilvl w:val="0"/>
          <w:numId w:val="1002"/>
        </w:numPr>
        <w:pStyle w:val="Compact"/>
      </w:pPr>
      <w:r>
        <w:t xml:space="preserve">Umowa z producentem — gwarancje dotyczące dokładności?</w:t>
      </w:r>
    </w:p>
    <w:bookmarkEnd w:id="23"/>
    <w:bookmarkStart w:id="24" w:name="v.-rozkład-odpowiedzialności"/>
    <w:p>
      <w:pPr>
        <w:pStyle w:val="Heading3"/>
      </w:pPr>
      <w:r>
        <w:t xml:space="preserve">V. ROZKŁAD ODPOWIEDZIALNOŚCI</w:t>
      </w:r>
    </w:p>
    <w:p>
      <w:pPr>
        <w:pStyle w:val="FirstParagraph"/>
      </w:pPr>
      <w:r>
        <w:rPr>
          <w:bCs/>
          <w:b/>
        </w:rPr>
        <w:t xml:space="preserve">Lekarz:</w:t>
      </w:r>
      <w:r>
        <w:t xml:space="preserve"> </w:t>
      </w:r>
      <w:r>
        <w:t xml:space="preserve">40–50% (nie badał pełnie pomimo czerwonych flag)</w:t>
      </w:r>
      <w:r>
        <w:br/>
      </w:r>
      <w:r>
        <w:rPr>
          <w:bCs/>
          <w:b/>
        </w:rPr>
        <w:t xml:space="preserve">Szpital:</w:t>
      </w:r>
      <w:r>
        <w:t xml:space="preserve"> </w:t>
      </w:r>
      <w:r>
        <w:t xml:space="preserve">30–40% (nie szkolił personelu, nie przeprowadził DPIA, nie miał procedury override)</w:t>
      </w:r>
      <w:r>
        <w:br/>
      </w:r>
      <w:r>
        <w:rPr>
          <w:bCs/>
          <w:b/>
        </w:rPr>
        <w:t xml:space="preserve">Producent:</w:t>
      </w:r>
      <w:r>
        <w:t xml:space="preserve"> </w:t>
      </w:r>
      <w:r>
        <w:t xml:space="preserve">20–30% (system zwrócił błędną prognozę bez ostrzeżenia)</w:t>
      </w:r>
    </w:p>
    <w:bookmarkEnd w:id="24"/>
    <w:bookmarkStart w:id="25" w:name="vi.-roszczenia-anny"/>
    <w:p>
      <w:pPr>
        <w:pStyle w:val="Heading3"/>
      </w:pPr>
      <w:r>
        <w:t xml:space="preserve">VI. ROSZCZENIA ANNY</w:t>
      </w:r>
    </w:p>
    <w:p>
      <w:pPr>
        <w:numPr>
          <w:ilvl w:val="0"/>
          <w:numId w:val="1003"/>
        </w:numPr>
        <w:pStyle w:val="Compact"/>
      </w:pPr>
      <w:r>
        <w:t xml:space="preserve">Odszkodowanie za uszczerbek zdrowia (Ustawa o ochronie konkurencji i konsumentów)</w:t>
      </w:r>
    </w:p>
    <w:p>
      <w:pPr>
        <w:numPr>
          <w:ilvl w:val="0"/>
          <w:numId w:val="1003"/>
        </w:numPr>
        <w:pStyle w:val="Compact"/>
      </w:pPr>
      <w:r>
        <w:t xml:space="preserve">Koszty rehabilitacji</w:t>
      </w:r>
    </w:p>
    <w:p>
      <w:pPr>
        <w:numPr>
          <w:ilvl w:val="0"/>
          <w:numId w:val="1003"/>
        </w:numPr>
        <w:pStyle w:val="Compact"/>
      </w:pPr>
      <w:r>
        <w:t xml:space="preserve">Utratę zarobków</w:t>
      </w:r>
    </w:p>
    <w:p>
      <w:pPr>
        <w:numPr>
          <w:ilvl w:val="0"/>
          <w:numId w:val="1003"/>
        </w:numPr>
        <w:pStyle w:val="Compact"/>
      </w:pPr>
      <w:r>
        <w:t xml:space="preserve">Zadośćuczynienie za cierpienie moralne</w:t>
      </w:r>
    </w:p>
    <w:p>
      <w:pPr>
        <w:pStyle w:val="FirstParagraph"/>
      </w:pPr>
      <w:r>
        <w:rPr>
          <w:bCs/>
          <w:b/>
        </w:rPr>
        <w:t xml:space="preserve">Szanse:</w:t>
      </w:r>
      <w:r>
        <w:t xml:space="preserve"> </w:t>
      </w:r>
      <w:r>
        <w:t xml:space="preserve">60–75%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l-07-deepfake-w-wyborach-samorządowych"/>
    <w:p>
      <w:pPr>
        <w:pStyle w:val="Heading2"/>
      </w:pPr>
      <w:r>
        <w:t xml:space="preserve">PL-07: DEEPFAKE W WYBORACH SAMORZĄDOWYCH</w:t>
      </w:r>
    </w:p>
    <w:bookmarkStart w:id="27" w:name="i.-teza-wstępna-1"/>
    <w:p>
      <w:pPr>
        <w:pStyle w:val="Heading3"/>
      </w:pPr>
      <w:r>
        <w:t xml:space="preserve">I. TEZA WSTĘPNA</w:t>
      </w:r>
    </w:p>
    <w:p>
      <w:pPr>
        <w:pStyle w:val="FirstParagraph"/>
      </w:pPr>
      <w:r>
        <w:t xml:space="preserve">Trzy dni przed wyborami pojawia się film głosu Leny z deepfake’iem — fałszywą rozmową z deweloperem. Film sponsoruje fundacja niezależna, ale zarządzana przez tę samą agencję co komitet kontrkandydata. Platforma oznacza treść jako sporną, ale nie usuwa. Biblioteka reklam zawiera brakujące dane o sponsorze. Lena ma prawo żądać usunięcia, restrykcji i odszkodowania.</w:t>
      </w:r>
    </w:p>
    <w:bookmarkEnd w:id="27"/>
    <w:bookmarkStart w:id="28" w:name="ii.-zagadnienia-1"/>
    <w:p>
      <w:pPr>
        <w:pStyle w:val="Heading3"/>
      </w:pPr>
      <w:r>
        <w:t xml:space="preserve">II. ZAGADNIENIA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Tryb wyborczy — czy film podlega szczególnym regułom?</w:t>
      </w:r>
      <w:r>
        <w:t xml:space="preserve"> </w:t>
      </w:r>
      <w:r>
        <w:t xml:space="preserve">(Kodeks wyborczy art. 135)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Dobra osobiste — wizerunek i głos</w:t>
      </w:r>
      <w:r>
        <w:t xml:space="preserve"> </w:t>
      </w:r>
      <w:r>
        <w:t xml:space="preserve">(KC art. 23–24)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Prawo autorskie — kto ma prawa do oryginalnego wywiadu?</w:t>
      </w:r>
      <w:r>
        <w:t xml:space="preserve"> </w:t>
      </w:r>
      <w:r>
        <w:t xml:space="preserve">(Ustawa o prawie autorskim)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DSA art. 35 — obowiązki platform moderacyjne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Koordynacja akcji — czy to można udowodnić?</w:t>
      </w:r>
    </w:p>
    <w:bookmarkEnd w:id="28"/>
    <w:bookmarkStart w:id="29" w:name="iii.-analiza-1"/>
    <w:p>
      <w:pPr>
        <w:pStyle w:val="Heading3"/>
      </w:pPr>
      <w:r>
        <w:t xml:space="preserve">III. ANALIZA</w:t>
      </w:r>
    </w:p>
    <w:p>
      <w:pPr>
        <w:pStyle w:val="FirstParagraph"/>
      </w:pPr>
      <w:r>
        <w:rPr>
          <w:bCs/>
          <w:b/>
        </w:rPr>
        <w:t xml:space="preserve">A. Kodeks wyborczy (art. 135)</w:t>
      </w:r>
    </w:p>
    <w:p>
      <w:pPr>
        <w:pStyle w:val="BodyText"/>
      </w:pPr>
      <w:r>
        <w:t xml:space="preserve">Art. 135: Rozpowszechnianie informacji fałszywych dotyczących kandydatów w celu wpłynięcia na wynik wyborów jest zakazane.</w:t>
      </w:r>
    </w:p>
    <w:p>
      <w:pPr>
        <w:pStyle w:val="BodyText"/>
      </w:pPr>
      <w:r>
        <w:t xml:space="preserve">Deepfake = fałszywa informacja. Jeśli wiadomo, że to deepfake → naruszenie kodeksu.</w:t>
      </w:r>
    </w:p>
    <w:p>
      <w:pPr>
        <w:pStyle w:val="BodyText"/>
      </w:pPr>
      <w:r>
        <w:t xml:space="preserve">Skutek:</w:t>
      </w:r>
      <w:r>
        <w:t xml:space="preserve"> </w:t>
      </w:r>
      <w:r>
        <w:t xml:space="preserve">- Wznowienie wyborów (art. 138 KW)</w:t>
      </w:r>
      <w:r>
        <w:t xml:space="preserve"> </w:t>
      </w:r>
      <w:r>
        <w:t xml:space="preserve">- Anulowanie wyniku (art. 139 KW)</w:t>
      </w:r>
      <w:r>
        <w:t xml:space="preserve"> </w:t>
      </w:r>
      <w:r>
        <w:t xml:space="preserve">- Grzywna 10–100 PLN (art. 113 KW — kary dla kandydatów i komitetów)</w:t>
      </w:r>
    </w:p>
    <w:p>
      <w:pPr>
        <w:pStyle w:val="BodyText"/>
      </w:pPr>
      <w:r>
        <w:rPr>
          <w:bCs/>
          <w:b/>
        </w:rPr>
        <w:t xml:space="preserve">B. Dobra osobiste — wizerunek i głos (KC art. 23–24)</w:t>
      </w:r>
    </w:p>
    <w:p>
      <w:pPr>
        <w:pStyle w:val="BodyText"/>
      </w:pPr>
      <w:r>
        <w:t xml:space="preserve">Deepfake</w:t>
      </w:r>
      <w:r>
        <w:t xml:space="preserve"> </w:t>
      </w:r>
      <w:r>
        <w:t xml:space="preserve">“</w:t>
      </w:r>
      <w:r>
        <w:t xml:space="preserve">mówi za Lenę</w:t>
      </w:r>
      <w:r>
        <w:t xml:space="preserve">”</w:t>
      </w:r>
      <w:r>
        <w:t xml:space="preserve"> </w:t>
      </w:r>
      <w:r>
        <w:t xml:space="preserve">— to naruszenie wizerunku i głosu (dobra osobiste).</w:t>
      </w:r>
    </w:p>
    <w:p>
      <w:pPr>
        <w:pStyle w:val="BodyText"/>
      </w:pPr>
      <w:r>
        <w:t xml:space="preserve">Lena może żądać:</w:t>
      </w:r>
      <w:r>
        <w:t xml:space="preserve"> </w:t>
      </w:r>
      <w:r>
        <w:t xml:space="preserve">- Zakazu rozpowszechniania (art. 24 § 1 KC)</w:t>
      </w:r>
      <w:r>
        <w:t xml:space="preserve"> </w:t>
      </w:r>
      <w:r>
        <w:t xml:space="preserve">- Odszkodowania (art. 24 § 2 KC)</w:t>
      </w:r>
      <w:r>
        <w:t xml:space="preserve"> </w:t>
      </w:r>
      <w:r>
        <w:t xml:space="preserve">- Zadośćuczynienia za cierpienie moralne (art. 24 § 3 KC)</w:t>
      </w:r>
    </w:p>
    <w:p>
      <w:pPr>
        <w:pStyle w:val="BodyText"/>
      </w:pPr>
      <w:r>
        <w:rPr>
          <w:bCs/>
          <w:b/>
        </w:rPr>
        <w:t xml:space="preserve">C. Prawo autorskie (Ustawa z 4 lutego 1994, Dz. U. z 1994 r. poz. 83)</w:t>
      </w:r>
    </w:p>
    <w:p>
      <w:pPr>
        <w:pStyle w:val="BodyText"/>
      </w:pPr>
      <w:r>
        <w:t xml:space="preserve">Jeśli deepfake wykorzystuje rzeczywisty wywiad Leny (bez zgody) → naruszenie autorskich praw osobistych (art. 16 ustawy).</w:t>
      </w:r>
    </w:p>
    <w:p>
      <w:pPr>
        <w:pStyle w:val="BodyText"/>
      </w:pPr>
      <w:r>
        <w:t xml:space="preserve">Może wnieść o:</w:t>
      </w:r>
      <w:r>
        <w:t xml:space="preserve"> </w:t>
      </w:r>
      <w:r>
        <w:t xml:space="preserve">- Usunięcie (przywrócenie do stanu poprzedniego)</w:t>
      </w:r>
      <w:r>
        <w:t xml:space="preserve"> </w:t>
      </w:r>
      <w:r>
        <w:t xml:space="preserve">- Odszkodowanie za naruszenie</w:t>
      </w:r>
    </w:p>
    <w:p>
      <w:pPr>
        <w:pStyle w:val="BodyText"/>
      </w:pPr>
      <w:r>
        <w:rPr>
          <w:bCs/>
          <w:b/>
        </w:rPr>
        <w:t xml:space="preserve">D. Digital Services Act (DSA art. 35)</w:t>
      </w:r>
    </w:p>
    <w:p>
      <w:pPr>
        <w:pStyle w:val="BodyText"/>
      </w:pPr>
      <w:r>
        <w:t xml:space="preserve">Platformy muszą:</w:t>
      </w:r>
      <w:r>
        <w:t xml:space="preserve"> </w:t>
      </w:r>
      <w:r>
        <w:t xml:space="preserve">- Moderować treści fałszywe i manipulacyjne</w:t>
      </w:r>
      <w:r>
        <w:t xml:space="preserve"> </w:t>
      </w:r>
      <w:r>
        <w:t xml:space="preserve">- Szybko reagować na zgłoszenia</w:t>
      </w:r>
      <w:r>
        <w:t xml:space="preserve"> </w:t>
      </w:r>
      <w:r>
        <w:t xml:space="preserve">- Być przejrzyste w algorytmach rekomendacji</w:t>
      </w:r>
    </w:p>
    <w:p>
      <w:pPr>
        <w:pStyle w:val="BodyText"/>
      </w:pPr>
      <w:r>
        <w:t xml:space="preserve">YouTube/TikTok: jeśli wiedziały, że to deepfake, ale nie usunęły → mogą być odpowiedzialne (art. 35 DSA).</w:t>
      </w:r>
    </w:p>
    <w:p>
      <w:pPr>
        <w:pStyle w:val="BodyText"/>
      </w:pPr>
      <w:r>
        <w:rPr>
          <w:bCs/>
          <w:b/>
        </w:rPr>
        <w:t xml:space="preserve">E. Koordynacja akcji — konflikt interesów (Kodeks wyborczy art. 71)</w:t>
      </w:r>
    </w:p>
    <w:p>
      <w:pPr>
        <w:pStyle w:val="BodyText"/>
      </w:pPr>
      <w:r>
        <w:t xml:space="preserve">Fundacja + agencja + komitet = potencjalnie skoordynowana akcja. Każdy podmiot odpowiada osobno za:</w:t>
      </w:r>
      <w:r>
        <w:t xml:space="preserve"> </w:t>
      </w:r>
      <w:r>
        <w:t xml:space="preserve">- Rozpowszechnianie fałszywych informacji</w:t>
      </w:r>
      <w:r>
        <w:t xml:space="preserve"> </w:t>
      </w:r>
      <w:r>
        <w:t xml:space="preserve">- Brak transparentności finansowania</w:t>
      </w:r>
      <w:r>
        <w:t xml:space="preserve"> </w:t>
      </w:r>
      <w:r>
        <w:t xml:space="preserve">- Naruszenie reguł dot. kampanii</w:t>
      </w:r>
    </w:p>
    <w:p>
      <w:pPr>
        <w:pStyle w:val="BodyText"/>
      </w:pPr>
      <w:r>
        <w:rPr>
          <w:bCs/>
          <w:b/>
        </w:rPr>
        <w:t xml:space="preserve">F. Biblioteka reklam — brakujące dane (DSA art. 36)</w:t>
      </w:r>
    </w:p>
    <w:p>
      <w:pPr>
        <w:pStyle w:val="BodyText"/>
      </w:pPr>
      <w:r>
        <w:t xml:space="preserve">Platformy muszą przechowywać i ujawniać dane o reklamach politycznych. Jeśli biblioteka ma braki → naruszenie art. 36 DSA.</w:t>
      </w:r>
    </w:p>
    <w:bookmarkEnd w:id="29"/>
    <w:bookmarkStart w:id="30" w:name="iv.-braki-faktyczne-1"/>
    <w:p>
      <w:pPr>
        <w:pStyle w:val="Heading3"/>
      </w:pPr>
      <w:r>
        <w:t xml:space="preserve">IV. BRAKI FAKTYCZNE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Pełna lista zawartości finansowania przez fundację</w:t>
      </w:r>
      <w:r>
        <w:t xml:space="preserve"> </w:t>
      </w:r>
      <w:r>
        <w:t xml:space="preserve">— kto faktycznie płacił?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Umowy między fundacją, agencją a komitetem</w:t>
      </w:r>
      <w:r>
        <w:t xml:space="preserve"> </w:t>
      </w:r>
      <w:r>
        <w:t xml:space="preserve">— czy istnieją?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Kiedy platforma została poinformowana o deepfake’u?</w:t>
      </w:r>
      <w:r>
        <w:t xml:space="preserve"> </w:t>
      </w:r>
      <w:r>
        <w:t xml:space="preserve">(Lena → platforma)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Logi usunięcia/edycji wideo</w:t>
      </w:r>
      <w:r>
        <w:t xml:space="preserve"> </w:t>
      </w:r>
      <w:r>
        <w:t xml:space="preserve">— czy platforma brała czasy akcji?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Dowód, że to deepfake</w:t>
      </w:r>
      <w:r>
        <w:t xml:space="preserve"> </w:t>
      </w:r>
      <w:r>
        <w:t xml:space="preserve">— opinia eksperta ds. śledztwa cyfrowego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Ile osób widziało film przed usunięciem?</w:t>
      </w:r>
    </w:p>
    <w:bookmarkEnd w:id="30"/>
    <w:bookmarkStart w:id="31" w:name="v.-ocena-szans"/>
    <w:p>
      <w:pPr>
        <w:pStyle w:val="Heading3"/>
      </w:pPr>
      <w:r>
        <w:t xml:space="preserve">V. OCENA SZANS</w:t>
      </w:r>
    </w:p>
    <w:p>
      <w:pPr>
        <w:pStyle w:val="FirstParagraph"/>
      </w:pPr>
      <w:r>
        <w:rPr>
          <w:bCs/>
          <w:b/>
        </w:rPr>
        <w:t xml:space="preserve">Dla Leny:</w:t>
      </w:r>
      <w:r>
        <w:t xml:space="preserve"> </w:t>
      </w:r>
      <w:r>
        <w:t xml:space="preserve">- Usunięcie wideo: 95%+ (prawie pewne)</w:t>
      </w:r>
      <w:r>
        <w:t xml:space="preserve"> </w:t>
      </w:r>
      <w:r>
        <w:t xml:space="preserve">- Nakaz restrykcji na platformie: 85–90%</w:t>
      </w:r>
      <w:r>
        <w:t xml:space="preserve"> </w:t>
      </w:r>
      <w:r>
        <w:t xml:space="preserve">- Odszkodowanie za naruszenie dobr osobistych: 70–80%</w:t>
      </w:r>
      <w:r>
        <w:t xml:space="preserve"> </w:t>
      </w:r>
      <w:r>
        <w:t xml:space="preserve">- Wznowienie wyborów: 20–30% (trudne, bo emocjonalne)</w:t>
      </w:r>
    </w:p>
    <w:p>
      <w:pPr>
        <w:pStyle w:val="BodyText"/>
      </w:pPr>
      <w:r>
        <w:rPr>
          <w:bCs/>
          <w:b/>
        </w:rPr>
        <w:t xml:space="preserve">Dla prokuratury (jeśli będzie zawiadomienie):</w:t>
      </w:r>
      <w:r>
        <w:t xml:space="preserve"> </w:t>
      </w:r>
      <w:r>
        <w:t xml:space="preserve">- Ustalenie autorów deepfake’u: 60–70%</w:t>
      </w:r>
      <w:r>
        <w:t xml:space="preserve"> </w:t>
      </w:r>
      <w:r>
        <w:t xml:space="preserve">- Postawienie zarzutów (Kodeks wyborczy): 70–80%</w:t>
      </w:r>
      <w:r>
        <w:t xml:space="preserve"> </w:t>
      </w:r>
      <w:r>
        <w:t xml:space="preserve">- Skazanie: 50–65%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odsumowanie-grupy-g"/>
    <w:p>
      <w:pPr>
        <w:pStyle w:val="Heading2"/>
      </w:pPr>
      <w:r>
        <w:t xml:space="preserve">PODSUMOWANIE GRUPY G</w:t>
      </w:r>
    </w:p>
    <w:p>
      <w:pPr>
        <w:pStyle w:val="FirstParagraph"/>
      </w:pPr>
      <w:r>
        <w:rPr>
          <w:bCs/>
          <w:b/>
        </w:rPr>
        <w:t xml:space="preserve">Wspólny wątek:</w:t>
      </w:r>
      <w:r>
        <w:t xml:space="preserve"> </w:t>
      </w:r>
      <w:r>
        <w:t xml:space="preserve">Technologia zmienia prawo — algorytmy diagnozujące vs. deepfaki.</w:t>
      </w:r>
    </w:p>
    <w:p>
      <w:pPr>
        <w:pStyle w:val="BodyText"/>
      </w:pPr>
      <w:r>
        <w:rPr>
          <w:bCs/>
          <w:b/>
        </w:rPr>
        <w:t xml:space="preserve">Prawo właściwe:</w:t>
      </w:r>
      <w:r>
        <w:t xml:space="preserve"> </w:t>
      </w:r>
      <w:r>
        <w:t xml:space="preserve">- Kodeks cywilny (KC art. 23–24, dobra osobiste)</w:t>
      </w:r>
      <w:r>
        <w:t xml:space="preserve"> </w:t>
      </w:r>
      <w:r>
        <w:t xml:space="preserve">- Ustawa o działalności leczniczej (Dz. U. z 2011 r. poz. 654)</w:t>
      </w:r>
      <w:r>
        <w:t xml:space="preserve"> </w:t>
      </w:r>
      <w:r>
        <w:t xml:space="preserve">- AI Act (art. 52 — transparentność)</w:t>
      </w:r>
      <w:r>
        <w:t xml:space="preserve"> </w:t>
      </w:r>
      <w:r>
        <w:t xml:space="preserve">- Kodeks wyborczy (art. 135 — fałszywe informacje)</w:t>
      </w:r>
      <w:r>
        <w:t xml:space="preserve"> </w:t>
      </w:r>
      <w:r>
        <w:t xml:space="preserve">- Prawo autorskie (Ustawa z 4 lutego 1994)</w:t>
      </w:r>
      <w:r>
        <w:t xml:space="preserve"> </w:t>
      </w:r>
      <w:r>
        <w:t xml:space="preserve">- Digital Services Act (DSA art. 35–36)</w:t>
      </w:r>
      <w:r>
        <w:t xml:space="preserve"> </w:t>
      </w:r>
      <w:r>
        <w:t xml:space="preserve">- RODO (art. 5, 6, 9 — dane medyczne)</w:t>
      </w:r>
    </w:p>
    <w:p>
      <w:pPr>
        <w:pStyle w:val="BodyText"/>
      </w:pPr>
      <w:r>
        <w:rPr>
          <w:bCs/>
          <w:b/>
        </w:rPr>
        <w:t xml:space="preserve">Organy:</w:t>
      </w:r>
      <w:r>
        <w:t xml:space="preserve"> </w:t>
      </w:r>
      <w:r>
        <w:t xml:space="preserve">- Sądy cywilne (odszkodowanie za naruszenie dobr osobistych)</w:t>
      </w:r>
      <w:r>
        <w:t xml:space="preserve"> </w:t>
      </w:r>
      <w:r>
        <w:t xml:space="preserve">- Sądy karne (Kodeks wyborczy)</w:t>
      </w:r>
      <w:r>
        <w:t xml:space="preserve"> </w:t>
      </w:r>
      <w:r>
        <w:t xml:space="preserve">- PKW (procedury wyborcze)</w:t>
      </w:r>
      <w:r>
        <w:t xml:space="preserve"> </w:t>
      </w:r>
      <w:r>
        <w:t xml:space="preserve">- UODO (RODO)</w:t>
      </w:r>
      <w:r>
        <w:t xml:space="preserve"> </w:t>
      </w:r>
      <w:r>
        <w:t xml:space="preserve">- Komisja Europejska (DSA — nadzór nad platformami)</w:t>
      </w:r>
    </w:p>
    <w:p>
      <w:pPr>
        <w:pStyle w:val="BodyText"/>
      </w:pPr>
      <w:r>
        <w:rPr>
          <w:bCs/>
          <w:b/>
        </w:rPr>
        <w:t xml:space="preserve">Szanse:</w:t>
      </w:r>
      <w:r>
        <w:t xml:space="preserve"> </w:t>
      </w:r>
      <w:r>
        <w:t xml:space="preserve">- Dla pacjentów (PL-04): 65–75%</w:t>
      </w:r>
      <w:r>
        <w:t xml:space="preserve"> </w:t>
      </w:r>
      <w:r>
        <w:t xml:space="preserve">- Dla kandydatów (PL-07): 70–85%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2026-09-02T18:18:15Z</dcterms:created>
  <dcterms:modified xsi:type="dcterms:W3CDTF">2026-09-02T18:18:15Z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