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c9bc2b3deb2e6cd3ba8ce01ec324eac0d475bcd"/>
    <w:p>
      <w:pPr>
        <w:pStyle w:val="Heading1"/>
      </w:pPr>
      <w:r>
        <w:t xml:space="preserve">GRUPA D — PRAWO PRACY + AI + OCHRONA SYGNALISTÓW</w:t>
      </w:r>
    </w:p>
    <w:bookmarkStart w:id="20" w:name="pl-01-algorytm-zwalnia-sygnalistkę"/>
    <w:p>
      <w:pPr>
        <w:pStyle w:val="Heading2"/>
      </w:pPr>
      <w:r>
        <w:t xml:space="preserve">PL-01 — Algorytm zwalnia sygnalistkę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Model:</w:t>
      </w:r>
      <w:r>
        <w:t xml:space="preserve"> </w:t>
      </w:r>
      <w:r>
        <w:t xml:space="preserve">Claude Haiku 4.5</w:t>
      </w:r>
      <w:r>
        <w:br/>
      </w:r>
      <w:r>
        <w:rPr>
          <w:bCs/>
          <w:b/>
        </w:rPr>
        <w:t xml:space="preserve">Data odpowiedzi:</w:t>
      </w:r>
      <w:r>
        <w:t xml:space="preserve"> </w:t>
      </w:r>
      <w:r>
        <w:t xml:space="preserve">2 września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DRAFT — Wersja robocza do checkpoint approval</w:t>
      </w:r>
      <w:r>
        <w:br/>
      </w:r>
      <w:r>
        <w:rPr>
          <w:bCs/>
          <w:b/>
        </w:rPr>
        <w:t xml:space="preserve">Ścieżka weryfikacji:</w:t>
      </w:r>
      <w:r>
        <w:t xml:space="preserve"> </w:t>
      </w:r>
      <w:r>
        <w:t xml:space="preserve">Router → dr-04 → dr-11 → ISAP</w:t>
      </w:r>
    </w:p>
    <w:p>
      <w:r>
        <w:pict>
          <v:rect style="width:0;height:1.5pt" o:hralign="center" o:hrstd="t" o:hr="t"/>
        </w:pict>
      </w:r>
    </w:p>
    <w:bookmarkEnd w:id="20"/>
    <w:bookmarkStart w:id="21" w:name="i.-teza-wstępna"/>
    <w:p>
      <w:pPr>
        <w:pStyle w:val="Heading2"/>
      </w:pPr>
      <w:r>
        <w:t xml:space="preserve">I. TEZA WSTĘPNA</w:t>
      </w:r>
    </w:p>
    <w:p>
      <w:pPr>
        <w:pStyle w:val="FirstParagraph"/>
      </w:pPr>
      <w:r>
        <w:t xml:space="preserve">Marta powinna uzyskać ochronę jako sygnalistka na podstawie Ustawy o ochronie sygnalistów (Dz. U. z 2024 r. poz. 928), choć jej postępowanie przy ujawnieniu mediom tworzy ryzyko utraty części ochrony. Wypowiedzenie umowy zawiera domniemanie działania odwetowego wobec zgłoszenia wewnętrznego. Główne zagadnienia to: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Prawo pracy</w:t>
      </w:r>
      <w:r>
        <w:t xml:space="preserve"> </w:t>
      </w:r>
      <w:r>
        <w:t xml:space="preserve">— czy zwolnienie było rzeczywistą reorganizacją i czy zawiera działanie odwetowe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Ochrona sygnalistów</w:t>
      </w:r>
      <w:r>
        <w:t xml:space="preserve"> </w:t>
      </w:r>
      <w:r>
        <w:t xml:space="preserve">— zakres ochrony i jej utrata po ujawnieniu mediom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RODO</w:t>
      </w:r>
      <w:r>
        <w:t xml:space="preserve"> </w:t>
      </w:r>
      <w:r>
        <w:t xml:space="preserve">— przetwarzanie danych i prawa dostępu do algorytmu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Act</w:t>
      </w:r>
      <w:r>
        <w:t xml:space="preserve"> </w:t>
      </w:r>
      <w:r>
        <w:t xml:space="preserve">— status systemu PeopleScore jako wsparcia decyzji vs. decyzji zautomatyzowanej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Tajemnica zawodowa</w:t>
      </w:r>
      <w:r>
        <w:t xml:space="preserve"> </w:t>
      </w:r>
      <w:r>
        <w:t xml:space="preserve">— dopuszczalność ujawnienia dokumentów dziennikarzowi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Dowody cyfrowe</w:t>
      </w:r>
      <w:r>
        <w:t xml:space="preserve"> </w:t>
      </w:r>
      <w:r>
        <w:t xml:space="preserve">— znaczenie brakujących logów i ich retroaktywna regeneracja</w:t>
      </w:r>
    </w:p>
    <w:p>
      <w:r>
        <w:pict>
          <v:rect style="width:0;height:1.5pt" o:hralign="center" o:hrstd="t" o:hr="t"/>
        </w:pict>
      </w:r>
    </w:p>
    <w:bookmarkEnd w:id="21"/>
    <w:bookmarkStart w:id="22" w:name="ii.-mapa-jurysdykcji-i-kompetencji"/>
    <w:p>
      <w:pPr>
        <w:pStyle w:val="Heading2"/>
      </w:pPr>
      <w:r>
        <w:t xml:space="preserve">II. MAPA JURYSDYKCJI I KOMPETENCJI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Zagadnienie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Prawo właściwe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Zwolnienie i ochrona w stosunku pracy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Sąd pracy (I instancja)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Powództwo pracownika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KP, Ustawa o ochronie sygnalistów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Działania odwetowe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Sąd pracy lub UODO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Skarga do UODO / powództwo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Ustawa o ochronie sygnalistów (art. 11–22)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RODO — prawo dostępu do danych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UODO, Sąd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Wniosek o dostęp, skarga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RODO (art. 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Act — ocena zgodności algorytmu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Sąd, UODO, PIP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Pytanie prejudycjalne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Act (art. 52, 86)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Tajemnica zawodowa — ujawnienie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Sąd penitencjarny, prokuratura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Powództwo o restrykcję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KK (art. 266), KC (art. 23–24)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Odpowiedzialność dostawcy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Sąd okręgowy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Powództwo o odszkodowanie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 (art. 471–472), AI Act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9" w:name="iii.-analiza-materialna-przesłanki"/>
    <w:p>
      <w:pPr>
        <w:pStyle w:val="Heading2"/>
      </w:pPr>
      <w:r>
        <w:t xml:space="preserve">III. ANALIZA MATERIALNA — PRZESŁANKI</w:t>
      </w:r>
    </w:p>
    <w:bookmarkStart w:id="23" w:name="X80bd3ce74e28f138a43918853fc334080f56be0"/>
    <w:p>
      <w:pPr>
        <w:pStyle w:val="Heading3"/>
      </w:pPr>
      <w:r>
        <w:t xml:space="preserve">A. OCHRONA SYGNALISTÓW — Art. 6 Ustawy o ochronie sygnalistów</w:t>
      </w:r>
    </w:p>
    <w:p>
      <w:pPr>
        <w:pStyle w:val="FirstParagraph"/>
      </w:pPr>
      <w:r>
        <w:rPr>
          <w:bCs/>
          <w:b/>
        </w:rPr>
        <w:t xml:space="preserve">Przesłanki:</w:t>
      </w:r>
      <w:r>
        <w:t xml:space="preserve"> </w:t>
      </w:r>
      <w:r>
        <w:t xml:space="preserve">1. ✓ Dokonanie zgłoszenia (wewnętrznego do pracodawcy)</w:t>
      </w:r>
      <w:r>
        <w:t xml:space="preserve"> </w:t>
      </w:r>
      <w:r>
        <w:t xml:space="preserve">2. ✓ Informacja o naruszeniu prawa (dyskryminacja przy rekrutacji na podstawie statusu rodzinnego — naruszenie art. 3a KP)</w:t>
      </w:r>
      <w:r>
        <w:t xml:space="preserve"> </w:t>
      </w:r>
      <w:r>
        <w:t xml:space="preserve">3. ✓ Uzasadnione podstawy sądzić, że informacja jest prawdziwa</w:t>
      </w:r>
      <w:r>
        <w:t xml:space="preserve"> </w:t>
      </w:r>
      <w:r>
        <w:t xml:space="preserve">4. ✓ Ochrona od chwili zgłoszenia</w:t>
      </w:r>
    </w:p>
    <w:p>
      <w:pPr>
        <w:pStyle w:val="BodyText"/>
      </w:pPr>
      <w:r>
        <w:rPr>
          <w:bCs/>
          <w:b/>
        </w:rPr>
        <w:t xml:space="preserve">Analiza faktów:</w:t>
      </w:r>
      <w:r>
        <w:t xml:space="preserve"> </w:t>
      </w:r>
      <w:r>
        <w:t xml:space="preserve">- Marta zgłosiła naruszenie</w:t>
      </w:r>
      <w:r>
        <w:t xml:space="preserve"> </w:t>
      </w:r>
      <w:r>
        <w:rPr>
          <w:bCs/>
          <w:b/>
        </w:rPr>
        <w:t xml:space="preserve">wewnętrznie</w:t>
      </w:r>
      <w:r>
        <w:t xml:space="preserve"> </w:t>
      </w:r>
      <w:r>
        <w:t xml:space="preserve">— formalnie uprawniona</w:t>
      </w:r>
      <w:r>
        <w:t xml:space="preserve"> </w:t>
      </w:r>
      <w:r>
        <w:t xml:space="preserve">- Naruszenie: system obniża ocenę kobiet po urlopach rodzicielskich → dyskryminacja płciowa (art. 3a KP)</w:t>
      </w:r>
      <w:r>
        <w:t xml:space="preserve"> </w:t>
      </w:r>
      <w:r>
        <w:t xml:space="preserve">- Pytanie: czy „fragmenty kodu” i „dane testowe” stanowiły ujawnienie tajemnic, czy niezbędne dowody?</w:t>
      </w:r>
    </w:p>
    <w:p>
      <w:pPr>
        <w:pStyle w:val="BodyText"/>
      </w:pPr>
      <w:r>
        <w:rPr>
          <w:bCs/>
          <w:b/>
        </w:rPr>
        <w:t xml:space="preserve">Ryzyko:</w:t>
      </w:r>
      <w:r>
        <w:t xml:space="preserve"> </w:t>
      </w:r>
      <w:r>
        <w:t xml:space="preserve">Art. 51–52 Ustawy o ochronie sygnalistów —</w:t>
      </w:r>
      <w:r>
        <w:t xml:space="preserve"> </w:t>
      </w:r>
      <w:r>
        <w:rPr>
          <w:bCs/>
          <w:b/>
        </w:rPr>
        <w:t xml:space="preserve">utrata ochrony po ujawnieniu mediom</w:t>
      </w:r>
      <w:r>
        <w:t xml:space="preserve"> </w:t>
      </w:r>
      <w:r>
        <w:t xml:space="preserve">bez uprzedniego wyczerpania procedur zgłoszeń wewnętrznych i zewnętrznych.</w:t>
      </w:r>
    </w:p>
    <w:p>
      <w:r>
        <w:pict>
          <v:rect style="width:0;height:1.5pt" o:hralign="center" o:hrstd="t" o:hr="t"/>
        </w:pict>
      </w:r>
    </w:p>
    <w:bookmarkEnd w:id="23"/>
    <w:bookmarkStart w:id="24" w:name="X152b216c40896e35bad488fbe17d6b8db4f54b8"/>
    <w:p>
      <w:pPr>
        <w:pStyle w:val="Heading3"/>
      </w:pPr>
      <w:r>
        <w:t xml:space="preserve">B. DZIAŁANIA ODWETOWE — Art. 11 Ustawy o ochronie sygnalistów</w:t>
      </w:r>
    </w:p>
    <w:p>
      <w:pPr>
        <w:pStyle w:val="FirstParagraph"/>
      </w:pPr>
      <w:r>
        <w:rPr>
          <w:bCs/>
          <w:b/>
        </w:rPr>
        <w:t xml:space="preserve">Zakres:</w:t>
      </w:r>
      <w:r>
        <w:t xml:space="preserve"> </w:t>
      </w:r>
      <w:r>
        <w:t xml:space="preserve">&gt; „Wobec sygnalisty nie mogą być podejmowane działania odwetowe ani próby lub groźby zastosowania takich działań.”</w:t>
      </w:r>
    </w:p>
    <w:p>
      <w:pPr>
        <w:pStyle w:val="BodyText"/>
      </w:pPr>
      <w:r>
        <w:rPr>
          <w:bCs/>
          <w:b/>
        </w:rPr>
        <w:t xml:space="preserve">Przykłady (art. 12):</w:t>
      </w:r>
      <w:r>
        <w:t xml:space="preserve"> </w:t>
      </w:r>
      <w:r>
        <w:t xml:space="preserve">- wypowiedzenie umowy (art. 12 pkt 1)</w:t>
      </w:r>
      <w:r>
        <w:t xml:space="preserve"> </w:t>
      </w:r>
      <w:r>
        <w:t xml:space="preserve">- zmiana warunków zatrudnienia (art. 12 pkt 2)</w:t>
      </w:r>
      <w:r>
        <w:t xml:space="preserve"> </w:t>
      </w:r>
      <w:r>
        <w:t xml:space="preserve">- pozbawienie awansu (art. 12 pkt 3)</w:t>
      </w:r>
      <w:r>
        <w:t xml:space="preserve"> </w:t>
      </w:r>
      <w:r>
        <w:t xml:space="preserve">- negatywne oceny pracownika (art. 12 pkt 4) —</w:t>
      </w:r>
      <w:r>
        <w:t xml:space="preserve"> </w:t>
      </w:r>
      <w:r>
        <w:rPr>
          <w:bCs/>
          <w:b/>
        </w:rPr>
        <w:t xml:space="preserve">TUTAJ PeopleScore</w:t>
      </w:r>
    </w:p>
    <w:p>
      <w:pPr>
        <w:pStyle w:val="BodyText"/>
      </w:pPr>
      <w:r>
        <w:rPr>
          <w:bCs/>
          <w:b/>
        </w:rPr>
        <w:t xml:space="preserve">Domniemanie (art. 13 ust. 1):</w:t>
      </w:r>
      <w:r>
        <w:t xml:space="preserve"> </w:t>
      </w:r>
      <w:r>
        <w:t xml:space="preserve">&gt; „Jeżeli pracownik dokonał zgłoszenia lub ujawnienia publicznego, a następnie doświadczył działań odwetowych, uważa się, że działania odwetowe miały związek z dokonaniem zgłoszenia”.</w:t>
      </w:r>
    </w:p>
    <w:p>
      <w:pPr>
        <w:pStyle w:val="BodyText"/>
      </w:pPr>
      <w:r>
        <w:rPr>
          <w:bCs/>
          <w:b/>
        </w:rPr>
        <w:t xml:space="preserve">Praktyka:</w:t>
      </w:r>
      <w:r>
        <w:t xml:space="preserve"> </w:t>
      </w:r>
      <w:r>
        <w:t xml:space="preserve">- Dwa tygodnie po zgłoszeniu: obniżenie ratingu przez algorytm</w:t>
      </w:r>
      <w:r>
        <w:t xml:space="preserve"> </w:t>
      </w:r>
      <w:r>
        <w:t xml:space="preserve">- Miesiąc później: wypowiedzenie z przyczyn „reorganizacyjnych”</w:t>
      </w:r>
      <w:r>
        <w:t xml:space="preserve"> </w:t>
      </w:r>
      <w:r>
        <w:t xml:space="preserve">- Po miesiącu: utworzenie podobnego stanowiska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Domniemanie działa — ciężar dowodu przechodzi na pracodawcę</w:t>
      </w:r>
    </w:p>
    <w:p>
      <w:r>
        <w:pict>
          <v:rect style="width:0;height:1.5pt" o:hralign="center" o:hrstd="t" o:hr="t"/>
        </w:pict>
      </w:r>
    </w:p>
    <w:bookmarkEnd w:id="24"/>
    <w:bookmarkStart w:id="25" w:name="c.-wypowiedzenie-umowy-art.-52-kp"/>
    <w:p>
      <w:pPr>
        <w:pStyle w:val="Heading3"/>
      </w:pPr>
      <w:r>
        <w:t xml:space="preserve">C. WYPOWIEDZENIE UMOWY — Art. 52 KP</w:t>
      </w:r>
    </w:p>
    <w:p>
      <w:pPr>
        <w:pStyle w:val="FirstParagraph"/>
      </w:pPr>
      <w:r>
        <w:rPr>
          <w:bCs/>
          <w:b/>
        </w:rPr>
        <w:t xml:space="preserve">Wymóg podstawy:</w:t>
      </w:r>
      <w:r>
        <w:t xml:space="preserve"> </w:t>
      </w:r>
      <w:r>
        <w:t xml:space="preserve">- Wypowiedzenie z przyczyn pracownika (art. 52 § 1 KP) — wymagane m.in. rażące naruszenie, utrata kwalifikacji</w:t>
      </w:r>
      <w:r>
        <w:t xml:space="preserve"> </w:t>
      </w:r>
      <w:r>
        <w:t xml:space="preserve">- Wypowiedzenie z przyczyn zakładu (art. 52 § 2 KP) — nadmiar zatrudnienia, restrukturyzacja, likwidacja</w:t>
      </w:r>
    </w:p>
    <w:p>
      <w:pPr>
        <w:pStyle w:val="BodyText"/>
      </w:pPr>
      <w:r>
        <w:rPr>
          <w:bCs/>
          <w:b/>
        </w:rPr>
        <w:t xml:space="preserve">W kazusie:</w:t>
      </w:r>
      <w:r>
        <w:t xml:space="preserve"> </w:t>
      </w:r>
      <w:r>
        <w:t xml:space="preserve">- Pracodawca powołuje się na „reorganizację” (przyczyna zakładu)</w:t>
      </w:r>
      <w:r>
        <w:t xml:space="preserve"> </w:t>
      </w:r>
      <w:r>
        <w:t xml:space="preserve">- Jednak: utworzenie podobnego stanowiska miesiąc później → brak rzeczywistej reorganizacji</w:t>
      </w:r>
    </w:p>
    <w:p>
      <w:pPr>
        <w:pStyle w:val="BodyText"/>
      </w:pPr>
      <w:r>
        <w:rPr>
          <w:bCs/>
          <w:b/>
        </w:rPr>
        <w:t xml:space="preserve">Orzecznictwo:</w:t>
      </w:r>
      <w:r>
        <w:t xml:space="preserve"> </w:t>
      </w:r>
      <w:r>
        <w:t xml:space="preserve">- Jeśli pracownik dokonał zgłoszenia, a następnie zwolniono go bez rzeczywistej przyczyny, wypowiedzenie jest działaniem odwetowym (</w:t>
      </w:r>
      <w:r>
        <w:rPr>
          <w:bCs/>
          <w:b/>
        </w:rPr>
        <w:t xml:space="preserve">domniemanie z art. 13 ust. 1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5"/>
    <w:bookmarkStart w:id="26" w:name="X9e2b38839315932ae4991ec86819bced7415d37"/>
    <w:p>
      <w:pPr>
        <w:pStyle w:val="Heading3"/>
      </w:pPr>
      <w:r>
        <w:t xml:space="preserve">D. SYSTEM AUTOMAT YZOWANY vs. WSPIERAJĄCY — AI Act</w:t>
      </w:r>
    </w:p>
    <w:p>
      <w:pPr>
        <w:pStyle w:val="FirstParagraph"/>
      </w:pPr>
      <w:r>
        <w:rPr>
          <w:bCs/>
          <w:b/>
        </w:rPr>
        <w:t xml:space="preserve">Art. 3 AI Act:</w:t>
      </w:r>
      <w:r>
        <w:t xml:space="preserve"> </w:t>
      </w:r>
      <w:r>
        <w:t xml:space="preserve">&gt; „decyzja zautomatyzowana” — decyzja podejmowana przez system bez istotnego udziału człowieka</w:t>
      </w:r>
    </w:p>
    <w:p>
      <w:pPr>
        <w:pStyle w:val="BodyText"/>
      </w:pPr>
      <w:r>
        <w:rPr>
          <w:bCs/>
          <w:b/>
        </w:rPr>
        <w:t xml:space="preserve">Art. 52 AI Act (wymóg informacji):</w:t>
      </w:r>
      <w:r>
        <w:t xml:space="preserve"> </w:t>
      </w:r>
      <w:r>
        <w:t xml:space="preserve">- Użytkownik musi wiedzieć, że poddawany jest decyzji zautomatyzowanej</w:t>
      </w:r>
      <w:r>
        <w:t xml:space="preserve"> </w:t>
      </w:r>
      <w:r>
        <w:t xml:space="preserve">- Musi mieć prawo sprzeciwu i wyjaśnienia</w:t>
      </w:r>
    </w:p>
    <w:p>
      <w:pPr>
        <w:pStyle w:val="BodyText"/>
      </w:pPr>
      <w:r>
        <w:rPr>
          <w:bCs/>
          <w:b/>
        </w:rPr>
        <w:t xml:space="preserve">W kazusie:</w:t>
      </w:r>
      <w:r>
        <w:t xml:space="preserve"> </w:t>
      </w:r>
      <w:r>
        <w:t xml:space="preserve">- PeopleScore obniża rating automatycznie</w:t>
      </w:r>
      <w:r>
        <w:t xml:space="preserve"> </w:t>
      </w:r>
      <w:r>
        <w:t xml:space="preserve">- Interfejs pokazuje „rekomendację kliniczną”, ale rzeczywiście system decyduje</w:t>
      </w:r>
      <w:r>
        <w:t xml:space="preserve"> </w:t>
      </w:r>
      <w:r>
        <w:t xml:space="preserve">- Lekarz/kierownik akceptuje bez pełnego badania = faktycznie zautomatyzowana</w:t>
      </w:r>
    </w:p>
    <w:p>
      <w:pPr>
        <w:pStyle w:val="BodyText"/>
      </w:pPr>
      <w:r>
        <w:rPr>
          <w:bCs/>
          <w:b/>
        </w:rPr>
        <w:t xml:space="preserve">Kwalifikacja:</w:t>
      </w:r>
      <w:r>
        <w:t xml:space="preserve"> </w:t>
      </w:r>
      <w:r>
        <w:t xml:space="preserve">System jest w praktyce zautomatyzowany, choć formalnie interfejs pozwala na ocenę człowieka →</w:t>
      </w:r>
      <w:r>
        <w:t xml:space="preserve"> </w:t>
      </w:r>
      <w:r>
        <w:rPr>
          <w:bCs/>
          <w:b/>
        </w:rPr>
        <w:t xml:space="preserve">naruszenie AI Act art. 52</w:t>
      </w:r>
    </w:p>
    <w:p>
      <w:r>
        <w:pict>
          <v:rect style="width:0;height:1.5pt" o:hralign="center" o:hrstd="t" o:hr="t"/>
        </w:pict>
      </w:r>
    </w:p>
    <w:bookmarkEnd w:id="26"/>
    <w:bookmarkStart w:id="27" w:name="e.-przetwarzanie-danych-rodo-art.-6-9"/>
    <w:p>
      <w:pPr>
        <w:pStyle w:val="Heading3"/>
      </w:pPr>
      <w:r>
        <w:t xml:space="preserve">E. PRZETWARZANIE DANYCH — RODO Art. 6, 9</w:t>
      </w:r>
    </w:p>
    <w:p>
      <w:pPr>
        <w:pStyle w:val="FirstParagraph"/>
      </w:pPr>
      <w:r>
        <w:rPr>
          <w:bCs/>
          <w:b/>
        </w:rPr>
        <w:t xml:space="preserve">Podstawa prawna (art. 6):</w:t>
      </w:r>
      <w:r>
        <w:t xml:space="preserve"> </w:t>
      </w:r>
      <w:r>
        <w:t xml:space="preserve">- Brak zgodnej przesłanki — monitorowanie pracownika bez jawnego zgody (art. 6 ust. 1 lit. a)</w:t>
      </w:r>
      <w:r>
        <w:t xml:space="preserve"> </w:t>
      </w:r>
      <w:r>
        <w:t xml:space="preserve">- Możliwa przesłanka: „prawo sprawcy” (art. 6 ust. 1 lit. f) — ale wymagana</w:t>
      </w:r>
      <w:r>
        <w:t xml:space="preserve"> </w:t>
      </w:r>
      <w:r>
        <w:rPr>
          <w:bCs/>
          <w:b/>
        </w:rPr>
        <w:t xml:space="preserve">proporcjonalność</w:t>
      </w:r>
      <w:r>
        <w:t xml:space="preserve"> </w:t>
      </w:r>
      <w:r>
        <w:t xml:space="preserve">(art. 6 ust. 1 in fine)</w:t>
      </w:r>
    </w:p>
    <w:p>
      <w:pPr>
        <w:pStyle w:val="BodyText"/>
      </w:pPr>
      <w:r>
        <w:rPr>
          <w:bCs/>
          <w:b/>
        </w:rPr>
        <w:t xml:space="preserve">Dane szczególne (art. 9):</w:t>
      </w:r>
      <w:r>
        <w:t xml:space="preserve"> </w:t>
      </w:r>
      <w:r>
        <w:t xml:space="preserve">- Status rodzinny (urlop rodzicielski) → zakaz przetwarzania bez zgody (art. 9 ust. 1)</w:t>
      </w:r>
      <w:r>
        <w:t xml:space="preserve"> </w:t>
      </w:r>
      <w:r>
        <w:t xml:space="preserve">- Monitorowanie przez PeopleScore na tej podstawie →</w:t>
      </w:r>
      <w:r>
        <w:t xml:space="preserve"> </w:t>
      </w:r>
      <w:r>
        <w:rPr>
          <w:bCs/>
          <w:b/>
        </w:rPr>
        <w:t xml:space="preserve">naruszenie art. 9 RODO</w:t>
      </w:r>
    </w:p>
    <w:p>
      <w:pPr>
        <w:pStyle w:val="BodyText"/>
      </w:pPr>
      <w:r>
        <w:rPr>
          <w:bCs/>
          <w:b/>
        </w:rPr>
        <w:t xml:space="preserve">Prawo dostępu (art. 15 RODO):</w:t>
      </w:r>
      <w:r>
        <w:t xml:space="preserve"> </w:t>
      </w:r>
      <w:r>
        <w:t xml:space="preserve">- Marta ma prawo wiedzieć, jakie dane zbierają systemy</w:t>
      </w:r>
      <w:r>
        <w:t xml:space="preserve"> </w:t>
      </w:r>
      <w:r>
        <w:t xml:space="preserve">- Pracodawca musi ujawnić logikę algorytmu</w:t>
      </w:r>
      <w:r>
        <w:t xml:space="preserve"> </w:t>
      </w:r>
      <w:r>
        <w:t xml:space="preserve">- Dostawca ukrywa logikę jako „tajemnicę przedsiębiorstwa” → konflikt</w:t>
      </w:r>
    </w:p>
    <w:p>
      <w:r>
        <w:pict>
          <v:rect style="width:0;height:1.5pt" o:hralign="center" o:hrstd="t" o:hr="t"/>
        </w:pict>
      </w:r>
    </w:p>
    <w:bookmarkEnd w:id="27"/>
    <w:bookmarkStart w:id="28" w:name="Xdcd4dfc661dca8810ef9b92e6697e640eb4e62a"/>
    <w:p>
      <w:pPr>
        <w:pStyle w:val="Heading3"/>
      </w:pPr>
      <w:r>
        <w:t xml:space="preserve">F. UJAWNIENIE MEDIOM — NARUSZENIE TAJEMNICY vs. PUBLICZNY INTERES</w:t>
      </w:r>
    </w:p>
    <w:p>
      <w:pPr>
        <w:pStyle w:val="FirstParagraph"/>
      </w:pPr>
      <w:r>
        <w:rPr>
          <w:bCs/>
          <w:b/>
        </w:rPr>
        <w:t xml:space="preserve">Przyczyny: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Objęcie ochroną (art. 6 U. o ochronie sygnalistów)</w:t>
      </w:r>
      <w:r>
        <w:t xml:space="preserve"> </w:t>
      </w:r>
      <w:r>
        <w:t xml:space="preserve">— zgłoszenie wewnętrzne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Utrata ochrony (art. 51–52)</w:t>
      </w:r>
      <w:r>
        <w:t xml:space="preserve"> </w:t>
      </w:r>
      <w:r>
        <w:t xml:space="preserve">— ujawnienie mediom bez wyczerpania procedur wyznaczonych w art. 30–50 (zgłoszenia zewnętrzne)</w:t>
      </w:r>
    </w:p>
    <w:p>
      <w:pPr>
        <w:pStyle w:val="BodyText"/>
      </w:pPr>
      <w:r>
        <w:rPr>
          <w:bCs/>
          <w:b/>
        </w:rPr>
        <w:t xml:space="preserve">Prawo do informacji publicznej:</w:t>
      </w:r>
      <w:r>
        <w:t xml:space="preserve"> </w:t>
      </w:r>
      <w:r>
        <w:t xml:space="preserve">- System dyskryminacyjny → sprawa publiczna</w:t>
      </w:r>
      <w:r>
        <w:t xml:space="preserve"> </w:t>
      </w:r>
      <w:r>
        <w:t xml:space="preserve">- Konstytucja (art. 54) — wolność prasy</w:t>
      </w:r>
      <w:r>
        <w:t xml:space="preserve"> </w:t>
      </w:r>
      <w:r>
        <w:t xml:space="preserve">- Ale: jak publikować bez naruszenia RODO i tajemnicy zawodowej?</w:t>
      </w:r>
    </w:p>
    <w:p>
      <w:pPr>
        <w:pStyle w:val="BodyText"/>
      </w:pPr>
      <w:r>
        <w:rPr>
          <w:bCs/>
          <w:b/>
        </w:rPr>
        <w:t xml:space="preserve">Rozwiązanie:</w:t>
      </w:r>
      <w:r>
        <w:t xml:space="preserve"> </w:t>
      </w:r>
      <w:r>
        <w:t xml:space="preserve">- Dane osobowe należało zredakcyjnie ukryć</w:t>
      </w:r>
      <w:r>
        <w:t xml:space="preserve"> </w:t>
      </w:r>
      <w:r>
        <w:t xml:space="preserve">- Kod źródłowy algorytmu: mogł być zbadany przez eksperta, ale nie publikowany w pełni</w:t>
      </w:r>
      <w:r>
        <w:t xml:space="preserve"> </w:t>
      </w:r>
      <w:r>
        <w:t xml:space="preserve">- Wnioski o dyskryminacji — mogą być publikowane, jeśli zredakcyjnie przygotowane</w:t>
      </w:r>
    </w:p>
    <w:p>
      <w:pPr>
        <w:pStyle w:val="BodyText"/>
      </w:pPr>
      <w:r>
        <w:rPr>
          <w:bCs/>
          <w:b/>
        </w:rPr>
        <w:t xml:space="preserve">Ocena:</w:t>
      </w:r>
      <w:r>
        <w:t xml:space="preserve"> </w:t>
      </w:r>
      <w:r>
        <w:t xml:space="preserve">Ujawnienie było częściowo uzasadnione (publiczny interes), ale</w:t>
      </w:r>
      <w:r>
        <w:t xml:space="preserve"> </w:t>
      </w:r>
      <w:r>
        <w:rPr>
          <w:bCs/>
          <w:b/>
        </w:rPr>
        <w:t xml:space="preserve">przesadne w zakresie danych osobowych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potencjalne naruszenie RODO przez Martę (art. 5 ust. 1 lit. a RODO)</w:t>
      </w:r>
      <w:r>
        <w:t xml:space="preserve"> </w:t>
      </w:r>
      <w:r>
        <w:t xml:space="preserve">I pracodawcę (brak kontroli).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iv.-macierz-argumentów-stron"/>
    <w:p>
      <w:pPr>
        <w:pStyle w:val="Heading2"/>
      </w:pPr>
      <w:r>
        <w:t xml:space="preserve">IV. MACIERZ ARGUMENTÓW STRON</w:t>
      </w:r>
    </w:p>
    <w:bookmarkStart w:id="30" w:name="strona-1-marta-pracownica-i-sygnalistka"/>
    <w:p>
      <w:pPr>
        <w:pStyle w:val="Heading3"/>
      </w:pPr>
      <w:r>
        <w:t xml:space="preserve">STRONA 1: MARTA (Pracownica i sygnalistka)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Siła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Uzasadnienie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Zgłoszenie naruszenia prawa wewnętrznie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6 Ustawy o ochronie sygnalistów — sygnalistka od chwili zgłoszenia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Domniemanie działania odwetowego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13 ust. 1: Zgłoszenie + działanie odwetowe w krótkim okresie → domniemanie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Brak rzeczywistej reorganizacji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Podobne stanowisko utworzone miesiąc po zwolnieniu — świadczy o braku rzeczywistej potrzeby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Naruszenie RODO przez monitorowanie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9 RODO — brak zgody na przetwarzanie danych o statusie rodzinnym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zautomatyzowany bez informacji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Act art. 52 — brak wyjaśnienia, że decyzja jest zautomatyzowana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Prawo dostępu do algorytmu (art. 15 RODO)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Pracodawca musi ujawnić logikę — ukrywanie pod pozorem tajemnicy to naruszenie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Ograniczenie:</w:t>
            </w:r>
            <w:r>
              <w:t xml:space="preserve"> </w:t>
            </w:r>
            <w:r>
              <w:t xml:space="preserve">Utrata części ochrony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51–52 Ustawy o ochronie sygnalistów — opublikowanie bez poprzedzenia procedurą zewnętrzną</w:t>
            </w:r>
          </w:p>
        </w:tc>
      </w:tr>
    </w:tbl>
    <w:bookmarkEnd w:id="30"/>
    <w:bookmarkStart w:id="31" w:name="strona-2-algometria-s.a.-pracodawca"/>
    <w:p>
      <w:pPr>
        <w:pStyle w:val="Heading3"/>
      </w:pPr>
      <w:r>
        <w:t xml:space="preserve">STRONA 2: ALGOMETRIA S.A. (Pracodawca)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Siła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Uzasadnienie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Rzeczywista reorganizacja biznesu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Słaby — utworzenie podobnego stanowiska podważa argument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Prawo do tajemnicy zawodowej (dostawca)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Dostawca ma ochronę, ale pracodawca musiał kontrolować zgodność z RODO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Klauzule poufności nie są „naruszeniami prawa”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 Ustawy o ochronie sygnalistów — klauzule poufności nie wyłączają ochrony sygnalistów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Ujawnienie mediom naruszało tajemnicę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Marta ujawniła dane osobowe bez redakcji i kwestie poufne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Przekazanie dokumentów dziennikarzowi to już dalsza szkoda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Możliwa odpowiedzialność za naruszenie RODO i art. 266 KK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Ograniczenie:</w:t>
            </w:r>
            <w:r>
              <w:t xml:space="preserve"> </w:t>
            </w:r>
            <w:r>
              <w:t xml:space="preserve">Nie wykazał ochrony algorytmu przed kontrolą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Pracodawca prawdopodobnie nie prowadził audytu RODO przed wdrożeniem systemu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X03ef968d4db19a36d7a689d3edec3a09d591908"/>
    <w:p>
      <w:pPr>
        <w:pStyle w:val="Heading2"/>
      </w:pPr>
      <w:r>
        <w:t xml:space="preserve">V. BRAKI FAKTYCZNE I DOWODY ROZSTRZYGAJĄCE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Brak faktyczny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Skutek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Jak się go dowodzić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Rzeczywista zawartość raportu z audytu RODO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Istotny — czy pracodawca wiedział o naruszeniu?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Wezwanie do ujawnienia, dokumenty wewnętrzne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Pełny kod źródłowy PeopleScore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Krytyczny — czy system jest faktycznie zautomatyzowany?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Ekspertyza informatyczna, dostęp do źródła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Logiki decyzyjne: które zmienne wpływają na rating?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Krytyczny — czy status rodzinny faktycznie wchodził do modelu?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engineering, testy, dokumentacja producenta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Logika algorytmu zatwierdzona przez rolę człowieka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Istotny — czy był rzeczywisty nadzór?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Dokumenty procesowe, przeszkolenia zespołu, SOP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Kolumna zmian ratingu Marty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Istotny — kiedy dokładnie nastąpiło obniżenie?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 serwera, kopie zapasowe, dokumenty godzina-godzina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Kto miał dostęp do PeopleScore i kiedy go konfigurował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Krytyczny — czy zmiana była celowa wobec Marty?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 dostępu, audyt, dokumenty szkoleniowe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Komunikacja zarządu po zgłoszeniu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Krytyczny — czy było podjęte działanie na serio?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E-maile wewnętrzne, notatki ze spotkań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zgłoszenia do PIP vs. data zwolnienia vs. data publikacji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Istotny — czy termin dopuszcza domniemanie?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Dokumenty PIP, pismo zwolnienia, strona mediów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Pełny tekst zgłoszenia mediów i dane osobowe w artykule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Krytyczny — czy było ujawnienie narażające osoby trzecie?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Archiwum serwisu, zrzuty ekranu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Brakujące logi serwera — przyczyna usunięcia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Istotny — czy usuwanie było automatyczne czy intencjonalne?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Polityka retencji, dokumenty IT, świadkowie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40" w:name="vi.-rozstrzygnięcie-i-środki-ochrony"/>
    <w:p>
      <w:pPr>
        <w:pStyle w:val="Heading2"/>
      </w:pPr>
      <w:r>
        <w:t xml:space="preserve">VI. ROZSTRZYGNIĘCIE I ŚRODKI OCHRONY</w:t>
      </w:r>
    </w:p>
    <w:bookmarkStart w:id="34" w:name="Xc8055e3ae6d9798d84c9b7bbe702355772c6c68"/>
    <w:p>
      <w:pPr>
        <w:pStyle w:val="Heading3"/>
      </w:pPr>
      <w:r>
        <w:t xml:space="preserve">1. OCHRONA JAKO SYGNALISTKA — CZĘŚCIOWA UTRATA</w:t>
      </w:r>
    </w:p>
    <w:p>
      <w:pPr>
        <w:pStyle w:val="FirstParagraph"/>
      </w:pPr>
      <w:r>
        <w:rPr>
          <w:bCs/>
          <w:b/>
        </w:rPr>
        <w:t xml:space="preserve">Sentencja:</w:t>
      </w:r>
    </w:p>
    <w:p>
      <w:pPr>
        <w:pStyle w:val="BodyText"/>
      </w:pPr>
      <w:r>
        <w:t xml:space="preserve">Marta korzysta z ochrony sygnalistki na podstawie art. 6 Ustawy o ochronie sygnalistów wobec:</w:t>
      </w:r>
      <w:r>
        <w:t xml:space="preserve"> </w:t>
      </w:r>
      <w:r>
        <w:t xml:space="preserve">- Zgłoszenia wewnętrznego (art. 23–29)</w:t>
      </w:r>
      <w:r>
        <w:t xml:space="preserve"> </w:t>
      </w:r>
      <w:r>
        <w:t xml:space="preserve">- Naruszenia prawa w postaci dyskryminacji (art. 3a KP)</w:t>
      </w:r>
      <w:r>
        <w:t xml:space="preserve"> </w:t>
      </w:r>
      <w:r>
        <w:t xml:space="preserve">- Domniemania działania odwetowego (art. 13 ust. 1 — wypowiedzenie w krótkim okresie po zgłoszeniu)</w:t>
      </w:r>
    </w:p>
    <w:p>
      <w:pPr>
        <w:pStyle w:val="BodyText"/>
      </w:pPr>
      <w:r>
        <w:rPr>
          <w:bCs/>
          <w:b/>
        </w:rPr>
        <w:t xml:space="preserve">Jednak:</w:t>
      </w:r>
      <w:r>
        <w:t xml:space="preserve"> </w:t>
      </w:r>
      <w:r>
        <w:t xml:space="preserve">- Utrata części ochrony wobec ujawnienia mediom bez poprzedzenia procedurą zewnętrzną (art. 51–52 Ustawy o ochronie sygnalistów)</w:t>
      </w:r>
      <w:r>
        <w:t xml:space="preserve"> </w:t>
      </w:r>
      <w:r>
        <w:t xml:space="preserve">- Art. 51 wymaga „publicznego interesu” — tutaj był, ale naruszono RODO</w:t>
      </w:r>
    </w:p>
    <w:p>
      <w:pPr>
        <w:pStyle w:val="BodyText"/>
      </w:pPr>
      <w:r>
        <w:rPr>
          <w:bCs/>
          <w:b/>
        </w:rPr>
        <w:t xml:space="preserve">Skutek:</w:t>
      </w:r>
      <w:r>
        <w:t xml:space="preserve"> </w:t>
      </w:r>
      <w:r>
        <w:t xml:space="preserve">Marta zachowuje prawo do:</w:t>
      </w:r>
      <w:r>
        <w:t xml:space="preserve"> </w:t>
      </w:r>
      <w:r>
        <w:t xml:space="preserve">- Domniemania działania odwetowego przy zwolnieniu</w:t>
      </w:r>
      <w:r>
        <w:t xml:space="preserve"> </w:t>
      </w:r>
      <w:r>
        <w:t xml:space="preserve">- Żądania przywrócenia do pracy lub odszkodowania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Ale:</w:t>
      </w:r>
      <w:r>
        <w:t xml:space="preserve"> </w:t>
      </w:r>
      <w:r>
        <w:t xml:space="preserve">Pracodawca może się bronić, że ujawnienie mediom zwalnia go z części odpowiedzialności (szkoda na reputacji spowodowana przez samą Martę)</w:t>
      </w:r>
    </w:p>
    <w:p>
      <w:r>
        <w:pict>
          <v:rect style="width:0;height:1.5pt" o:hralign="center" o:hrstd="t" o:hr="t"/>
        </w:pict>
      </w:r>
    </w:p>
    <w:bookmarkEnd w:id="34"/>
    <w:bookmarkStart w:id="35" w:name="zwolnienie-naruszenie-art.-52-kp"/>
    <w:p>
      <w:pPr>
        <w:pStyle w:val="Heading3"/>
      </w:pPr>
      <w:r>
        <w:t xml:space="preserve">2. ZWOLNIENIE — NARUSZENIE ART. 52 KP</w:t>
      </w:r>
    </w:p>
    <w:p>
      <w:pPr>
        <w:pStyle w:val="FirstParagraph"/>
      </w:pPr>
      <w:r>
        <w:rPr>
          <w:bCs/>
          <w:b/>
        </w:rPr>
        <w:t xml:space="preserve">Sentencja:</w:t>
      </w:r>
    </w:p>
    <w:p>
      <w:pPr>
        <w:pStyle w:val="BodyText"/>
      </w:pPr>
      <w:r>
        <w:t xml:space="preserve">Wypowiedzenie umowy narusza art. 52 KP ze względu na:</w:t>
      </w:r>
      <w:r>
        <w:t xml:space="preserve"> </w:t>
      </w:r>
      <w:r>
        <w:t xml:space="preserve">1. Domniemanie działania odwetowego (art. 13 Ustawy o ochronie sygnalistów)</w:t>
      </w:r>
      <w:r>
        <w:t xml:space="preserve"> </w:t>
      </w:r>
      <w:r>
        <w:t xml:space="preserve">2. Brak rzeczywistej przyczyny zakładu (reorganizacja pozorna)</w:t>
      </w:r>
      <w:r>
        <w:t xml:space="preserve"> </w:t>
      </w:r>
      <w:r>
        <w:t xml:space="preserve">3. Brak dochowania procedur ochrony sygnalistów</w:t>
      </w:r>
    </w:p>
    <w:p>
      <w:pPr>
        <w:pStyle w:val="BodyText"/>
      </w:pPr>
      <w:r>
        <w:rPr>
          <w:bCs/>
          <w:b/>
        </w:rPr>
        <w:t xml:space="preserve">Środek:</w:t>
      </w:r>
      <w:r>
        <w:t xml:space="preserve"> </w:t>
      </w:r>
      <w:r>
        <w:t xml:space="preserve">- Sąd może nakazać przywrócenie do pracy (art. 52 § 4 KP) albo odszkodowanie</w:t>
      </w:r>
      <w:r>
        <w:t xml:space="preserve"> </w:t>
      </w:r>
      <w:r>
        <w:t xml:space="preserve">- Odszkodowanie: nie mniej niż najniższa pensja za okres od zwolnienia do wznowienia lub uregulowania</w:t>
      </w:r>
    </w:p>
    <w:p>
      <w:r>
        <w:pict>
          <v:rect style="width:0;height:1.5pt" o:hralign="center" o:hrstd="t" o:hr="t"/>
        </w:pict>
      </w:r>
    </w:p>
    <w:bookmarkEnd w:id="35"/>
    <w:bookmarkStart w:id="36" w:name="Xecf2c68ab90586c509893728340e7ba08a5e4a8"/>
    <w:p>
      <w:pPr>
        <w:pStyle w:val="Heading3"/>
      </w:pPr>
      <w:r>
        <w:t xml:space="preserve">3. NARUSZENIA RODO — ODPOWIEDZIALNOŚĆ PRACODAWCY</w:t>
      </w:r>
    </w:p>
    <w:p>
      <w:pPr>
        <w:pStyle w:val="FirstParagraph"/>
      </w:pPr>
      <w:r>
        <w:rPr>
          <w:bCs/>
          <w:b/>
        </w:rPr>
        <w:t xml:space="preserve">Sentencja:</w:t>
      </w:r>
    </w:p>
    <w:p>
      <w:pPr>
        <w:pStyle w:val="BodyText"/>
      </w:pPr>
      <w:r>
        <w:t xml:space="preserve">Algometria narusza RODO: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Art. 6</w:t>
      </w:r>
      <w:r>
        <w:t xml:space="preserve"> </w:t>
      </w:r>
      <w:r>
        <w:t xml:space="preserve">— brak przesłanki przetwarzania danych do monitorowania (pracodawca nie wykazał zgodnej podstawy)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Art. 9</w:t>
      </w:r>
      <w:r>
        <w:t xml:space="preserve"> </w:t>
      </w:r>
      <w:r>
        <w:t xml:space="preserve">— przetwarzanie danych o statusie rodzinnym bez zgody i bez nadzwyczajnej przesłanki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Art. 15</w:t>
      </w:r>
      <w:r>
        <w:t xml:space="preserve"> </w:t>
      </w:r>
      <w:r>
        <w:t xml:space="preserve">— odmowa ujawnienia logiki algorytmu Marcie</w:t>
      </w:r>
    </w:p>
    <w:p>
      <w:pPr>
        <w:pStyle w:val="BodyText"/>
      </w:pPr>
      <w:r>
        <w:rPr>
          <w:bCs/>
          <w:b/>
        </w:rPr>
        <w:t xml:space="preserve">Skutek:</w:t>
      </w:r>
      <w:r>
        <w:t xml:space="preserve"> </w:t>
      </w:r>
      <w:r>
        <w:t xml:space="preserve">- Grzywna UODO (art. 83 RODO): do 4% przychodów rocznych</w:t>
      </w:r>
      <w:r>
        <w:t xml:space="preserve"> </w:t>
      </w:r>
      <w:r>
        <w:t xml:space="preserve">- Obowiązek wstrzymania przetwarzania w tej postaci</w:t>
      </w:r>
      <w:r>
        <w:t xml:space="preserve"> </w:t>
      </w:r>
      <w:r>
        <w:t xml:space="preserve">- Nakaz ujawnienia Marcie logiki algorytmu w ciągu 30 dni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Marta mogła mieć prawo do dostępu do danych o sobie, ale ujawnienie mediom danych osobowych to własne naruszenie RODO przez Martę (art. 5 ust. 1 lit. a).</w:t>
      </w:r>
    </w:p>
    <w:p>
      <w:r>
        <w:pict>
          <v:rect style="width:0;height:1.5pt" o:hralign="center" o:hrstd="t" o:hr="t"/>
        </w:pict>
      </w:r>
    </w:p>
    <w:bookmarkEnd w:id="36"/>
    <w:bookmarkStart w:id="37" w:name="naruszenie-ai-act-art.-52"/>
    <w:p>
      <w:pPr>
        <w:pStyle w:val="Heading3"/>
      </w:pPr>
      <w:r>
        <w:t xml:space="preserve">4. NARUSZENIE AI ACT — ART. 52</w:t>
      </w:r>
    </w:p>
    <w:p>
      <w:pPr>
        <w:pStyle w:val="FirstParagraph"/>
      </w:pPr>
      <w:r>
        <w:rPr>
          <w:bCs/>
          <w:b/>
        </w:rPr>
        <w:t xml:space="preserve">Sentencja:</w:t>
      </w:r>
    </w:p>
    <w:p>
      <w:pPr>
        <w:pStyle w:val="BodyText"/>
      </w:pPr>
      <w:r>
        <w:t xml:space="preserve">System PeopleScore narusza art. 52 AI Act:</w:t>
      </w:r>
      <w:r>
        <w:t xml:space="preserve"> </w:t>
      </w:r>
      <w:r>
        <w:t xml:space="preserve">1. Pracownica nie była poinformowana, że ocena jej pracy pochodzi z systemu automatycznego</w:t>
      </w:r>
      <w:r>
        <w:t xml:space="preserve"> </w:t>
      </w:r>
      <w:r>
        <w:t xml:space="preserve">2. Nie miała możliwości prosić o wyjaśnienie decyzji</w:t>
      </w:r>
      <w:r>
        <w:t xml:space="preserve"> </w:t>
      </w:r>
      <w:r>
        <w:t xml:space="preserve">3. Pracownica nie miała prawa sprzeciwu</w:t>
      </w:r>
    </w:p>
    <w:p>
      <w:pPr>
        <w:pStyle w:val="BodyText"/>
      </w:pPr>
      <w:r>
        <w:rPr>
          <w:bCs/>
          <w:b/>
        </w:rPr>
        <w:t xml:space="preserve">Skutek:</w:t>
      </w:r>
      <w:r>
        <w:t xml:space="preserve"> </w:t>
      </w:r>
      <w:r>
        <w:t xml:space="preserve">- Potencjalna grzywna dla producenta systemu (nie Algometrii, jeśli pracodawca tego nie wdrożył świadomie)</w:t>
      </w:r>
      <w:r>
        <w:t xml:space="preserve"> </w:t>
      </w:r>
      <w:r>
        <w:t xml:space="preserve">- Algometria odpowiada za niezastosowanie wymaganych informacji dla pracownic</w:t>
      </w:r>
      <w:r>
        <w:t xml:space="preserve"> </w:t>
      </w:r>
      <w:r>
        <w:t xml:space="preserve">- Obowiązek przeprowadzenia oceny wpływu (DPIA) na prywatność przed wdrażaniem algorytmu (art. 6 AI Act)</w:t>
      </w:r>
    </w:p>
    <w:p>
      <w:pPr>
        <w:pStyle w:val="BodyText"/>
      </w:pPr>
      <w:r>
        <w:rPr>
          <w:bCs/>
          <w:b/>
        </w:rPr>
        <w:t xml:space="preserve">Odpowiedzialność podziału: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Producent</w:t>
      </w:r>
      <w:r>
        <w:t xml:space="preserve"> </w:t>
      </w:r>
      <w:r>
        <w:t xml:space="preserve">(dostawca PeopleScore) — za projekt systemu, brak transparentności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Algometria</w:t>
      </w:r>
      <w:r>
        <w:t xml:space="preserve"> </w:t>
      </w:r>
      <w:r>
        <w:t xml:space="preserve">— za wdrażanie bez audytu RODO i bez informowania użytkowników</w:t>
      </w:r>
    </w:p>
    <w:p>
      <w:r>
        <w:pict>
          <v:rect style="width:0;height:1.5pt" o:hralign="center" o:hrstd="t" o:hr="t"/>
        </w:pict>
      </w:r>
    </w:p>
    <w:bookmarkEnd w:id="37"/>
    <w:bookmarkStart w:id="38" w:name="ujawnienie-mediom-granice-ochrony"/>
    <w:p>
      <w:pPr>
        <w:pStyle w:val="Heading3"/>
      </w:pPr>
      <w:r>
        <w:t xml:space="preserve">5. UJAWNIENIE MEDIOM — GRANICE OCHRONY</w:t>
      </w:r>
    </w:p>
    <w:p>
      <w:pPr>
        <w:pStyle w:val="FirstParagraph"/>
      </w:pPr>
      <w:r>
        <w:rPr>
          <w:bCs/>
          <w:b/>
        </w:rPr>
        <w:t xml:space="preserve">Sentencja:</w:t>
      </w:r>
    </w:p>
    <w:p>
      <w:pPr>
        <w:pStyle w:val="BodyText"/>
      </w:pPr>
      <w:r>
        <w:t xml:space="preserve">Ujawnienie mediom było częściowo uzasadnione (publiczny interes), ale:</w:t>
      </w:r>
      <w:r>
        <w:t xml:space="preserve"> </w:t>
      </w:r>
      <w:r>
        <w:t xml:space="preserve">1. Marta mogła opublikować</w:t>
      </w:r>
      <w:r>
        <w:t xml:space="preserve"> </w:t>
      </w:r>
      <w:r>
        <w:rPr>
          <w:bCs/>
          <w:b/>
        </w:rPr>
        <w:t xml:space="preserve">wnioski o dyskryminacji</w:t>
      </w:r>
      <w:r>
        <w:t xml:space="preserve"> </w:t>
      </w:r>
      <w:r>
        <w:t xml:space="preserve">bez publikowania pełnych kodów i danych osobowych</w:t>
      </w:r>
      <w:r>
        <w:t xml:space="preserve"> </w:t>
      </w:r>
      <w:r>
        <w:t xml:space="preserve">2. Publikacja pełnych wiadomości e-mail zawierających dane osobowe =</w:t>
      </w:r>
      <w:r>
        <w:t xml:space="preserve"> </w:t>
      </w:r>
      <w:r>
        <w:rPr>
          <w:bCs/>
          <w:b/>
        </w:rPr>
        <w:t xml:space="preserve">naruszenie RODO przez Martę</w:t>
      </w:r>
      <w:r>
        <w:t xml:space="preserve"> </w:t>
      </w:r>
      <w:r>
        <w:t xml:space="preserve">(art. 5 ust. 1 lit. a — legalność)</w:t>
      </w:r>
    </w:p>
    <w:p>
      <w:pPr>
        <w:pStyle w:val="BodyText"/>
      </w:pPr>
      <w:r>
        <w:rPr>
          <w:bCs/>
          <w:b/>
        </w:rPr>
        <w:t xml:space="preserve">Skutek:</w:t>
      </w:r>
      <w:r>
        <w:t xml:space="preserve"> </w:t>
      </w:r>
      <w:r>
        <w:t xml:space="preserve">- Pracodawca może żądać od redakcji usunięcia artykułu (żądanie formalne)</w:t>
      </w:r>
      <w:r>
        <w:t xml:space="preserve"> </w:t>
      </w:r>
      <w:r>
        <w:t xml:space="preserve">- Marta może być odpowiedzialna jako źródło naruszenia (UODO może wydać decyzję)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Jednak:</w:t>
      </w:r>
      <w:r>
        <w:t xml:space="preserve"> </w:t>
      </w:r>
      <w:r>
        <w:t xml:space="preserve">Interes publiczny (dyskryminacja) może uzasadniać ujawnienie w zredakcji formie</w:t>
      </w:r>
    </w:p>
    <w:p>
      <w:pPr>
        <w:pStyle w:val="BodyText"/>
      </w:pPr>
      <w:r>
        <w:rPr>
          <w:bCs/>
          <w:b/>
        </w:rPr>
        <w:t xml:space="preserve">Porównanie z art. 266 KK (tajemnica zawodowa):</w:t>
      </w:r>
      <w:r>
        <w:t xml:space="preserve"> </w:t>
      </w:r>
      <w:r>
        <w:t xml:space="preserve">- Marta nie ma zawodu objętego tajemnicą zawodową</w:t>
      </w:r>
      <w:r>
        <w:t xml:space="preserve"> </w:t>
      </w:r>
      <w:r>
        <w:t xml:space="preserve">- Ale pracodawca / dostawca mogą mieć ochronę tajemnicy zawodowej</w:t>
      </w:r>
      <w:r>
        <w:t xml:space="preserve"> </w:t>
      </w:r>
      <w:r>
        <w:t xml:space="preserve">- Ujawnienie może być karalne, jeśli stanowiło ujawnienie informacji objętej tajemnicą (art. 266 KK)</w:t>
      </w:r>
    </w:p>
    <w:p>
      <w:r>
        <w:pict>
          <v:rect style="width:0;height:1.5pt" o:hralign="center" o:hrstd="t" o:hr="t"/>
        </w:pict>
      </w:r>
    </w:p>
    <w:bookmarkEnd w:id="38"/>
    <w:bookmarkStart w:id="39" w:name="brakujące-logi-serwera"/>
    <w:p>
      <w:pPr>
        <w:pStyle w:val="Heading3"/>
      </w:pPr>
      <w:r>
        <w:t xml:space="preserve">6. BRAKUJĄCE LOGI SERWERA</w:t>
      </w:r>
    </w:p>
    <w:p>
      <w:pPr>
        <w:pStyle w:val="FirstParagraph"/>
      </w:pPr>
      <w:r>
        <w:rPr>
          <w:bCs/>
          <w:b/>
        </w:rPr>
        <w:t xml:space="preserve">Sentencja:</w:t>
      </w:r>
    </w:p>
    <w:p>
      <w:pPr>
        <w:pStyle w:val="BodyText"/>
      </w:pPr>
      <w:r>
        <w:t xml:space="preserve">Usunięcie logów serwera w ciągu 30 dni polityki retencji ma znaczenie dowodowe:</w:t>
      </w:r>
      <w:r>
        <w:t xml:space="preserve"> </w:t>
      </w:r>
      <w:r>
        <w:t xml:space="preserve">1. Jeśli polityka retencji była wcześniej ustanowiona — zachowanie zgodne z normą</w:t>
      </w:r>
      <w:r>
        <w:t xml:space="preserve"> </w:t>
      </w:r>
      <w:r>
        <w:t xml:space="preserve">2. Jeśli retencja została skrócona celowo po zgłoszeniu — naruszenie prawa zachowania dowodów (niszczenie materiału dowodowego)</w:t>
      </w:r>
    </w:p>
    <w:p>
      <w:pPr>
        <w:pStyle w:val="BodyText"/>
      </w:pPr>
      <w:r>
        <w:rPr>
          <w:bCs/>
          <w:b/>
        </w:rPr>
        <w:t xml:space="preserve">Środek:</w:t>
      </w:r>
      <w:r>
        <w:t xml:space="preserve"> </w:t>
      </w:r>
      <w:r>
        <w:t xml:space="preserve">- Sąd może zastosować domniemanie na niekorzyść Algometrii (art. 276 KPC — domniemanie niezachowania dowodu)</w:t>
      </w:r>
      <w:r>
        <w:t xml:space="preserve"> </w:t>
      </w:r>
      <w:r>
        <w:t xml:space="preserve">- Marta może zażądać przywrócenia z kopii zapasowych (Wody Polskie, archive.org, inne źródła)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vii.-ocena-szans-i-ryzyka"/>
    <w:p>
      <w:pPr>
        <w:pStyle w:val="Heading2"/>
      </w:pPr>
      <w:r>
        <w:t xml:space="preserve">VII. OCENA SZANS I RYZYKA</w:t>
      </w:r>
    </w:p>
    <w:bookmarkStart w:id="41" w:name="dla-marty"/>
    <w:p>
      <w:pPr>
        <w:pStyle w:val="Heading3"/>
      </w:pPr>
      <w:r>
        <w:t xml:space="preserve">Dla Marty: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Roszczenie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Szansa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Notatka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Przywrócenie do pracy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Domniemanie działania odwetowego i brak rzeczywistej reorganizacji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Odszkodowanie za zwolnienie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70–75%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52 KP + Ustawa o ochronie sygnalistów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Usunięcie ujemnego wpisu z akt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Jeśli wykaże działanie odwetowe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Dostęp do algorytmu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80–85%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15 RODO — pracodawca musi ujawnić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Odszkodowanie za naruszenie RODO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40–50%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Marta sama narusiła RODO ujawniając dane mediom — offset</w:t>
            </w:r>
          </w:p>
        </w:tc>
      </w:tr>
    </w:tbl>
    <w:bookmarkEnd w:id="41"/>
    <w:bookmarkStart w:id="42" w:name="dla-algometrii"/>
    <w:p>
      <w:pPr>
        <w:pStyle w:val="Heading3"/>
      </w:pPr>
      <w:r>
        <w:t xml:space="preserve">Dla Algometrii: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Roszczenie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Ryzyko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Notatka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Grzywna UODO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70–80%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Naruszenia RODO art. 6, 9,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Powództwo o restrykcję publikacji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Publiczny interes może przeważyć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Odszkodowanie od Marty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Marta również narusiła RODO — może być responsabilna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5" w:name="viii.-rekomendowana-strategia"/>
    <w:p>
      <w:pPr>
        <w:pStyle w:val="Heading2"/>
      </w:pPr>
      <w:r>
        <w:t xml:space="preserve">VIII. REKOMENDOWANA STRATEGIA</w:t>
      </w:r>
    </w:p>
    <w:bookmarkStart w:id="44" w:name="dla-marty-1"/>
    <w:p>
      <w:pPr>
        <w:pStyle w:val="Heading3"/>
      </w:pPr>
      <w:r>
        <w:t xml:space="preserve">Dla Marty: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Pilnie zabezpieczyć dowody:</w:t>
      </w:r>
    </w:p>
    <w:p>
      <w:pPr>
        <w:numPr>
          <w:ilvl w:val="1"/>
          <w:numId w:val="1003"/>
        </w:numPr>
        <w:pStyle w:val="Compact"/>
      </w:pPr>
      <w:r>
        <w:t xml:space="preserve">Wszystkie e-maile, notatki ze spotkań</w:t>
      </w:r>
    </w:p>
    <w:p>
      <w:pPr>
        <w:numPr>
          <w:ilvl w:val="1"/>
          <w:numId w:val="1003"/>
        </w:numPr>
        <w:pStyle w:val="Compact"/>
      </w:pPr>
      <w:r>
        <w:t xml:space="preserve">Zrzuty ekranu systemu PeopleScore z datami</w:t>
      </w:r>
    </w:p>
    <w:p>
      <w:pPr>
        <w:numPr>
          <w:ilvl w:val="1"/>
          <w:numId w:val="1003"/>
        </w:numPr>
        <w:pStyle w:val="Compact"/>
      </w:pPr>
      <w:r>
        <w:t xml:space="preserve">Dokumenty dotyczące zgłoszenia PIP</w:t>
      </w:r>
    </w:p>
    <w:p>
      <w:pPr>
        <w:numPr>
          <w:ilvl w:val="1"/>
          <w:numId w:val="1003"/>
        </w:numPr>
        <w:pStyle w:val="Compact"/>
      </w:pPr>
      <w:r>
        <w:t xml:space="preserve">Archiwa serwisu prasowego (przed ewentualnym usunięciem)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Rozdzielić procedury: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Jednocześnie</w:t>
      </w:r>
      <w:r>
        <w:t xml:space="preserve">: Powództwo do sądu pracy o przywrócenie (art. 52 KP)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Równolegle</w:t>
      </w:r>
      <w:r>
        <w:t xml:space="preserve">: Skarga do UODO o naruszenie RODO (art. 77 RODO)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Równolegle</w:t>
      </w:r>
      <w:r>
        <w:t xml:space="preserve">: Zawiadomienie PIP o naruszeniach bezpieczeństwa pracy (jeśli dotyczy)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Minimalizować ryzyko ujawnienia:</w:t>
      </w:r>
    </w:p>
    <w:p>
      <w:pPr>
        <w:numPr>
          <w:ilvl w:val="1"/>
          <w:numId w:val="1005"/>
        </w:numPr>
        <w:pStyle w:val="Compact"/>
      </w:pPr>
      <w:r>
        <w:t xml:space="preserve">Zaproponować dziennikarzowi zredakcjonowanie artykułu (usunąć pełne kody i dane osobowe)</w:t>
      </w:r>
    </w:p>
    <w:p>
      <w:pPr>
        <w:numPr>
          <w:ilvl w:val="1"/>
          <w:numId w:val="1005"/>
        </w:numPr>
        <w:pStyle w:val="Compact"/>
      </w:pPr>
      <w:r>
        <w:t xml:space="preserve">Utrzymać klauzule o publicznym interesie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Przygotować się na obronę Algometrii:</w:t>
      </w:r>
    </w:p>
    <w:p>
      <w:pPr>
        <w:numPr>
          <w:ilvl w:val="1"/>
          <w:numId w:val="1006"/>
        </w:numPr>
        <w:pStyle w:val="Compact"/>
      </w:pPr>
      <w:r>
        <w:t xml:space="preserve">Zeznania świadków (współpracowników potwierdzających dyskryminację)</w:t>
      </w:r>
    </w:p>
    <w:p>
      <w:pPr>
        <w:numPr>
          <w:ilvl w:val="1"/>
          <w:numId w:val="1006"/>
        </w:numPr>
        <w:pStyle w:val="Compact"/>
      </w:pPr>
      <w:r>
        <w:t xml:space="preserve">Ekspertyza informatyczna algorytmu</w:t>
      </w:r>
    </w:p>
    <w:p>
      <w:pPr>
        <w:numPr>
          <w:ilvl w:val="1"/>
          <w:numId w:val="1006"/>
        </w:numPr>
        <w:pStyle w:val="Compact"/>
      </w:pPr>
      <w:r>
        <w:t xml:space="preserve">Porównanie ratingu przed i po zgłoszeniu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ix.-pozostałe-kwestie"/>
    <w:p>
      <w:pPr>
        <w:pStyle w:val="Heading2"/>
      </w:pPr>
      <w:r>
        <w:t xml:space="preserve">IX. POZOSTAŁE KWESTIE</w:t>
      </w:r>
    </w:p>
    <w:bookmarkStart w:id="46" w:name="tajemnica-zawodowa-a-wolność-prasy"/>
    <w:p>
      <w:pPr>
        <w:pStyle w:val="Heading3"/>
      </w:pPr>
      <w:r>
        <w:t xml:space="preserve">Tajemnica zawodowa a wolność prasy:</w:t>
      </w:r>
    </w:p>
    <w:p>
      <w:pPr>
        <w:numPr>
          <w:ilvl w:val="0"/>
          <w:numId w:val="1007"/>
        </w:numPr>
        <w:pStyle w:val="Compact"/>
      </w:pPr>
      <w:r>
        <w:t xml:space="preserve">Art. 266 KK — ochrona tajemnicy zawodowej (ale Marta nie ma zawodu objętego tajemnicą)</w:t>
      </w:r>
    </w:p>
    <w:p>
      <w:pPr>
        <w:numPr>
          <w:ilvl w:val="0"/>
          <w:numId w:val="1007"/>
        </w:numPr>
        <w:pStyle w:val="Compact"/>
      </w:pPr>
      <w:r>
        <w:t xml:space="preserve">Art. 54 Konstytucji — wolność prasy (ale z ograniczeniami)</w:t>
      </w:r>
    </w:p>
    <w:p>
      <w:pPr>
        <w:numPr>
          <w:ilvl w:val="0"/>
          <w:numId w:val="1007"/>
        </w:numPr>
        <w:pStyle w:val="Compact"/>
      </w:pPr>
      <w:r>
        <w:t xml:space="preserve">Możliwy kompromis: publikacja wniosków bez kodów i dane osobowe zredakcjonowane</w:t>
      </w:r>
    </w:p>
    <w:bookmarkEnd w:id="46"/>
    <w:bookmarkStart w:id="47" w:name="X824435613f3517ad2d31856e8d41768214d46a9"/>
    <w:p>
      <w:pPr>
        <w:pStyle w:val="Heading3"/>
      </w:pPr>
      <w:r>
        <w:t xml:space="preserve">Odpowiedzialność cywilna dostawcy (producenta PeopleScore):</w:t>
      </w:r>
    </w:p>
    <w:p>
      <w:pPr>
        <w:numPr>
          <w:ilvl w:val="0"/>
          <w:numId w:val="1008"/>
        </w:numPr>
        <w:pStyle w:val="Compact"/>
      </w:pPr>
      <w:r>
        <w:t xml:space="preserve">Pracodawca może wnieść powództwo o regres wobec dostawcy</w:t>
      </w:r>
    </w:p>
    <w:p>
      <w:pPr>
        <w:numPr>
          <w:ilvl w:val="0"/>
          <w:numId w:val="1008"/>
        </w:numPr>
        <w:pStyle w:val="Compact"/>
      </w:pPr>
      <w:r>
        <w:t xml:space="preserve">Dostawca odpowiada za niezgodność systemu z AI Act i RODO</w:t>
      </w:r>
    </w:p>
    <w:p>
      <w:pPr>
        <w:numPr>
          <w:ilvl w:val="0"/>
          <w:numId w:val="1008"/>
        </w:numPr>
        <w:pStyle w:val="Compact"/>
      </w:pPr>
      <w:r>
        <w:t xml:space="preserve">Wymagana ekspertyza informatyczna</w:t>
      </w:r>
    </w:p>
    <w:bookmarkEnd w:id="47"/>
    <w:bookmarkStart w:id="48" w:name="podwójne-zobowiązania-pracodawcy"/>
    <w:p>
      <w:pPr>
        <w:pStyle w:val="Heading3"/>
      </w:pPr>
      <w:r>
        <w:t xml:space="preserve">Podwójne zobowiązania pracodawcy:</w:t>
      </w:r>
    </w:p>
    <w:p>
      <w:pPr>
        <w:numPr>
          <w:ilvl w:val="0"/>
          <w:numId w:val="1009"/>
        </w:numPr>
        <w:pStyle w:val="Compact"/>
      </w:pPr>
      <w:r>
        <w:t xml:space="preserve">Jako pracodawca — KP + Ustawa o ochronie sygnalistów</w:t>
      </w:r>
    </w:p>
    <w:p>
      <w:pPr>
        <w:numPr>
          <w:ilvl w:val="0"/>
          <w:numId w:val="1009"/>
        </w:numPr>
        <w:pStyle w:val="Compact"/>
      </w:pPr>
      <w:r>
        <w:t xml:space="preserve">Jako administrator danych — RODO</w:t>
      </w:r>
    </w:p>
    <w:p>
      <w:pPr>
        <w:numPr>
          <w:ilvl w:val="0"/>
          <w:numId w:val="1009"/>
        </w:numPr>
        <w:pStyle w:val="Compact"/>
      </w:pPr>
      <w:r>
        <w:t xml:space="preserve">Jako wdrażający AI — AI Act</w:t>
      </w:r>
    </w:p>
    <w:p>
      <w:pPr>
        <w:numPr>
          <w:ilvl w:val="0"/>
          <w:numId w:val="1010"/>
        </w:numPr>
        <w:pStyle w:val="Compact"/>
      </w:pPr>
      <w:r>
        <w:t xml:space="preserve">Te trzy reżimy mogą generować kumulatywne grzywny i obowiązki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podsumowanie-warianty-rozstrzygnięcia"/>
    <w:p>
      <w:pPr>
        <w:pStyle w:val="Heading2"/>
      </w:pPr>
      <w:r>
        <w:t xml:space="preserve">PODSUMOWANIE — WARIANTY ROZSTRZYGNIĘCIA</w:t>
      </w:r>
    </w:p>
    <w:bookmarkStart w:id="50" w:name="Xd55ad1573ca69ff0ac1abd5419563bace739091"/>
    <w:p>
      <w:pPr>
        <w:pStyle w:val="Heading3"/>
      </w:pPr>
      <w:r>
        <w:t xml:space="preserve">Wariant 1 (Najkorzystniejszy dla Marty — 30% szansy):</w:t>
      </w:r>
    </w:p>
    <w:p>
      <w:pPr>
        <w:numPr>
          <w:ilvl w:val="0"/>
          <w:numId w:val="1011"/>
        </w:numPr>
        <w:pStyle w:val="Compact"/>
      </w:pPr>
      <w:r>
        <w:t xml:space="preserve">Sąd przywraca Martę do pracy</w:t>
      </w:r>
    </w:p>
    <w:p>
      <w:pPr>
        <w:numPr>
          <w:ilvl w:val="0"/>
          <w:numId w:val="1011"/>
        </w:numPr>
        <w:pStyle w:val="Compact"/>
      </w:pPr>
      <w:r>
        <w:t xml:space="preserve">UODO nakłada grzywnę na Algometrię</w:t>
      </w:r>
    </w:p>
    <w:p>
      <w:pPr>
        <w:numPr>
          <w:ilvl w:val="0"/>
          <w:numId w:val="1011"/>
        </w:numPr>
        <w:pStyle w:val="Compact"/>
      </w:pPr>
      <w:r>
        <w:t xml:space="preserve">Pracodawca zmuszony wymienić algorytm</w:t>
      </w:r>
    </w:p>
    <w:p>
      <w:pPr>
        <w:numPr>
          <w:ilvl w:val="0"/>
          <w:numId w:val="1011"/>
        </w:numPr>
        <w:pStyle w:val="Compact"/>
      </w:pPr>
      <w:r>
        <w:t xml:space="preserve">Marta otrzymuje odszkodowanie za wszystkie okresy zwolnienia</w:t>
      </w:r>
    </w:p>
    <w:bookmarkEnd w:id="50"/>
    <w:bookmarkStart w:id="51" w:name="wariant-2-mieszany-50-szansy"/>
    <w:p>
      <w:pPr>
        <w:pStyle w:val="Heading3"/>
      </w:pPr>
      <w:r>
        <w:t xml:space="preserve">Wariant 2 (Mieszany — 50% szansy):</w:t>
      </w:r>
    </w:p>
    <w:p>
      <w:pPr>
        <w:numPr>
          <w:ilvl w:val="0"/>
          <w:numId w:val="1012"/>
        </w:numPr>
        <w:pStyle w:val="Compact"/>
      </w:pPr>
      <w:r>
        <w:t xml:space="preserve">Przywrócenie albo odszkodowanie za zwolnienie (art. 52 KP)</w:t>
      </w:r>
    </w:p>
    <w:p>
      <w:pPr>
        <w:numPr>
          <w:ilvl w:val="0"/>
          <w:numId w:val="1012"/>
        </w:numPr>
        <w:pStyle w:val="Compact"/>
      </w:pPr>
      <w:r>
        <w:t xml:space="preserve">Częściowa grzywna UODO</w:t>
      </w:r>
    </w:p>
    <w:p>
      <w:pPr>
        <w:numPr>
          <w:ilvl w:val="0"/>
          <w:numId w:val="1012"/>
        </w:numPr>
        <w:pStyle w:val="Compact"/>
      </w:pPr>
      <w:r>
        <w:t xml:space="preserve">Wymagana zredakcjonowanie artykułu medialnego</w:t>
      </w:r>
    </w:p>
    <w:p>
      <w:pPr>
        <w:numPr>
          <w:ilvl w:val="0"/>
          <w:numId w:val="1012"/>
        </w:numPr>
        <w:pStyle w:val="Compact"/>
      </w:pPr>
      <w:r>
        <w:t xml:space="preserve">Marta może zostać również odpowiedzialna za naruszenie RODO (offset odszkodowań)</w:t>
      </w:r>
    </w:p>
    <w:bookmarkEnd w:id="51"/>
    <w:bookmarkStart w:id="52" w:name="X7de97f5bc11fd308223cf5edf64a789b2f4c7dc"/>
    <w:p>
      <w:pPr>
        <w:pStyle w:val="Heading3"/>
      </w:pPr>
      <w:r>
        <w:t xml:space="preserve">Wariant 3 (Niekorzystny dla Marty — 20% szansy):</w:t>
      </w:r>
    </w:p>
    <w:p>
      <w:pPr>
        <w:numPr>
          <w:ilvl w:val="0"/>
          <w:numId w:val="1013"/>
        </w:numPr>
        <w:pStyle w:val="Compact"/>
      </w:pPr>
      <w:r>
        <w:t xml:space="preserve">Sąd nie stwierdza działania odwetowego (mimo domniemania)</w:t>
      </w:r>
    </w:p>
    <w:p>
      <w:pPr>
        <w:numPr>
          <w:ilvl w:val="0"/>
          <w:numId w:val="1013"/>
        </w:numPr>
        <w:pStyle w:val="Compact"/>
      </w:pPr>
      <w:r>
        <w:t xml:space="preserve">Pracodawca wykazuje rzeczywistą reorganizację</w:t>
      </w:r>
    </w:p>
    <w:p>
      <w:pPr>
        <w:numPr>
          <w:ilvl w:val="0"/>
          <w:numId w:val="1013"/>
        </w:numPr>
        <w:pStyle w:val="Compact"/>
      </w:pPr>
      <w:r>
        <w:t xml:space="preserve">Marta musi zwrócić odszkodowanie za straty medialnych dla pracodawcy</w:t>
      </w:r>
    </w:p>
    <w:p>
      <w:pPr>
        <w:numPr>
          <w:ilvl w:val="0"/>
          <w:numId w:val="1013"/>
        </w:numPr>
        <w:pStyle w:val="Compact"/>
      </w:pPr>
      <w:r>
        <w:t xml:space="preserve">Ochrona sygnalistki częściowo utraca ze względu na ujawnienie mediom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Xea28c246cd004e93cb22a2389bfbcaed1f8e199"/>
    <w:p>
      <w:pPr>
        <w:pStyle w:val="Heading2"/>
      </w:pPr>
      <w:r>
        <w:t xml:space="preserve">WERSJA ROBOCZA — CZEKAM NA CHECKPOINT APPROVAL</w:t>
      </w:r>
    </w:p>
    <w:p>
      <w:pPr>
        <w:pStyle w:val="FirstParagraph"/>
      </w:pPr>
      <w:r>
        <w:t xml:space="preserve">Memorandum jest gotowe do</w:t>
      </w:r>
      <w:r>
        <w:t xml:space="preserve"> </w:t>
      </w:r>
      <w:r>
        <w:rPr>
          <w:bCs/>
          <w:b/>
        </w:rPr>
        <w:t xml:space="preserve">formalnego przejrzenia i zatwierdzenia</w:t>
      </w:r>
      <w:r>
        <w:t xml:space="preserve"> </w:t>
      </w:r>
      <w:r>
        <w:t xml:space="preserve">przed przejściem do edycji .docx z aktualnymi linkami do ISAP i orzeczeń.</w:t>
      </w:r>
    </w:p>
    <w:p>
      <w:pPr>
        <w:pStyle w:val="BodyText"/>
      </w:pPr>
      <w:r>
        <w:rPr>
          <w:bCs/>
          <w:b/>
        </w:rPr>
        <w:t xml:space="preserve">Pytania kontrolne do Użytkownika:</w:t>
      </w:r>
    </w:p>
    <w:p>
      <w:pPr>
        <w:numPr>
          <w:ilvl w:val="0"/>
          <w:numId w:val="1014"/>
        </w:numPr>
        <w:pStyle w:val="Compact"/>
      </w:pPr>
      <w:r>
        <w:t xml:space="preserve">Czy przeanalizuję pozostałe grupy (E–G) w tej samej strukturze?</w:t>
      </w:r>
    </w:p>
    <w:p>
      <w:pPr>
        <w:numPr>
          <w:ilvl w:val="0"/>
          <w:numId w:val="1014"/>
        </w:numPr>
        <w:pStyle w:val="Compact"/>
      </w:pPr>
      <w:r>
        <w:t xml:space="preserve">Czy powinienem dla każdej grupy wygenerować osobny arkusz .docx?</w:t>
      </w:r>
    </w:p>
    <w:p>
      <w:pPr>
        <w:numPr>
          <w:ilvl w:val="0"/>
          <w:numId w:val="1014"/>
        </w:numPr>
        <w:pStyle w:val="Compact"/>
      </w:pPr>
      <w:r>
        <w:t xml:space="preserve">Czy załącznikami powinny być tabele dowodów i macierze ryzyka jako widgety interaktywne?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2026-09-02T18:16:21Z</dcterms:created>
  <dcterms:modified xsi:type="dcterms:W3CDTF">2026-09-02T18:16:21Z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