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t xml:space="preserve">Bank kazusów wieloaspektowych — Arkusz odpowiedzi</w:t>
      </w:r>
    </w:p>
    <w:p>
      <w:pPr>
        <w:spacing w:after="160"/>
        <w:jc w:val="both"/>
      </w:pPr>
      <w:r>
        <w:rPr>
          <w:b/>
          <w:bCs/>
          <w:i w:val="false"/>
          <w:iCs w:val="false"/>
        </w:rPr>
        <w:t xml:space="preserve">Materiał wygenerowany przez:</w:t>
      </w:r>
      <w:r>
        <w:rPr>
          <w:i w:val="false"/>
          <w:iCs w:val="false"/>
        </w:rPr>
        <w:t xml:space="preserve"> Claude Sonnet 5 (poziom wysiłku/rozumowania: średni)</w:t>
      </w:r>
    </w:p>
    <w:p>
      <w:pPr>
        <w:spacing w:after="160"/>
        <w:jc w:val="both"/>
      </w:pPr>
      <w:r>
        <w:rPr>
          <w:b/>
          <w:bCs/>
          <w:i w:val="false"/>
          <w:iCs w:val="false"/>
        </w:rPr>
        <w:t xml:space="preserve">Data:</w:t>
      </w:r>
      <w:r>
        <w:rPr>
          <w:i w:val="false"/>
          <w:iCs w:val="false"/>
        </w:rPr>
        <w:t xml:space="preserve"> 3 września 2026</w:t>
      </w:r>
    </w:p>
    <w:p>
      <w:pPr>
        <w:spacing w:after="160"/>
        <w:jc w:val="both"/>
      </w:pPr>
      <w:r>
        <w:rPr>
          <w:b/>
          <w:bCs/>
          <w:i w:val="false"/>
          <w:iCs w:val="false"/>
        </w:rPr>
        <w:t xml:space="preserve">Uwaga metodologiczna:</w:t>
      </w:r>
      <w:r>
        <w:rPr>
          <w:i w:val="false"/>
          <w:iCs w:val="false"/>
        </w:rPr>
        <w:t xml:space="preserve"> Poniższe memoranda są zwięzłym kluczem odpowiedzi (issue-spotting + rekomendowane rozstrzygnięcie) przygotowanym zgodnie ze "Standardem odpowiedzi" z bazy kazusów: (1) mapa jurysdykcji i źródeł prawa, (2) przesłanki roszczeń/zarzutów, (3) najsilniejsze argumenty stron, (4) analiza dowodów i braków faktycznych, (5) rozstrzygnięcie i środek naprawczy. Nie dopowiadano faktów nieujętych w stanach faktycznych. Numery artykułów aktów prawa polskiego celowo pominięto lub podano poglądowo — zgodnie z instrukcją kazusów, wymagają weryfikacji w ELI/EUR-Lex przed użyciem zawodowym. Niniejszy dokument nie stanowi opinii prawnej w konkretnej sprawie.</w:t>
      </w:r>
    </w:p>
    <w:p>
      <w:pPr>
        <w:pBdr>
          <w:bottom w:val="single" w:color="AAAAAA" w:sz="6" w:space="1"/>
        </w:pBdr>
        <w:spacing w:after="200"/>
      </w:pPr>
    </w:p>
    <w:p>
      <w:r>
        <w:br w:type="page"/>
      </w:r>
    </w:p>
    <w:p>
      <w:pPr>
        <w:pStyle w:val="Heading1"/>
        <w:spacing w:after="200" w:before="200"/>
      </w:pPr>
      <w:r>
        <w:t xml:space="preserve">CZĘŚĆ I — Problemy międzynarodowe</w:t>
      </w:r>
    </w:p>
    <w:p>
      <w:pPr>
        <w:pStyle w:val="Heading2"/>
        <w:spacing w:after="150" w:before="300"/>
      </w:pPr>
      <w:r>
        <w:t xml:space="preserve">K-01 Heliox przeciwko Królestwu Solarii</w:t>
      </w:r>
    </w:p>
    <w:p>
      <w:pPr>
        <w:spacing w:after="160"/>
        <w:jc w:val="both"/>
      </w:pPr>
      <w:r>
        <w:rPr>
          <w:b/>
          <w:bCs/>
          <w:i w:val="false"/>
          <w:iCs w:val="false"/>
        </w:rPr>
        <w:t xml:space="preserve">1. Mapa jurysdykcji i źródeł prawa.</w:t>
      </w:r>
      <w:r>
        <w:rPr>
          <w:i w:val="false"/>
          <w:iCs w:val="false"/>
        </w:rPr>
        <w:t xml:space="preserve"> Trzy nakładające się reżimy: (a) prawo UE — art. 107–108 TFUE (pomoc państwa), zasada autonomii porządku prawnego UE (linia orzecznicza *Achmea*/*Komstroy*); (b) traktat inwestycyjny UE i państw członkowskich z państwem pochodzenia Heliox (Heliox pochodzi z państwa trzeciego, więc spór nie jest "intra-UE" w rozumieniu *Achmea*, co osłabia zarzut niedopuszczalności arbitrażu per se); (c) prawo krajowe Solarii — kontrola decyzji odzyskowych, pytanie prejudycjalne do TSUE. Właściwe są: Komisja Europejska (kontrola pomocy publicznej), sąd krajowy Solarii, trybunał arbitrażowy oraz sądy państw egzekucji wyroku ICSID.</w:t>
      </w:r>
    </w:p>
    <w:p>
      <w:pPr>
        <w:spacing w:after="160"/>
        <w:jc w:val="both"/>
      </w:pPr>
      <w:r>
        <w:rPr>
          <w:b/>
          <w:bCs/>
          <w:i w:val="false"/>
          <w:iCs w:val="false"/>
        </w:rPr>
        <w:t xml:space="preserve">2. Przesłanki roszczeń.</w:t>
      </w:r>
      <w:r>
        <w:rPr>
          <w:i w:val="false"/>
          <w:iCs w:val="false"/>
        </w:rPr>
        <w:t xml:space="preserve"> Odzyskanie pomocy wymaga: (i) ustalenia, że środek stanowi pomoc państwa w rozumieniu art. 107(1) TFUE, (ii) braku notyfikacji/zgody Komisji lub niezgodności z rynkiem wewnętrznym, (iii) proporcjonalnego, zindywidualizowanego obliczenia korzyści. Ochrona uzasadnionych oczekiwań wymaga precyzyjnych zapewnień organu i braku nadrzędnego interesu publicznego — rzadko skuteczna wobec odzyskania bezprawnej pomocy. Wyrok arbitrażowy wymaga zgodności z Konwencją ICSID/nowojorską, ale jego wykonanie może samo stanowić nową pomoc państwa (linia *Micula*).</w:t>
      </w:r>
    </w:p>
    <w:p>
      <w:pPr>
        <w:spacing w:after="160"/>
        <w:jc w:val="both"/>
      </w:pPr>
      <w:r>
        <w:rPr>
          <w:b/>
          <w:bCs/>
          <w:i w:val="false"/>
          <w:iCs w:val="false"/>
        </w:rPr>
        <w:t xml:space="preserve">3. Argumenty stron.</w:t>
      </w:r>
      <w:r>
        <w:rPr>
          <w:i w:val="false"/>
          <w:iCs w:val="false"/>
        </w:rPr>
        <w:t xml:space="preserve"> Heliox: certyfikaty imienne kreowały konkretne, zindywidualizowane zapewnienie; odzyskanie ryczałtowe narusza proporcjonalność i efektywną ochronę sądową; wyrok arbitrażowy wiąże na mocy prawa międzynarodowego. Solaria/Komisja: pomoc niezgodna z rynkiem wewnętrznym musi być odzyskana niezależnie od zapewnień krajowych; wykonanie wyroku odtworzyłoby bezprawną korzyść (*Micula*); wadliwa partycypacja społeczna (ustalenie komitetu z Aarhus) osłabia legitymację programu, choć nie unieważnia automatycznie już wydanych certyfikatów.</w:t>
      </w:r>
    </w:p>
    <w:p>
      <w:pPr>
        <w:spacing w:after="160"/>
        <w:jc w:val="both"/>
      </w:pPr>
      <w:r>
        <w:rPr>
          <w:b/>
          <w:bCs/>
          <w:i w:val="false"/>
          <w:iCs w:val="false"/>
        </w:rPr>
        <w:t xml:space="preserve">4. Dowody i braki faktyczne.</w:t>
      </w:r>
      <w:r>
        <w:rPr>
          <w:i w:val="false"/>
          <w:iCs w:val="false"/>
        </w:rPr>
        <w:t xml:space="preserve"> Brak: (a) treści finalnej decyzji Komisji o zgodności pomocy, (b) metodologii ryczałtowego wyliczenia, (c) treści traktatu inwestycyjnego i klauzul jurysdykcyjnych, (d) zakresu wiedzy Heliox o ryzyku regulacyjnym przed inwestycją (istotne dla oceny dobrej wiary/uzasadnionych oczekiwań). Nie należy zakładać wyniku postępowania przed Komisją ani treści orzeczenia TSUE.</w:t>
      </w:r>
    </w:p>
    <w:p>
      <w:pPr>
        <w:spacing w:after="160"/>
        <w:jc w:val="both"/>
      </w:pPr>
      <w:r>
        <w:rPr>
          <w:b/>
          <w:bCs/>
          <w:i w:val="false"/>
          <w:iCs w:val="false"/>
        </w:rPr>
        <w:t xml:space="preserve">5. Rozstrzygnięcie.</w:t>
      </w:r>
      <w:r>
        <w:rPr>
          <w:i w:val="false"/>
          <w:iCs w:val="false"/>
        </w:rPr>
        <w:t xml:space="preserve"> Do czasu decyzji Komisji i odpowiedzi TSUE na pytanie prejudycjalne: (a) decyzja odzyskowa oparta na ryczałcie powinna zostać uchylona/zwrócona do ponownego rozpoznania z nakazem indywidualizacji korzyści; (b) wykonanie wyroku ICSID przeciwko majątkowi Solarii w UE powinno zostać zawieszone zgodnie z linią *Micula*, bez uszczerbku dla możliwości egzekucji w państwach trzecich; (c) postępowania należy skoordynować (zasada lojalnej współpracy, art. 4(3) TUE), unikając sprzecznych rozstrzygnięć.</w:t>
      </w:r>
    </w:p>
    <w:p>
      <w:pPr>
        <w:pBdr>
          <w:bottom w:val="single" w:color="AAAAAA" w:sz="6" w:space="1"/>
        </w:pBdr>
        <w:spacing w:after="200"/>
      </w:pPr>
    </w:p>
    <w:p>
      <w:pPr>
        <w:pStyle w:val="Heading2"/>
        <w:spacing w:after="150" w:before="300"/>
      </w:pPr>
      <w:r>
        <w:t xml:space="preserve">K-02 Spór o Wąwóz Gordyjski</w:t>
      </w:r>
    </w:p>
    <w:p>
      <w:pPr>
        <w:spacing w:after="160"/>
        <w:jc w:val="both"/>
      </w:pPr>
      <w:r>
        <w:rPr>
          <w:b/>
          <w:bCs/>
          <w:i w:val="false"/>
          <w:iCs w:val="false"/>
        </w:rPr>
        <w:t xml:space="preserve">1. Mapa jurysdykcji.</w:t>
      </w:r>
      <w:r>
        <w:rPr>
          <w:i w:val="false"/>
          <w:iCs w:val="false"/>
        </w:rPr>
        <w:t xml:space="preserve"> Prawo międzynarodowe publiczne: dwustronna umowa Alekostrii i Restovii (interpretacja zgodnie z Konwencją wiedeńską o prawie traktatów), reguły odpowiedzialności państw (Artykuły KPM ONZ o odpowiedzialności państw za czyny międzynarodowo bezprawne), ewentualnie standardy dot. ludności rdzennej (analogicznie do Deklaracji ONZ o prawach ludów tubylczych) oraz prawo ekstradycyjne między stronami.</w:t>
      </w:r>
    </w:p>
    <w:p>
      <w:pPr>
        <w:spacing w:after="160"/>
        <w:jc w:val="both"/>
      </w:pPr>
      <w:r>
        <w:rPr>
          <w:b/>
          <w:bCs/>
          <w:i w:val="false"/>
          <w:iCs w:val="false"/>
        </w:rPr>
        <w:t xml:space="preserve">2. Przesłanki.</w:t>
      </w:r>
      <w:r>
        <w:rPr>
          <w:i w:val="false"/>
          <w:iCs w:val="false"/>
        </w:rPr>
        <w:t xml:space="preserve"> Naruszenie obowiązku udziału wymaga wykazania, że konsultacje nie spełniły standardu traktatowego (konsultacja vs. współdecydowanie vs. zgoda — zależnie od literalnego brzmienia klauzuli). Przypisanie czynu NEXCA Restovii/Alekostrii wymaga wykazania kontroli państwowej nad spółką (pełna własność, obsada zarządu, wymóg zgody politycznej — silne przesłanki pełnej kontroli w rozumieniu art. 8 Artykułów KPM, ewentualnie art. 5 jako podmiot wykonujący funkcje władzy publicznej). Odpowiedzialność za wypadek wymaga ustalenia standardu należytej staranności przy wdrażaniu systemu podatnego na cyberatak.</w:t>
      </w:r>
    </w:p>
    <w:p>
      <w:pPr>
        <w:spacing w:after="160"/>
        <w:jc w:val="both"/>
      </w:pPr>
      <w:r>
        <w:rPr>
          <w:b/>
          <w:bCs/>
          <w:i w:val="false"/>
          <w:iCs w:val="false"/>
        </w:rPr>
        <w:t xml:space="preserve">3. Argumenty stron.</w:t>
      </w:r>
      <w:r>
        <w:rPr>
          <w:i w:val="false"/>
          <w:iCs w:val="false"/>
        </w:rPr>
        <w:t xml:space="preserve"> Restovia: proces konsultacyjny był rozbudowany i prowadzony w dobrej wierze; bojkot części społeczności nie unieważnia konsultacji wobec braku wymogu jednomyślności; odmowa ekstradycji narusza zobowiązania traktatowe. Alekostria: NEXCA działała jako *de facto* organ państwa, więc odpowiedzialność spoczywa na państwie kontrolującym spółkę; brak zabezpieczenia systemu przed ingerencją stanowi naruszenie należytej staranności; ekstradycja bez gwarancji rzetelnego procesu jest niedopuszczalna.</w:t>
      </w:r>
    </w:p>
    <w:p>
      <w:pPr>
        <w:spacing w:after="160"/>
        <w:jc w:val="both"/>
      </w:pPr>
      <w:r>
        <w:rPr>
          <w:b/>
          <w:bCs/>
          <w:i w:val="false"/>
          <w:iCs w:val="false"/>
        </w:rPr>
        <w:t xml:space="preserve">4. Dowody i braki.</w:t>
      </w:r>
      <w:r>
        <w:rPr>
          <w:i w:val="false"/>
          <w:iCs w:val="false"/>
        </w:rPr>
        <w:t xml:space="preserve"> Nie ustalono: kto umieścił złośliwe oprogramowanie, czy system był należycie zabezpieczony, treści traktatu ekstradycyjnego, dokładnej treści klauzuli o "udziale" w decyzjach. Braki te uniemożliwiają jednoznaczne rozstrzygnięcie kwestii winy/należytej staranności i wymagają dalszego postępowania dowodowego (ewentualnie niekorzystne domniemanie wobec strony niewspółpracującej w ujawnieniu danych technicznych).</w:t>
      </w:r>
    </w:p>
    <w:p>
      <w:pPr>
        <w:spacing w:after="160"/>
        <w:jc w:val="both"/>
      </w:pPr>
      <w:r>
        <w:rPr>
          <w:b/>
          <w:bCs/>
          <w:i w:val="false"/>
          <w:iCs w:val="false"/>
        </w:rPr>
        <w:t xml:space="preserve">5. Rozstrzygnięcie.</w:t>
      </w:r>
      <w:r>
        <w:rPr>
          <w:i w:val="false"/>
          <w:iCs w:val="false"/>
        </w:rPr>
        <w:t xml:space="preserve"> Zachowanie NEXCA należy przypisać Alekostrii ze względu na pełną kontrolę korporacyjną i polityczną. Konsultacje spełniły minimalny standard proceduralny, ale profanacja strefy sakralnej wskutek wypadku stanowi odrębne naruszenie wymagające zadośćuczynienia. Proponowany środek: zawieszenie dalszego wydobycia do czasu wspólnego dochodzenia ws. cyberbezpieczeństwa i rozszerzonych konsultacji z uwzględnieniem podzielonego stanowiska społeczności; ekstradycja uzależniona od gwarancji proceduralnych Restovii.</w:t>
      </w:r>
    </w:p>
    <w:p>
      <w:pPr>
        <w:pBdr>
          <w:bottom w:val="single" w:color="AAAAAA" w:sz="6" w:space="1"/>
        </w:pBdr>
        <w:spacing w:after="200"/>
      </w:pPr>
    </w:p>
    <w:p>
      <w:pPr>
        <w:pStyle w:val="Heading2"/>
        <w:spacing w:after="150" w:before="300"/>
      </w:pPr>
      <w:r>
        <w:t xml:space="preserve">K-03 Vitoria i Graviola przeciwko Uxi</w:t>
      </w:r>
    </w:p>
    <w:p>
      <w:pPr>
        <w:spacing w:after="160"/>
        <w:jc w:val="both"/>
      </w:pPr>
      <w:r>
        <w:rPr>
          <w:b/>
          <w:bCs/>
          <w:i w:val="false"/>
          <w:iCs w:val="false"/>
        </w:rPr>
        <w:t xml:space="preserve">1. Mapa jurysdykcji.</w:t>
      </w:r>
      <w:r>
        <w:rPr>
          <w:i w:val="false"/>
          <w:iCs w:val="false"/>
        </w:rPr>
        <w:t xml:space="preserve"> Standardy ochrony wolności wypowiedzi, prywatności i wolności prasy analogiczne do art. 8 i 10 EKPC/podobnych instrumentów; prawo migracyjne i bezpieczeństwa narodowego Uxi; wewnętrzne prawo pracy uczelni publicznej.</w:t>
      </w:r>
    </w:p>
    <w:p>
      <w:pPr>
        <w:spacing w:after="160"/>
        <w:jc w:val="both"/>
      </w:pPr>
      <w:r>
        <w:rPr>
          <w:b/>
          <w:bCs/>
          <w:i w:val="false"/>
          <w:iCs w:val="false"/>
        </w:rPr>
        <w:t xml:space="preserve">2. Przesłanki.</w:t>
      </w:r>
      <w:r>
        <w:rPr>
          <w:i w:val="false"/>
          <w:iCs w:val="false"/>
        </w:rPr>
        <w:t xml:space="preserve"> Ograniczenie praw musi być "przewidziane ustawą" (przewidywalność kryterium), realizować legalny cel i być proporcjonalne/konieczne w demokratycznym społeczeństwie. Ochrona źródeł dziennikarskich wymaga wykazania braku niezależnej kontroli sądowej przed ingerencją. Zakaz publikacji (prior restraint) podlega podwyższonemu standardowi konieczności.</w:t>
      </w:r>
    </w:p>
    <w:p>
      <w:pPr>
        <w:spacing w:after="160"/>
        <w:jc w:val="both"/>
      </w:pPr>
      <w:r>
        <w:rPr>
          <w:b/>
          <w:bCs/>
          <w:i w:val="false"/>
          <w:iCs w:val="false"/>
        </w:rPr>
        <w:t xml:space="preserve">3. Argumenty stron.</w:t>
      </w:r>
      <w:r>
        <w:rPr>
          <w:i w:val="false"/>
          <w:iCs w:val="false"/>
        </w:rPr>
        <w:t xml:space="preserve"> Uxi: ustawa odpowiada na realne zagrożenie przestępczością transgraniczną; posiadano informacje o kontaktach Vitorii; blokada publikacji chroniła informacje niejawne. Vitoria/Graviola: kryterium "potencjalnego zagrożenia" jest nieprzewidywalne i otwiera pole do arbitralności; zdalna ingerencja w urządzenie dziennikarki bez niezależnej autoryzacji narusza ochronę źródeł; polubienie posta nie stanowi podżegania; blokada całej publikacji, zamiast redakcji fragmentów niejawnych, jest nieproporcjonalna; kumulacja sankcji (zwolnienie, cofnięcie pobytu, inwigilacja, zakaz publikacji) wskazuje na działania odwetowe.</w:t>
      </w:r>
    </w:p>
    <w:p>
      <w:pPr>
        <w:spacing w:after="160"/>
        <w:jc w:val="both"/>
      </w:pPr>
      <w:r>
        <w:rPr>
          <w:b/>
          <w:bCs/>
          <w:i w:val="false"/>
          <w:iCs w:val="false"/>
        </w:rPr>
        <w:t xml:space="preserve">4. Dowody i braki.</w:t>
      </w:r>
      <w:r>
        <w:rPr>
          <w:i w:val="false"/>
          <w:iCs w:val="false"/>
        </w:rPr>
        <w:t xml:space="preserve"> Brak ustalenia, czy dane uzyskano legalnie, treści niejawnego materiału dowodowego, procedury zwolnienia z uczelni (czy była niezależna od nacisków władzy) oraz dokładnej treści komentarza, który polubiono.</w:t>
      </w:r>
    </w:p>
    <w:p>
      <w:pPr>
        <w:spacing w:after="160"/>
        <w:jc w:val="both"/>
      </w:pPr>
      <w:r>
        <w:rPr>
          <w:b/>
          <w:bCs/>
          <w:i w:val="false"/>
          <w:iCs w:val="false"/>
        </w:rPr>
        <w:t xml:space="preserve">5. Rozstrzygnięcie.</w:t>
      </w:r>
      <w:r>
        <w:rPr>
          <w:i w:val="false"/>
          <w:iCs w:val="false"/>
        </w:rPr>
        <w:t xml:space="preserve"> Kryterium "potencjalnego zagrożenia" nie spełnia testu legalności/przewidywalności. Przeszukanie i zdalna infekcja urządzenia dziennikarki bez niezależnej autoryzacji sądowej naruszają ochronę źródeł. Całkowita blokada publikacji jest nieproporcjonalna — należy nakazać jej zniesienie z możliwością redakcji fragmentów rzeczywiście niejawnych, weryfikowanych *in camera*. Kumulacja sankcji uzasadnia zbadanie ich jako spójnego wzorca represji; sprawa zwolnienia z pracy wymaga dodatkowych faktów co do niezależności decyzji uczelni.</w:t>
      </w:r>
    </w:p>
    <w:p>
      <w:pPr>
        <w:pBdr>
          <w:bottom w:val="single" w:color="AAAAAA" w:sz="6" w:space="1"/>
        </w:pBdr>
        <w:spacing w:after="200"/>
      </w:pPr>
    </w:p>
    <w:p>
      <w:pPr>
        <w:pStyle w:val="Heading2"/>
        <w:spacing w:after="150" w:before="300"/>
      </w:pPr>
      <w:r>
        <w:t xml:space="preserve">K-04 Prokurator przeciwko Drogannie Syrax</w:t>
      </w:r>
    </w:p>
    <w:p>
      <w:pPr>
        <w:spacing w:after="160"/>
        <w:jc w:val="both"/>
      </w:pPr>
      <w:r>
        <w:rPr>
          <w:b/>
          <w:bCs/>
          <w:i w:val="false"/>
          <w:iCs w:val="false"/>
        </w:rPr>
        <w:t xml:space="preserve">1. Mapa jurysdykcji.</w:t>
      </w:r>
      <w:r>
        <w:rPr>
          <w:i w:val="false"/>
          <w:iCs w:val="false"/>
        </w:rPr>
        <w:t xml:space="preserve"> Statut Rzymski MTK, deklaracja *ad hoc* uznająca jurysdykcję na podstawie art. 12(3) (Essuss nie jest stroną Statutu), zasady dot. immunitetu głowy państwa wobec MTK (linia orzecznicza ws. *Al-Bashir*), reguły dowodowe i proceduralne Statutu.</w:t>
      </w:r>
    </w:p>
    <w:p>
      <w:pPr>
        <w:spacing w:after="160"/>
        <w:jc w:val="both"/>
      </w:pPr>
      <w:r>
        <w:rPr>
          <w:b/>
          <w:bCs/>
          <w:i w:val="false"/>
          <w:iCs w:val="false"/>
        </w:rPr>
        <w:t xml:space="preserve">2. Przesłanki.</w:t>
      </w:r>
      <w:r>
        <w:rPr>
          <w:i w:val="false"/>
          <w:iCs w:val="false"/>
        </w:rPr>
        <w:t xml:space="preserve"> Zbrodnia wojenna polegająca na umyślnym utrudnianiu pomocy humanitarnej wymaga: (i) istnienia konfliktu zbrojnego i związku czasowo-funkcjonalnego czynu z konfliktem, (ii) elementu podmiotowego (zamiar osłabienia ludności cywilnej, a nie wyłącznie kontrola bezpieczeństwa), (iii) skutku w postaci utrudnienia dostaw ratujących życie. Immunitet nie stanowi przeszkody proceduralnej przed MTK zgodnie z dominującą linią orzeczniczą (art. 27 Statutu). Nieregularne zatrzymanie wymaga oceny, czy narusza rzetelność procesu na tyle, by uzasadnić umorzenie (doktryna nadużycia procesu).</w:t>
      </w:r>
    </w:p>
    <w:p>
      <w:pPr>
        <w:spacing w:after="160"/>
        <w:jc w:val="both"/>
      </w:pPr>
      <w:r>
        <w:rPr>
          <w:b/>
          <w:bCs/>
          <w:i w:val="false"/>
          <w:iCs w:val="false"/>
        </w:rPr>
        <w:t xml:space="preserve">3. Argumenty stron.</w:t>
      </w:r>
      <w:r>
        <w:rPr>
          <w:i w:val="false"/>
          <w:iCs w:val="false"/>
        </w:rPr>
        <w:t xml:space="preserve"> Oskarżenie: ograniczenia dostaw miały charakter systemowy i celowy, o czym świadczy powtarzalność zatrzymań konwojów; deklaracja jurysdykcyjna obejmuje okres i sytuację zarzucanych czynów i nie może zostać jednostronnie cofnięta wstecz. Obrona: kontrola konwojów była uzasadniona bezpieczeństwem (przemyt broni); nowy rząd kwestionuje zakres deklaracji; zatrzymanie w państwie trzecim bez pełnej procedury ekstradycyjnej narusza gwarancje procesowe; rozkazy przekazywane ustnie nie pozwalają jednoznacznie przypisać odpowiedzialności dowódczej.</w:t>
      </w:r>
    </w:p>
    <w:p>
      <w:pPr>
        <w:spacing w:after="160"/>
        <w:jc w:val="both"/>
      </w:pPr>
      <w:r>
        <w:rPr>
          <w:b/>
          <w:bCs/>
          <w:i w:val="false"/>
          <w:iCs w:val="false"/>
        </w:rPr>
        <w:t xml:space="preserve">4. Dowody i braki.</w:t>
      </w:r>
      <w:r>
        <w:rPr>
          <w:i w:val="false"/>
          <w:iCs w:val="false"/>
        </w:rPr>
        <w:t xml:space="preserve"> Fragmentaryczna dokumentacja rozkazów, brak ustalenia dokładnego zakresu czasowego/przedmiotowego deklaracji jurysdykcyjnej, niejasna legalność operacji zatrzymania w państwie trzecim.</w:t>
      </w:r>
    </w:p>
    <w:p>
      <w:pPr>
        <w:spacing w:after="160"/>
        <w:jc w:val="both"/>
      </w:pPr>
      <w:r>
        <w:rPr>
          <w:b/>
          <w:bCs/>
          <w:i w:val="false"/>
          <w:iCs w:val="false"/>
        </w:rPr>
        <w:t xml:space="preserve">5. Rozstrzygnięcie.</w:t>
      </w:r>
      <w:r>
        <w:rPr>
          <w:i w:val="false"/>
          <w:iCs w:val="false"/>
        </w:rPr>
        <w:t xml:space="preserve"> Jurysdykcja MTK powinna zostać potwierdzona na etapie wstępnym w zakresie objętym deklaracją, jednostronne jej cofnięcie nie ma skutku wstecznego. Zarzut immunitetu należy oddalić zgodnie z art. 27 Statutu. Wniosek o umorzenie z powodu nieregularnego zatrzymania należy oddalić przy braku dowodów rażącego naruszenia praw człowieka, z zastrzeżeniem dalszej kontroli. Na etapie zatwierdzania zarzutów należy dopuścić alternatywne kwalifikacje odpowiedzialności (polecenie bezpośrednie / odpowiedzialność przełożonego) do wyjaśnienia w toku rozprawy, wskazując na luki dowodowe wymagające dalszego śledztwa.</w:t>
      </w:r>
    </w:p>
    <w:p>
      <w:pPr>
        <w:pBdr>
          <w:bottom w:val="single" w:color="AAAAAA" w:sz="6" w:space="1"/>
        </w:pBdr>
        <w:spacing w:after="200"/>
      </w:pPr>
    </w:p>
    <w:p>
      <w:pPr>
        <w:pStyle w:val="Heading2"/>
        <w:spacing w:after="150" w:before="300"/>
      </w:pPr>
      <w:r>
        <w:t xml:space="preserve">K-05 Orchis Worldwide przeciwko Darwin Natural Food</w:t>
      </w:r>
    </w:p>
    <w:p>
      <w:pPr>
        <w:spacing w:after="160"/>
        <w:jc w:val="both"/>
      </w:pPr>
      <w:r>
        <w:rPr>
          <w:b/>
          <w:bCs/>
          <w:i w:val="false"/>
          <w:iCs w:val="false"/>
        </w:rPr>
        <w:t xml:space="preserve">1. Mapa jurysdykcji.</w:t>
      </w:r>
      <w:r>
        <w:rPr>
          <w:i w:val="false"/>
          <w:iCs w:val="false"/>
        </w:rPr>
        <w:t xml:space="preserve"> Konwencja wiedeńska ONZ o umowach międzynarodowej sprzedaży towarów (CISG), regulamin arbitrażowy SIAC (kwestia wersji), wytyczne dot. finansowania sporu przez podmiot trzeci (standardy IBA/SIAC-IBA), reżim CITES.</w:t>
      </w:r>
    </w:p>
    <w:p>
      <w:pPr>
        <w:spacing w:after="160"/>
        <w:jc w:val="both"/>
      </w:pPr>
      <w:r>
        <w:rPr>
          <w:b/>
          <w:bCs/>
          <w:i w:val="false"/>
          <w:iCs w:val="false"/>
        </w:rPr>
        <w:t xml:space="preserve">2. Przesłanki.</w:t>
      </w:r>
      <w:r>
        <w:rPr>
          <w:i w:val="false"/>
          <w:iCs w:val="false"/>
        </w:rPr>
        <w:t xml:space="preserve"> Zwolnienie z odpowiedzialności na podstawie CISG wymaga przeszkody pozostającej poza kontrolą strony, nieprzewidywalnej w chwili zawarcia umowy, i braku możliwości jej przezwyciężenia lub uniknięcia skutków. Skuteczne rozwiązanie umowy wymaga fundamentalnego naruszenia lub bezskutecznego upływu dodatkowego terminu; sprzedawca oferujący naprawę/alternatywę korzysta z prawa do usunięcia wady. Ujawnienie finansowania sporu ocenia się przez pryzmat konfliktu interesów arbitra, nie automatycznego prawa do pełnej treści umowy finansowania.</w:t>
      </w:r>
    </w:p>
    <w:p>
      <w:pPr>
        <w:spacing w:after="160"/>
        <w:jc w:val="both"/>
      </w:pPr>
      <w:r>
        <w:rPr>
          <w:b/>
          <w:bCs/>
          <w:i w:val="false"/>
          <w:iCs w:val="false"/>
        </w:rPr>
        <w:t xml:space="preserve">3. Argumenty stron.</w:t>
      </w:r>
      <w:r>
        <w:rPr>
          <w:i w:val="false"/>
          <w:iCs w:val="false"/>
        </w:rPr>
        <w:t xml:space="preserve"> Kupujący: zmiana klasyfikacji CITES była nieprzewidywalna i uniemożliwiła terminową dostawę, uzasadniając rozwiązanie umowy i zawarcie droższej transakcji zastępczej; ujawnił wszystko, co konieczne dla kontroli konfliktu interesów. Sprzedawca: zaproponował rozsądną alternatywę (opóźnienie/inna trasa), więc odmowa kupującego była przedwczesna i sama stanowi naruszenie obowiązku współdziałania i minimalizacji szkody; pełne ujawnienie finansowania jest konieczne dla oceny bezstronności trybunału.</w:t>
      </w:r>
    </w:p>
    <w:p>
      <w:pPr>
        <w:spacing w:after="160"/>
        <w:jc w:val="both"/>
      </w:pPr>
      <w:r>
        <w:rPr>
          <w:b/>
          <w:bCs/>
          <w:i w:val="false"/>
          <w:iCs w:val="false"/>
        </w:rPr>
        <w:t xml:space="preserve">4. Dowody i braki.</w:t>
      </w:r>
      <w:r>
        <w:rPr>
          <w:i w:val="false"/>
          <w:iCs w:val="false"/>
        </w:rPr>
        <w:t xml:space="preserve"> Brak dokładnej treści klauzuli arbitrażowej (wersja regulaminu), umowy finansowania sporu, kontraktowego rozkładu ryzyka regulacyjnego (kto odpowiadał za pozwolenia CITES) oraz warunków transakcji zastępczej.</w:t>
      </w:r>
    </w:p>
    <w:p>
      <w:pPr>
        <w:spacing w:after="160"/>
        <w:jc w:val="both"/>
      </w:pPr>
      <w:r>
        <w:rPr>
          <w:b/>
          <w:bCs/>
          <w:i w:val="false"/>
          <w:iCs w:val="false"/>
        </w:rPr>
        <w:t xml:space="preserve">5. Rozstrzygnięcie.</w:t>
      </w:r>
      <w:r>
        <w:rPr>
          <w:i w:val="false"/>
          <w:iCs w:val="false"/>
        </w:rPr>
        <w:t xml:space="preserve"> Zastosowanie znajduje regulamin SIAC obowiązujący w dacie wszczęcia arbitrażu, chyba że umowa wyraźnie wskazuje inaczej. Ujawnieniu podlega tożsamość finansującego i istnienie potencjalnego konfliktu interesów, lecz nie pełna treść umowy finansowania; zabezpieczenie kosztów — do rozstrzygnięcia po ustaleniu sytuacji finansowej kupującego. Co do meritum: zmiana klasyfikacji CITES może uzasadniać czasowe zwolnienie z odpowiedzialności, lecz odmowa przyjęcia rozsądnej alternatywy zaproponowanej przez sprzedawcę osłabia roszczenie o odszkodowanie w pełnej wysokości — należy je obniżyć proporcjonalnie do naruszenia obowiązku minimalizacji szkody.</w:t>
      </w:r>
    </w:p>
    <w:p>
      <w:pPr>
        <w:pBdr>
          <w:bottom w:val="single" w:color="AAAAAA" w:sz="6" w:space="1"/>
        </w:pBdr>
        <w:spacing w:after="200"/>
      </w:pPr>
    </w:p>
    <w:p>
      <w:pPr>
        <w:pStyle w:val="Heading2"/>
        <w:spacing w:after="150" w:before="300"/>
      </w:pPr>
      <w:r>
        <w:t xml:space="preserve">K-06 Inkaton przeciwko Accadii</w:t>
      </w:r>
    </w:p>
    <w:p>
      <w:pPr>
        <w:spacing w:after="160"/>
        <w:jc w:val="both"/>
      </w:pPr>
      <w:r>
        <w:rPr>
          <w:b/>
          <w:bCs/>
          <w:i w:val="false"/>
          <w:iCs w:val="false"/>
        </w:rPr>
        <w:t xml:space="preserve">1. Mapa jurysdykcji.</w:t>
      </w:r>
      <w:r>
        <w:rPr>
          <w:i w:val="false"/>
          <w:iCs w:val="false"/>
        </w:rPr>
        <w:t xml:space="preserve"> Traktat o przestrzeni kosmicznej z 1967 r. (w szczególności zasada zachowania jurysdykcji i kontroli państwa rejestrującego — art. VIII), Konwencja o rejestracji obiektów kosmicznych, Konwencja o odpowiedzialności międzynarodowej za szkody wyrządzone przez obiekty kosmiczne, Porozumienie o ratowaniu kosmonautów.</w:t>
      </w:r>
    </w:p>
    <w:p>
      <w:pPr>
        <w:spacing w:after="160"/>
        <w:jc w:val="both"/>
      </w:pPr>
      <w:r>
        <w:rPr>
          <w:b/>
          <w:bCs/>
          <w:i w:val="false"/>
          <w:iCs w:val="false"/>
        </w:rPr>
        <w:t xml:space="preserve">2. Przesłanki.</w:t>
      </w:r>
      <w:r>
        <w:rPr>
          <w:i w:val="false"/>
          <w:iCs w:val="false"/>
        </w:rPr>
        <w:t xml:space="preserve"> Utrata kontroli nad satelitą nie powoduje utraty własności/jurysdykcji państwa rejestrującego. Przypisanie działań spółki prywatnej państwu następuje na zasadzie lex specialis prawa kosmicznego (odpowiedzialność za "działalność narodową" niezależnie od ogólnych reguł przypisania). Odpowiedzialność za szkodę wymaga ustalenia winy (poza szkodą na powierzchni Ziemi, gdzie obowiązuje odpowiedzialność absolutna) oraz oceny, czy burza protonowa stanowi siłę wyższą przerywającą związek przyczynowy.</w:t>
      </w:r>
    </w:p>
    <w:p>
      <w:pPr>
        <w:spacing w:after="160"/>
        <w:jc w:val="both"/>
      </w:pPr>
      <w:r>
        <w:rPr>
          <w:b/>
          <w:bCs/>
          <w:i w:val="false"/>
          <w:iCs w:val="false"/>
        </w:rPr>
        <w:t xml:space="preserve">3. Argumenty stron.</w:t>
      </w:r>
      <w:r>
        <w:rPr>
          <w:i w:val="false"/>
          <w:iCs w:val="false"/>
        </w:rPr>
        <w:t xml:space="preserve"> Inkaton/Quipu: satelita pozostał własnością Quipu mimo utraty kontroli; orzeczenie *in rem* państwa licencjonującego nie jest opozycyjne wobec państwa rejestrującego; jednostronne przechwycenie i późniejsze pozyskanie technologii z wraku naruszają obowiązek zwrotu obiektu. Accadia/Sargon: przechwycenie było uzasadnione koniecznością ograniczenia zagrożenia kolizyjnego; szkoda na Księżycu wynikła z siły wyższej (burza protonowa); akcja ratownicza załogi Quipu wypełniła zobowiązania humanitarne, a późniejsze działania zabezpieczały teren.</w:t>
      </w:r>
    </w:p>
    <w:p>
      <w:pPr>
        <w:spacing w:after="160"/>
        <w:jc w:val="both"/>
      </w:pPr>
      <w:r>
        <w:rPr>
          <w:b/>
          <w:bCs/>
          <w:i w:val="false"/>
          <w:iCs w:val="false"/>
        </w:rPr>
        <w:t xml:space="preserve">4. Dowody i braki.</w:t>
      </w:r>
      <w:r>
        <w:rPr>
          <w:i w:val="false"/>
          <w:iCs w:val="false"/>
        </w:rPr>
        <w:t xml:space="preserve"> Brak ustaleń co do przyczyny utraty kontroli nad pierwotnym satelitą, dokładnego przebiegu konsultacji dyplomatycznych i ich terminowości, zakresu technologii pozyskanej z wraku.</w:t>
      </w:r>
    </w:p>
    <w:p>
      <w:pPr>
        <w:spacing w:after="160"/>
        <w:jc w:val="both"/>
      </w:pPr>
      <w:r>
        <w:rPr>
          <w:b/>
          <w:bCs/>
          <w:i w:val="false"/>
          <w:iCs w:val="false"/>
        </w:rPr>
        <w:t xml:space="preserve">5. Rozstrzygnięcie.</w:t>
      </w:r>
      <w:r>
        <w:rPr>
          <w:i w:val="false"/>
          <w:iCs w:val="false"/>
        </w:rPr>
        <w:t xml:space="preserve"> Satelita pozostał własnością Inkatonu/Quipu; orzeczenie krajowe Accadii nie wiąże na płaszczyźnie międzynarodowej. Działania Sargon są przypisywalne Accadii na mocy zasady odpowiedzialności za działalność narodową. Szkoda spowodowana burzą protonową może częściowo wyłączać winę, ale decyzja o trasie lotu w pobliżu instalacji księżycowej po remoncie satelity podlega ocenie należytej staranności. Pozyskanie technologii z wraku po zakończeniu akcji ratowniczej przekracza jej zakres i uzasadnia zwrot/odszkodowanie. Rekomendowane: wspólne oszacowanie szkód, zwrot technologii lub rekompensata, oraz przypomnienie obu państwom obowiązku terminowych konsultacji dyplomatycznych.</w:t>
      </w:r>
    </w:p>
    <w:p>
      <w:pPr>
        <w:pBdr>
          <w:bottom w:val="single" w:color="AAAAAA" w:sz="6" w:space="1"/>
        </w:pBdr>
        <w:spacing w:after="200"/>
      </w:pPr>
    </w:p>
    <w:p>
      <w:pPr>
        <w:pStyle w:val="Heading2"/>
        <w:spacing w:after="150" w:before="300"/>
      </w:pPr>
      <w:r>
        <w:t xml:space="preserve">K-07 Anecoyon przeciwko Ridusowi</w:t>
      </w:r>
    </w:p>
    <w:p>
      <w:pPr>
        <w:spacing w:after="160"/>
        <w:jc w:val="both"/>
      </w:pPr>
      <w:r>
        <w:rPr>
          <w:b/>
          <w:bCs/>
          <w:i w:val="false"/>
          <w:iCs w:val="false"/>
        </w:rPr>
        <w:t xml:space="preserve">1. Mapa jurysdykcji.</w:t>
      </w:r>
      <w:r>
        <w:rPr>
          <w:i w:val="false"/>
          <w:iCs w:val="false"/>
        </w:rPr>
        <w:t xml:space="preserve"> Konwencja o różnorodności biologicznej i Protokół z Nagoi (dostęp do zasobów genetycznych i podział korzyści), konwencja CITES, standardy dot. wiedzy tradycyjnej ludności rdzennej, umowa muzealna dot. przekazania eksponatu.</w:t>
      </w:r>
    </w:p>
    <w:p>
      <w:pPr>
        <w:spacing w:after="160"/>
        <w:jc w:val="both"/>
      </w:pPr>
      <w:r>
        <w:rPr>
          <w:b/>
          <w:bCs/>
          <w:i w:val="false"/>
          <w:iCs w:val="false"/>
        </w:rPr>
        <w:t xml:space="preserve">2. Przesłanki.</w:t>
      </w:r>
      <w:r>
        <w:rPr>
          <w:i w:val="false"/>
          <w:iCs w:val="false"/>
        </w:rPr>
        <w:t xml:space="preserve"> Obowiązek podziału korzyści aktualizuje się przy wykorzystaniu zasobu genetycznego objętego zakresem konwencji; sporne pozostaje, czy materiał z gatunku wymarłego oraz cyfrowa informacja sekwencyjna (DSI) mieszczą się w tym zakresie. Zgoda na przekazanie eksponatu muzealnego nie obejmuje automatycznie zgody na dalsze wykorzystanie biotechnologiczne (zasada ograniczenia celu). Państwo pochodzenia przy historycznie transgranicznym gatunku może wymagać ustalenia wspólnego/kilku państw pochodzenia.</w:t>
      </w:r>
    </w:p>
    <w:p>
      <w:pPr>
        <w:spacing w:after="160"/>
        <w:jc w:val="both"/>
      </w:pPr>
      <w:r>
        <w:rPr>
          <w:b/>
          <w:bCs/>
          <w:i w:val="false"/>
          <w:iCs w:val="false"/>
        </w:rPr>
        <w:t xml:space="preserve">3. Argumenty stron.</w:t>
      </w:r>
      <w:r>
        <w:rPr>
          <w:i w:val="false"/>
          <w:iCs w:val="false"/>
        </w:rPr>
        <w:t xml:space="preserve"> Anecoyon: wymagana była uprzednia świadoma zgoda państwa i społeczności rdzennej ze względu na duchowe znaczenie gatunku; komercyjne wykorzystanie (park hodowlany, licencje) rodzi obowiązek podziału korzyści. Ridus: organizm był prawnie wymarły, próbka znajdowała się legalnie w muzeum, informacja sekwencyjna różni się od fizycznego zasobu genetycznego, a projekt służy ochronie różnorodności biologicznej.</w:t>
      </w:r>
    </w:p>
    <w:p>
      <w:pPr>
        <w:spacing w:after="160"/>
        <w:jc w:val="both"/>
      </w:pPr>
      <w:r>
        <w:rPr>
          <w:b/>
          <w:bCs/>
          <w:i w:val="false"/>
          <w:iCs w:val="false"/>
        </w:rPr>
        <w:t xml:space="preserve">4. Dowody i braki.</w:t>
      </w:r>
      <w:r>
        <w:rPr>
          <w:i w:val="false"/>
          <w:iCs w:val="false"/>
        </w:rPr>
        <w:t xml:space="preserve"> Brak treści pierwotnej umowy przekazania eksponatu, dokładnego zasięgu historycznego gatunku, stopnia identyczności genetycznej odtworzonego organizmu z gatunkiem wymarłym.</w:t>
      </w:r>
    </w:p>
    <w:p>
      <w:pPr>
        <w:spacing w:after="160"/>
        <w:jc w:val="both"/>
      </w:pPr>
      <w:r>
        <w:rPr>
          <w:b/>
          <w:bCs/>
          <w:i w:val="false"/>
          <w:iCs w:val="false"/>
        </w:rPr>
        <w:t xml:space="preserve">5. Rozstrzygnięcie.</w:t>
      </w:r>
      <w:r>
        <w:rPr>
          <w:i w:val="false"/>
          <w:iCs w:val="false"/>
        </w:rPr>
        <w:t xml:space="preserve"> Wykorzystanie sekwencji genetycznej do celów komercyjnych po wejściu w życie reżimu ABS aktualizuje obowiązek podziału korzyści niezależnie od momentu pozyskania próbki fizycznej. Zgoda muzealna nie obejmowała sekwencjonowania i de-extinction. Rekomendowane: nakaz negocjacji wzajemnie uzgodnionych warunków (ABS) z Anecoyon oraz odrębnego mechanizmu opartego na uprzedniej świadomej zgodzie ze społecznością rdzenną; wspólne uznanie statusu państw pochodzenia z uwagi na historyczny zasięg transgraniczny; status CITES odtworzonego organizmu pozostaje otwarty do czasu opinii biegłych taksonomicznych — do tego czasu stosować zasadę ostrożności.</w:t>
      </w:r>
    </w:p>
    <w:p>
      <w:pPr>
        <w:pBdr>
          <w:bottom w:val="single" w:color="AAAAAA" w:sz="6" w:space="1"/>
        </w:pBdr>
        <w:spacing w:after="200"/>
      </w:pPr>
    </w:p>
    <w:p>
      <w:r>
        <w:br w:type="page"/>
      </w:r>
    </w:p>
    <w:p>
      <w:pPr>
        <w:pStyle w:val="Heading1"/>
        <w:spacing w:after="200" w:before="200"/>
      </w:pPr>
      <w:r>
        <w:t xml:space="preserve">CZĘŚĆ II — Najtrudniejsze kazusy z prawa polskiego</w:t>
      </w:r>
    </w:p>
    <w:p>
      <w:pPr>
        <w:spacing w:after="200"/>
      </w:pPr>
      <w:r>
        <w:rPr>
          <w:i/>
          <w:iCs/>
          <w:color w:val="555555"/>
        </w:rPr>
        <w:t xml:space="preserve">Uwaga: kazusy polskie celowo nie podają numerów artykułów — poniżej wskazano właściwe akty i instytucje prawne; dokładne jednostki redakcyjne wymagają weryfikacji w ELI przed użyciem zawodowym.</w:t>
      </w:r>
    </w:p>
    <w:p>
      <w:pPr>
        <w:pStyle w:val="Heading2"/>
        <w:spacing w:after="150" w:before="300"/>
      </w:pPr>
      <w:r>
        <w:t xml:space="preserve">PL-01 Algorytm zwalnia sygnalistkę</w:t>
      </w:r>
    </w:p>
    <w:p>
      <w:pPr>
        <w:spacing w:after="160"/>
        <w:jc w:val="both"/>
      </w:pPr>
      <w:r>
        <w:rPr>
          <w:b/>
          <w:bCs/>
          <w:i w:val="false"/>
          <w:iCs w:val="false"/>
        </w:rPr>
        <w:t xml:space="preserve">1. Mapa jurysdykcji.</w:t>
      </w:r>
      <w:r>
        <w:rPr>
          <w:i w:val="false"/>
          <w:iCs w:val="false"/>
        </w:rPr>
        <w:t xml:space="preserve"> Kodeks pracy, ustawa o ochronie sygnalistów (implementująca dyrektywę 2019/1937), RODO (w tym art. 22 — zautomatyzowane podejmowanie decyzji), rozporządzenie o AI (AI Act — systemy wysokiego ryzyka w rekrutacji/HR), ustawa o zwalczaniu nieuczciwej konkurencji (tajemnica przedsiębiorstwa). Właściwe organy: sąd pracy, UODO, PIP.</w:t>
      </w:r>
    </w:p>
    <w:p>
      <w:pPr>
        <w:spacing w:after="160"/>
        <w:jc w:val="both"/>
      </w:pPr>
      <w:r>
        <w:rPr>
          <w:b/>
          <w:bCs/>
          <w:i w:val="false"/>
          <w:iCs w:val="false"/>
        </w:rPr>
        <w:t xml:space="preserve">2. Przesłanki.</w:t>
      </w:r>
      <w:r>
        <w:rPr>
          <w:i w:val="false"/>
          <w:iCs w:val="false"/>
        </w:rPr>
        <w:t xml:space="preserve"> Ochrona sygnalisty wymaga zgłoszenia dotyczącego naruszenia prawa w dobrej wierze; działanie odwetowe pracodawcy podlega odwróconemu ciężarowi dowodu (pracodawca musi wykazać, że decyzja nie była związana ze zgłoszeniem). Automatyczne podejmowanie decyzji wywołujących istotne skutki prawne wymaga zapewnienia rzeczywistej interwencji ludzkiej — formalna wideokonferencja bez realnej możliwości zmiany wyniku nie spełnia tego wymogu.</w:t>
      </w:r>
    </w:p>
    <w:p>
      <w:pPr>
        <w:spacing w:after="160"/>
        <w:jc w:val="both"/>
      </w:pPr>
      <w:r>
        <w:rPr>
          <w:b/>
          <w:bCs/>
          <w:i w:val="false"/>
          <w:iCs w:val="false"/>
        </w:rPr>
        <w:t xml:space="preserve">3. Argumenty stron.</w:t>
      </w:r>
      <w:r>
        <w:rPr>
          <w:i w:val="false"/>
          <w:iCs w:val="false"/>
        </w:rPr>
        <w:t xml:space="preserve"> Marta: bezpośredni związek czasowy między zgłoszeniem a spadkiem ratingu i wypowiedzeniem; odtworzenie zlikwidowanego stanowiska po miesiącu wskazuje na pozorność reorganizacji; brak realnej kontroli ludzkiej nad decyzją systemu narusza art. 22 RODO. Spółka: decyzję podjął zarząd, a nie wyłącznie algorytm; reorganizacja miała uzasadnienie biznesowe; ujawnienie dokumentów dziennikarzowi narusza tajemnicę przedsiębiorstwa i uzasadnia żądanie zakazu publikacji i odszkodowania.</w:t>
      </w:r>
    </w:p>
    <w:p>
      <w:pPr>
        <w:spacing w:after="160"/>
        <w:jc w:val="both"/>
      </w:pPr>
      <w:r>
        <w:rPr>
          <w:b/>
          <w:bCs/>
          <w:i w:val="false"/>
          <w:iCs w:val="false"/>
        </w:rPr>
        <w:t xml:space="preserve">4. Dowody i braki.</w:t>
      </w:r>
      <w:r>
        <w:rPr>
          <w:i w:val="false"/>
          <w:iCs w:val="false"/>
        </w:rPr>
        <w:t xml:space="preserve"> Kluczowy brak: logi systemu PeopleScore utracone wskutek 30-dniowej retencji mimo przewidywalności sporu — uzasadnia zastosowanie niekorzystnego domniemania faktycznego wobec spółki (naruszenie obowiązku zabezpieczenia dowodów). Nieznana jest treść rzeczywistej dyskusji zarządu podczas wideokonferencji oraz zakres wiedzy związku zawodowego o monitoringu.</w:t>
      </w:r>
    </w:p>
    <w:p>
      <w:pPr>
        <w:spacing w:after="160"/>
        <w:jc w:val="both"/>
      </w:pPr>
      <w:r>
        <w:rPr>
          <w:b/>
          <w:bCs/>
          <w:i w:val="false"/>
          <w:iCs w:val="false"/>
        </w:rPr>
        <w:t xml:space="preserve">5. Rozstrzygnięcie.</w:t>
      </w:r>
      <w:r>
        <w:rPr>
          <w:i w:val="false"/>
          <w:iCs w:val="false"/>
        </w:rPr>
        <w:t xml:space="preserve"> Prezentowane fakty (bliskość czasowa, odtworzenie stanowiska, brak realnej kontroli ludzkiej) nie zostały obalone przez pracodawcę — wypowiedzenie należy zakwalifikować jako działanie odwetowe naruszające ochronę sygnalisty, z roszczeniem o przywrócenie do pracy lub odszkodowanie. UODO powinien zbadać zgodność systemu z art. 22 RODO i obowiązkami AI Act dla systemów wysokiego ryzyka w HR. Sąd/PIP może zobowiązać dostawcę do ograniczonego ujawnienia logiki systemu z zachowaniem poufności (np. postępowanie niejawne, biegły z klauzulą poufności) — tajemnica przedsiębiorstwa nie może wyłączać kontroli sądowej. Ujawnienie dokumentów dziennikarzowi mieści się w ochronie sygnalisty w świetle nieskuteczności kanału wewnętrznego i interesu publicznego — żądanie zakazu publikacji jest bezzasadne.</w:t>
      </w:r>
    </w:p>
    <w:p>
      <w:pPr>
        <w:pBdr>
          <w:bottom w:val="single" w:color="AAAAAA" w:sz="6" w:space="1"/>
        </w:pBdr>
        <w:spacing w:after="200"/>
      </w:pPr>
    </w:p>
    <w:p>
      <w:pPr>
        <w:pStyle w:val="Heading2"/>
        <w:spacing w:after="150" w:before="300"/>
      </w:pPr>
      <w:r>
        <w:t xml:space="preserve">PL-02 Osiedle na zalewowej łące</w:t>
      </w:r>
    </w:p>
    <w:p>
      <w:pPr>
        <w:spacing w:after="160"/>
        <w:jc w:val="both"/>
      </w:pPr>
      <w:r>
        <w:rPr>
          <w:b/>
          <w:bCs/>
          <w:i w:val="false"/>
          <w:iCs w:val="false"/>
        </w:rPr>
        <w:t xml:space="preserve">1. Mapa jurysdykcji.</w:t>
      </w:r>
      <w:r>
        <w:rPr>
          <w:i w:val="false"/>
          <w:iCs w:val="false"/>
        </w:rPr>
        <w:t xml:space="preserve"> Ustawa o planowaniu i zagospodarowaniu przestrzennym, prawo budowlane, ustawa o udostępnianiu informacji o środowisku i ocenach oddziaływania (OOŚ), prawo wodne, ustawa o samorządzie gminnym (wyłączenie radnego przy konflikcie interesów). Organy: rada gminy, wojewoda (nadzór), WSA/NSA, Wody Polskie, powiatowy inspektor nadzoru budowlanego.</w:t>
      </w:r>
    </w:p>
    <w:p>
      <w:pPr>
        <w:spacing w:after="160"/>
        <w:jc w:val="both"/>
      </w:pPr>
      <w:r>
        <w:rPr>
          <w:b/>
          <w:bCs/>
          <w:i w:val="false"/>
          <w:iCs w:val="false"/>
        </w:rPr>
        <w:t xml:space="preserve">2. Przesłanki.</w:t>
      </w:r>
      <w:r>
        <w:rPr>
          <w:i w:val="false"/>
          <w:iCs w:val="false"/>
        </w:rPr>
        <w:t xml:space="preserve"> Ważność uchwały planistycznej wymaga zachowania procedury, w tym zasad bezstronności radnych przy głosowaniu w sprawach dotyczących interesu majątkowego osób bliskich. Obowiązek łącznej oceny oddziaływania na środowisko powstaje, gdy przedsięwzięcia są funkcjonalnie i technicznie powiązane — sztuczny podział w celu obejścia progów OOŚ jest niedopuszczalny. Wstrzymanie robót przez nadzór budowlany wymaga wykazania zagrożenia bezpieczeństwa.</w:t>
      </w:r>
    </w:p>
    <w:p>
      <w:pPr>
        <w:spacing w:after="160"/>
        <w:jc w:val="both"/>
      </w:pPr>
      <w:r>
        <w:rPr>
          <w:b/>
          <w:bCs/>
          <w:i w:val="false"/>
          <w:iCs w:val="false"/>
        </w:rPr>
        <w:t xml:space="preserve">3. Argumenty stron.</w:t>
      </w:r>
      <w:r>
        <w:rPr>
          <w:i w:val="false"/>
          <w:iCs w:val="false"/>
        </w:rPr>
        <w:t xml:space="preserve"> Deweloper/gmina: plan i pozwolenia są ostateczne, inwestor działał w zaufaniu do wydanych decyzji, nabywcy lokali nabyli prawa w dobrej wierze. Organizacja ekologiczna/sąsiedzi: konflikt interesów radnych powiązanych z podwykonawcą podważa legalność planu; podział projektu na trzy odrębne postępowania służył uniknięciu pełnej oceny środowiskowej; nowa mapa zagrożenia powodziowego ujawnia, że decyzje opierały się na nieaktualnych danych.</w:t>
      </w:r>
    </w:p>
    <w:p>
      <w:pPr>
        <w:spacing w:after="160"/>
        <w:jc w:val="both"/>
      </w:pPr>
      <w:r>
        <w:rPr>
          <w:b/>
          <w:bCs/>
          <w:i w:val="false"/>
          <w:iCs w:val="false"/>
        </w:rPr>
        <w:t xml:space="preserve">4. Dowody i braki.</w:t>
      </w:r>
      <w:r>
        <w:rPr>
          <w:i w:val="false"/>
          <w:iCs w:val="false"/>
        </w:rPr>
        <w:t xml:space="preserve"> Brak: dokładnego zakresu powiązań rodzinnych radnych z podwykonawcą, treści nowej mapy zagrożenia powodziowego i jej różnic względem poprzedniej, zakresu konsultacji społecznych przy uchwalaniu planu.</w:t>
      </w:r>
    </w:p>
    <w:p>
      <w:pPr>
        <w:spacing w:after="160"/>
        <w:jc w:val="both"/>
      </w:pPr>
      <w:r>
        <w:rPr>
          <w:b/>
          <w:bCs/>
          <w:i w:val="false"/>
          <w:iCs w:val="false"/>
        </w:rPr>
        <w:t xml:space="preserve">5. Rozstrzygnięcie.</w:t>
      </w:r>
      <w:r>
        <w:rPr>
          <w:i w:val="false"/>
          <w:iCs w:val="false"/>
        </w:rPr>
        <w:t xml:space="preserve"> Uchwała planu jest narażona na stwierdzenie nieważności z powodu naruszenia zasad bezstronności i niepełnej prognozy — właściwy do stwierdzenia nieważności jest wojewoda w ramach nadzoru lub sąd administracyjny na skutek skargi. Rozbicie przedsięwzięcia na trzy postępowania stanowi naruszenie obowiązku łącznej oceny środowiskowej, uzasadniające wznowienie postępowań administracyjnych. Wstrzymanie robót przez nadzór budowlany po ujawnieniu nowego ryzyka powodziowego jest zasadne. Nabywcy lokali mogą dochodzić roszczeń odszkodowawczych/rękojmi od dewelopera; gmina może ponosić odpowiedzialność odszkodowawczą wobec poszkodowanych za wadliwe planowanie, a koszt awaryjnego wału powinien częściowo obciążać dewelopera jako współodpowiedzialnego za ryzyko.</w:t>
      </w:r>
    </w:p>
    <w:p>
      <w:pPr>
        <w:pBdr>
          <w:bottom w:val="single" w:color="AAAAAA" w:sz="6" w:space="1"/>
        </w:pBdr>
        <w:spacing w:after="200"/>
      </w:pPr>
    </w:p>
    <w:p>
      <w:pPr>
        <w:pStyle w:val="Heading2"/>
        <w:spacing w:after="150" w:before="300"/>
      </w:pPr>
      <w:r>
        <w:t xml:space="preserve">PL-03 Fundacja po śmierci fundatora</w:t>
      </w:r>
    </w:p>
    <w:p>
      <w:pPr>
        <w:spacing w:after="160"/>
        <w:jc w:val="both"/>
      </w:pPr>
      <w:r>
        <w:rPr>
          <w:b/>
          <w:bCs/>
          <w:i w:val="false"/>
          <w:iCs w:val="false"/>
        </w:rPr>
        <w:t xml:space="preserve">1. Mapa jurysdykcji.</w:t>
      </w:r>
      <w:r>
        <w:rPr>
          <w:i w:val="false"/>
          <w:iCs w:val="false"/>
        </w:rPr>
        <w:t xml:space="preserve"> Ustawa o fundacji rodzinnej, Kodeks cywilny (zachowek, skarga pauliańska), Kodeks rodzinny i opiekuńczy (majątek wspólny małżonków), prawo upadłościowe, ustawa o CIT.</w:t>
      </w:r>
    </w:p>
    <w:p>
      <w:pPr>
        <w:spacing w:after="160"/>
        <w:jc w:val="both"/>
      </w:pPr>
      <w:r>
        <w:rPr>
          <w:b/>
          <w:bCs/>
          <w:i w:val="false"/>
          <w:iCs w:val="false"/>
        </w:rPr>
        <w:t xml:space="preserve">2. Przesłanki.</w:t>
      </w:r>
      <w:r>
        <w:rPr>
          <w:i w:val="false"/>
          <w:iCs w:val="false"/>
        </w:rPr>
        <w:t xml:space="preserve"> Rozporządzenie składnikiem majątku wspólnego przekraczające zwykły zarząd wymaga zgody współmałżonka — jej brak skutkuje bezskutecznością/możliwością zaskarżenia czynności. Roszczenie o zachowek wymaga doliczenia do substratu majątku wniesionego do fundacji oraz darowizn (w tym transferu znaku towarowego po zaniżonej cenie, jeśli zostanie zakwalifikowany jako darowizna mieszana). Skarga pauliańska wymaga pokrzywdzenia wierzyciela czynnością nieodpłatną lub dokonaną ze świadomością pokrzywdzenia; ustawa o fundacji rodzinnej przewiduje dodatkowo odpowiedzialność fundacji za zobowiązania fundatora powstałe przed jej ustanowieniem, do wysokości wniesionego mienia.</w:t>
      </w:r>
    </w:p>
    <w:p>
      <w:pPr>
        <w:spacing w:after="160"/>
        <w:jc w:val="both"/>
      </w:pPr>
      <w:r>
        <w:rPr>
          <w:b/>
          <w:bCs/>
          <w:i w:val="false"/>
          <w:iCs w:val="false"/>
        </w:rPr>
        <w:t xml:space="preserve">3. Argumenty stron.</w:t>
      </w:r>
      <w:r>
        <w:rPr>
          <w:i w:val="false"/>
          <w:iCs w:val="false"/>
        </w:rPr>
        <w:t xml:space="preserve"> Żona: część mienia pochodziła z majątku wspólnego i wniesiono je bez jej zgody — żąda ustalenia bezskuteczności/zwrotu udziału. Dzieci: żądają zachowku z uwzględnieniem majątku wniesionego do fundacji i transferu znaku towarowego. Wierzyciele: transfer znaku towarowego po zaniżonej cenie pokrzywdził ich interesy — żądają zaskarżenia czynności i pociągnięcia fundacji do odpowiedzialności za dług fundatora. Fundacja/córka: statut i testament wyrażają wolę fundatora, uprzywilejowanie córki mieści się w swobodzie testowania i zarządzania fundacją.</w:t>
      </w:r>
    </w:p>
    <w:p>
      <w:pPr>
        <w:spacing w:after="160"/>
        <w:jc w:val="both"/>
      </w:pPr>
      <w:r>
        <w:rPr>
          <w:b/>
          <w:bCs/>
          <w:i w:val="false"/>
          <w:iCs w:val="false"/>
        </w:rPr>
        <w:t xml:space="preserve">4. Dowody i braki.</w:t>
      </w:r>
      <w:r>
        <w:rPr>
          <w:i w:val="false"/>
          <w:iCs w:val="false"/>
        </w:rPr>
        <w:t xml:space="preserve"> Brak dokładnej wyceny znaku towarowego w chwili transferu, treści statutu fundacji w zakresie zasad wypłat i transakcji z podmiotami powiązanymi, stanu majątkowego spółki w chwili poręczenia.</w:t>
      </w:r>
    </w:p>
    <w:p>
      <w:pPr>
        <w:spacing w:after="160"/>
        <w:jc w:val="both"/>
      </w:pPr>
      <w:r>
        <w:rPr>
          <w:b/>
          <w:bCs/>
          <w:i w:val="false"/>
          <w:iCs w:val="false"/>
        </w:rPr>
        <w:t xml:space="preserve">5. Rozstrzygnięcie.</w:t>
      </w:r>
      <w:r>
        <w:rPr>
          <w:i w:val="false"/>
          <w:iCs w:val="false"/>
        </w:rPr>
        <w:t xml:space="preserve"> Żona może skutecznie kwestionować wniesienie składników majątku wspólnego bez jej zgody. Zachowek dzieci należy obliczyć z uwzględnieniem mienia wniesionego do fundacji oraz transferu znaku towarowego jako darowizny podlegającej doliczeniu. Wierzyciele mogą skorzystać ze skargi pauliańskiej wobec transferu znaku towarowego oraz z ustawowej odpowiedzialności fundacji za długi fundatora do wysokości wniesionego majątku. Warunkowanie świadczeń syna terapią jest co do zasady dopuszczalne w ramach swobody fundatora, z zastrzeżeniem kontroli sądowej w razie rażącej sprzeczności z zasadami współżycia społecznego. Planowana sprzedaż nieruchomości podmiotowi powiązanemu wymaga weryfikacji zgodności z interesem fundacji i może zostać zaskarżona przez beneficjentów lub wierzycieli. Kwestie opłat licencyjnych między spółką a fundacją wymagają odrębnej analizy podatkowej (ceny transferowe) niezależnej od sporu rodzinnego.</w:t>
      </w:r>
    </w:p>
    <w:p>
      <w:pPr>
        <w:pBdr>
          <w:bottom w:val="single" w:color="AAAAAA" w:sz="6" w:space="1"/>
        </w:pBdr>
        <w:spacing w:after="200"/>
      </w:pPr>
    </w:p>
    <w:p>
      <w:pPr>
        <w:pStyle w:val="Heading2"/>
        <w:spacing w:after="150" w:before="300"/>
      </w:pPr>
      <w:r>
        <w:t xml:space="preserve">PL-04 Szpital podpowiada diagnozę</w:t>
      </w:r>
    </w:p>
    <w:p>
      <w:pPr>
        <w:spacing w:after="160"/>
        <w:jc w:val="both"/>
      </w:pPr>
      <w:r>
        <w:rPr>
          <w:b/>
          <w:bCs/>
          <w:i w:val="false"/>
          <w:iCs w:val="false"/>
        </w:rPr>
        <w:t xml:space="preserve">1. Mapa jurysdykcji.</w:t>
      </w:r>
      <w:r>
        <w:rPr>
          <w:i w:val="false"/>
          <w:iCs w:val="false"/>
        </w:rPr>
        <w:t xml:space="preserve"> Ustawa o prawach pacjenta, ustawa o działalności leczniczej, ustawa o zawodach lekarza (standard należytej staranności), rozporządzenie MDR o wyrobach medycznych, AI Act (systemy wysokiego ryzyka), RODO (dane wrażliwe), Kodeks cywilny (odpowiedzialność deliktowa/za produkt).</w:t>
      </w:r>
    </w:p>
    <w:p>
      <w:pPr>
        <w:spacing w:after="160"/>
        <w:jc w:val="both"/>
      </w:pPr>
      <w:r>
        <w:rPr>
          <w:b/>
          <w:bCs/>
          <w:i w:val="false"/>
          <w:iCs w:val="false"/>
        </w:rPr>
        <w:t xml:space="preserve">2. Przesłanki.</w:t>
      </w:r>
      <w:r>
        <w:rPr>
          <w:i w:val="false"/>
          <w:iCs w:val="false"/>
        </w:rPr>
        <w:t xml:space="preserve"> Odpowiedzialność za błąd medyczny wymaga naruszenia standardu należytej staranności, szkody i związku przyczynowego. Kwalifikacja systemu jako wyrobu medycznego/systemu wysokiego ryzyka rodzi obowiązki producenta (nadzór rynkowy, zgłaszanie incydentów) i podmiotu stosującego (szkolenie personelu, monitorowanie działania). Naruszenie obowiązku prowadzenia dokumentacji medycznej skutkuje procesowym przerzuceniem ciężaru dowodu na podmiot zobowiązany do jej prowadzenia.</w:t>
      </w:r>
    </w:p>
    <w:p>
      <w:pPr>
        <w:spacing w:after="160"/>
        <w:jc w:val="both"/>
      </w:pPr>
      <w:r>
        <w:rPr>
          <w:b/>
          <w:bCs/>
          <w:i w:val="false"/>
          <w:iCs w:val="false"/>
        </w:rPr>
        <w:t xml:space="preserve">3. Argumenty stron.</w:t>
      </w:r>
      <w:r>
        <w:rPr>
          <w:i w:val="false"/>
          <w:iCs w:val="false"/>
        </w:rPr>
        <w:t xml:space="preserve"> Pacjentka: lekarz bezkrytycznie zaakceptował wynik systemu przy nietypowych objawach, mimo interfejsu sugerującego "rekomendację kliniczną"; producent nie ostrzegł personelu klinicznego o zwiększonej liczbie błędów po aktualizacji; brak pełnej dokumentacji uniemożliwia jej wykazanie dokładnego przebiegu zdarzeń, co nie powinno działać na jej niekorzyść. Szpital/lekarz/producent: system miał charakter wyłącznie wspomagający, decyzję kliniczną podjął lekarz; producent ograniczył się do roli dostawcy narzędzia, a błąd wynikał z nieprawidłowego użycia przez personel.</w:t>
      </w:r>
    </w:p>
    <w:p>
      <w:pPr>
        <w:spacing w:after="160"/>
        <w:jc w:val="both"/>
      </w:pPr>
      <w:r>
        <w:rPr>
          <w:b/>
          <w:bCs/>
          <w:i w:val="false"/>
          <w:iCs w:val="false"/>
        </w:rPr>
        <w:t xml:space="preserve">4. Dowody i braki.</w:t>
      </w:r>
      <w:r>
        <w:rPr>
          <w:i w:val="false"/>
          <w:iCs w:val="false"/>
        </w:rPr>
        <w:t xml:space="preserve"> Brak zachowanych danych wejściowych i wersji modelu użytej w chwili zdarzenia, treści ostrzeżenia przekazanego wyłącznie do IT, dokładnego zakresu przeszkolenia personelu.</w:t>
      </w:r>
    </w:p>
    <w:p>
      <w:pPr>
        <w:spacing w:after="160"/>
        <w:jc w:val="both"/>
      </w:pPr>
      <w:r>
        <w:rPr>
          <w:b/>
          <w:bCs/>
          <w:i w:val="false"/>
          <w:iCs w:val="false"/>
        </w:rPr>
        <w:t xml:space="preserve">5. Rozstrzygnięcie.</w:t>
      </w:r>
      <w:r>
        <w:rPr>
          <w:i w:val="false"/>
          <w:iCs w:val="false"/>
        </w:rPr>
        <w:t xml:space="preserve"> Odpowiedzialność rozkłada się solidarnie/kumulatywnie: szpital i lekarz — za brak pełnego badania klinicznego mimo nietypowych objawów i brak przeszkolenia personelu po aktualizacji; producent — za wprowadzający w błąd interfejs ("rekomendacja kliniczna" zamiast jasno oznaczonego wsparcia) oraz brak zgłoszenia poważnego incydentu związanego z aktualizacją. Brak dokumentacji wejściowej powinien skutkować przerzuceniem ciężaru dowodu na podmiot zobowiązany do jej prowadzenia (szpital/producent). Rekomendowany środek: nakaz wstrzymania użycia niezweryfikowanej wersji systemu do czasu audytu, zgłoszenie incydentu do właściwego organu nadzoru nad wyrobami medycznymi oraz podział odpowiedzialności odszkodowawczej między podmioty proporcjonalnie do stopnia przyczynienia, z regresem ubezpieczycieli zgodnie z zakresem polis.</w:t>
      </w:r>
    </w:p>
    <w:p>
      <w:pPr>
        <w:pBdr>
          <w:bottom w:val="single" w:color="AAAAAA" w:sz="6" w:space="1"/>
        </w:pBdr>
        <w:spacing w:after="200"/>
      </w:pPr>
    </w:p>
    <w:p>
      <w:pPr>
        <w:pStyle w:val="Heading2"/>
        <w:spacing w:after="150" w:before="300"/>
      </w:pPr>
      <w:r>
        <w:t xml:space="preserve">PL-05 Chmura dla metropolii</w:t>
      </w:r>
    </w:p>
    <w:p>
      <w:pPr>
        <w:spacing w:after="160"/>
        <w:jc w:val="both"/>
      </w:pPr>
      <w:r>
        <w:rPr>
          <w:b/>
          <w:bCs/>
          <w:i w:val="false"/>
          <w:iCs w:val="false"/>
        </w:rPr>
        <w:t xml:space="preserve">1. Mapa jurysdykcji.</w:t>
      </w:r>
      <w:r>
        <w:rPr>
          <w:i w:val="false"/>
          <w:iCs w:val="false"/>
        </w:rPr>
        <w:t xml:space="preserve"> Prawo zamówień publicznych, ustawa o krajowym systemie cyberbezpieczeństwa, RODO, Krajowa Izba Odwoławcza (kontrola postępowania).</w:t>
      </w:r>
    </w:p>
    <w:p>
      <w:pPr>
        <w:spacing w:after="160"/>
        <w:jc w:val="both"/>
      </w:pPr>
      <w:r>
        <w:rPr>
          <w:b/>
          <w:bCs/>
          <w:i w:val="false"/>
          <w:iCs w:val="false"/>
        </w:rPr>
        <w:t xml:space="preserve">2. Przesłanki.</w:t>
      </w:r>
      <w:r>
        <w:rPr>
          <w:i w:val="false"/>
          <w:iCs w:val="false"/>
        </w:rPr>
        <w:t xml:space="preserve"> Kryteria oceny ofert muszą być związane z przedmiotem zamówienia, mierzalne i niedyskryminacyjne — niejasne kryterium "suwerenności technologicznej" bez opisanej metodyki oceny narusza zasadę przejrzystości. Poleganie na zasobach podmiotów z grupy kapitałowej jest dopuszczalne przy spełnieniu warunków formalnych udostępnienia zasobów. Wprowadzenie nowych, istotnych wymagań po wyborze oferty może stanowić niedopuszczalną zmianę warunków zamówienia naruszającą zasadę równego traktowania wykonawców.</w:t>
      </w:r>
    </w:p>
    <w:p>
      <w:pPr>
        <w:spacing w:after="160"/>
        <w:jc w:val="both"/>
      </w:pPr>
      <w:r>
        <w:rPr>
          <w:b/>
          <w:bCs/>
          <w:i w:val="false"/>
          <w:iCs w:val="false"/>
        </w:rPr>
        <w:t xml:space="preserve">3. Argumenty stron.</w:t>
      </w:r>
      <w:r>
        <w:rPr>
          <w:i w:val="false"/>
          <w:iCs w:val="false"/>
        </w:rPr>
        <w:t xml:space="preserve"> Zamawiający: nowe wymagania (lokalne zarządzanie kluczami, prawo audytu) są konieczną reakcją na incydent bezpieczeństwa i mieszczą się w dopuszczalnych zmianach nieistotnych; opóźnienie zagraża ciągłości usług publicznych. Konsorcjum: żądane zmiany wykraczają poza pierwotny zakres i cenę oferty, co wymaga renegocjacji lub powtórzenia postępowania. Konkurent: zastrzeżenie tajemnicy przedsiębiorstwa w wyjaśnieniach uniemożliwia rzetelną kontrolę oferty najtańszej, w tym podstaw polegania na referencjach spółki z grupy.</w:t>
      </w:r>
    </w:p>
    <w:p>
      <w:pPr>
        <w:spacing w:after="160"/>
        <w:jc w:val="both"/>
      </w:pPr>
      <w:r>
        <w:rPr>
          <w:b/>
          <w:bCs/>
          <w:i w:val="false"/>
          <w:iCs w:val="false"/>
        </w:rPr>
        <w:t xml:space="preserve">4. Dowody i braki.</w:t>
      </w:r>
      <w:r>
        <w:rPr>
          <w:i w:val="false"/>
          <w:iCs w:val="false"/>
        </w:rPr>
        <w:t xml:space="preserve"> Brak treści SWZ i uzasadnienia kryterium "suwerenności technologicznej", zakresu zastrzeżonych informacji, szczegółów incydentu u dostawcy chmury.</w:t>
      </w:r>
    </w:p>
    <w:p>
      <w:pPr>
        <w:spacing w:after="160"/>
        <w:jc w:val="both"/>
      </w:pPr>
      <w:r>
        <w:rPr>
          <w:b/>
          <w:bCs/>
          <w:i w:val="false"/>
          <w:iCs w:val="false"/>
        </w:rPr>
        <w:t xml:space="preserve">5. Rozstrzygnięcie.</w:t>
      </w:r>
      <w:r>
        <w:rPr>
          <w:i w:val="false"/>
          <w:iCs w:val="false"/>
        </w:rPr>
        <w:t xml:space="preserve"> KIO powinna zbadać zasadność zastrzeżenia tajemnicy przedsiębiorstwa w wyjaśnieniach oraz nakazać doprecyzowanie lub unieważnienie niejasnego kryterium oceny ofert. Nowe wymagania bezpieczeństwa wprowadzone po wyborze oferty należy ocenić jako istotną zmianę wymagającą albo zgody na renegocjację w granicach dopuszczalnych przez ustawę, albo powtórzenia procedury — nie mogą zostać wprowadzone jednostronnie z pominięciem rygorów PZP. Do czasu rozstrzygnięcia odwołania zamawiający powinien podjąć doraźne środki zaradcze na istniejącym systemie zamiast obchodzenia procedury pod pretekstem pilności. Docelowa umowa powinna zawierać gwarancje audytu, lokalizacji kluczy i planu wyjścia (data portability) zabezpieczające ciągłość usług.</w:t>
      </w:r>
    </w:p>
    <w:p>
      <w:pPr>
        <w:pBdr>
          <w:bottom w:val="single" w:color="AAAAAA" w:sz="6" w:space="1"/>
        </w:pBdr>
        <w:spacing w:after="200"/>
      </w:pPr>
    </w:p>
    <w:p>
      <w:pPr>
        <w:pStyle w:val="Heading2"/>
        <w:spacing w:after="150" w:before="300"/>
      </w:pPr>
      <w:r>
        <w:t xml:space="preserve">PL-06 Karuzela, faktoring i milczący zarząd</w:t>
      </w:r>
    </w:p>
    <w:p>
      <w:pPr>
        <w:spacing w:after="160"/>
        <w:jc w:val="both"/>
      </w:pPr>
      <w:r>
        <w:rPr>
          <w:b/>
          <w:bCs/>
          <w:i w:val="false"/>
          <w:iCs w:val="false"/>
        </w:rPr>
        <w:t xml:space="preserve">1. Mapa jurysdykcji.</w:t>
      </w:r>
      <w:r>
        <w:rPr>
          <w:i w:val="false"/>
          <w:iCs w:val="false"/>
        </w:rPr>
        <w:t xml:space="preserve"> Ustawa o VAT, Kodeks karny skarbowy, ustawa o przeciwdziałaniu praniu pieniędzy (AML), Kodeks spółek handlowych, Ordynacja podatkowa (odpowiedzialność członków zarządu za zaległości podatkowe), przepisy o tajemnicy zawodowej pełnomocników.</w:t>
      </w:r>
    </w:p>
    <w:p>
      <w:pPr>
        <w:spacing w:after="160"/>
        <w:jc w:val="both"/>
      </w:pPr>
      <w:r>
        <w:rPr>
          <w:b/>
          <w:bCs/>
          <w:i w:val="false"/>
          <w:iCs w:val="false"/>
        </w:rPr>
        <w:t xml:space="preserve">2. Przesłanki.</w:t>
      </w:r>
      <w:r>
        <w:rPr>
          <w:i w:val="false"/>
          <w:iCs w:val="false"/>
        </w:rPr>
        <w:t xml:space="preserve"> Odmowa prawa do odliczenia VAT wymaga wykazania, że podatnik wiedział lub przy dochowaniu należytej staranności powinien był wiedzieć o udziale w oszustwie karuzelowym (linia orzecznicza *Kittel*/*Recolta* i krajowa). Odpowiedzialność karnoskarbowa wymaga strony podmiotowej (umyślność, co najmniej godzenie się). Subsydiarna odpowiedzialność członków zarządu za zaległości podatkowe spółki wymaga bezskuteczności egzekucji z majątku spółki i braku przesłanek egzoneracyjnych (np. zgłoszenie wniosku o upadłość we właściwym czasie).</w:t>
      </w:r>
    </w:p>
    <w:p>
      <w:pPr>
        <w:spacing w:after="160"/>
        <w:jc w:val="both"/>
      </w:pPr>
      <w:r>
        <w:rPr>
          <w:b/>
          <w:bCs/>
          <w:i w:val="false"/>
          <w:iCs w:val="false"/>
        </w:rPr>
        <w:t xml:space="preserve">3. Argumenty stron.</w:t>
      </w:r>
      <w:r>
        <w:rPr>
          <w:i w:val="false"/>
          <w:iCs w:val="false"/>
        </w:rPr>
        <w:t xml:space="preserve"> Organy skarbowe/prokuratura: powtarzające się numery dokumentów transportowych, brak magazynu dostawcy, częste zmiany rachunków to typowe "czerwone flagi" oszustwa karuzelowego — kontynuowanie handlu mimo zgłoszenia zastrzeżeń przez dyrektora finansowego wskazuje na co najmniej godzenie się zarządu z ryzykiem. Zarząd/spółka: dochowano należytej staranności poprzez zlecenie przeglądu; bank i faktor wcześniej zaakceptowali wyjaśnienia, co potwierdzało legalność transakcji.</w:t>
      </w:r>
    </w:p>
    <w:p>
      <w:pPr>
        <w:spacing w:after="160"/>
        <w:jc w:val="both"/>
      </w:pPr>
      <w:r>
        <w:rPr>
          <w:b/>
          <w:bCs/>
          <w:i w:val="false"/>
          <w:iCs w:val="false"/>
        </w:rPr>
        <w:t xml:space="preserve">4. Dowody i braki.</w:t>
      </w:r>
      <w:r>
        <w:rPr>
          <w:i w:val="false"/>
          <w:iCs w:val="false"/>
        </w:rPr>
        <w:t xml:space="preserve"> Zabezpieczona korespondencja z prawnikami budzi wątpliwości co do naruszenia tajemnicy zawodowej i wymaga kontroli sądowej przed wykorzystaniem dowodowym; automatyczne usunięcie części wiadomości rodzi pytania o zachowanie/zniszczenie dowodów, ale nie stanowi samo w sobie dowodu celowego działania bez dalszych ustaleń.</w:t>
      </w:r>
    </w:p>
    <w:p>
      <w:pPr>
        <w:spacing w:after="160"/>
        <w:jc w:val="both"/>
      </w:pPr>
      <w:r>
        <w:rPr>
          <w:b/>
          <w:bCs/>
          <w:i w:val="false"/>
          <w:iCs w:val="false"/>
        </w:rPr>
        <w:t xml:space="preserve">5. Rozstrzygnięcie.</w:t>
      </w:r>
      <w:r>
        <w:rPr>
          <w:i w:val="false"/>
          <w:iCs w:val="false"/>
        </w:rPr>
        <w:t xml:space="preserve"> Organy podatkowe zasadnie kwestionują odliczenie VAT wobec obiektywnych przesłanek braku należytej staranności. Odpowiedzialność karnoskarbowa powinna koncentrować się na osobach decyzyjnych posiadających ustaloną wiedzę o nieprawidłowościach — przede wszystkim prezesie kontynuującym handel mimo ostrzeżeń; sytuacja dyrektora finansowego wymaga oceny zakresu jego kompetencji i ewentualnej korzyści z czynnego żalu/współpracy z organami. Zarząd może ponosić cywilną odpowiedzialność wobec spółki/akcjonariuszy za brak wdrożenia adekwatnego compliance mimo sygnałów ostrzegawczych. Materiały objęte tajemnicą zawodową wymagają wyodrębnienia i wyłączenia z materiału dowodowego przed dalszym wykorzystaniem. Bank i faktor działali co do zasady w granicach obowiązków ustawowych, chyba że zostanie wykazane rażące zaniedbanie weryfikacji AML.</w:t>
      </w:r>
    </w:p>
    <w:p>
      <w:pPr>
        <w:pBdr>
          <w:bottom w:val="single" w:color="AAAAAA" w:sz="6" w:space="1"/>
        </w:pBdr>
        <w:spacing w:after="200"/>
      </w:pPr>
    </w:p>
    <w:p>
      <w:pPr>
        <w:pStyle w:val="Heading2"/>
        <w:spacing w:after="150" w:before="300"/>
      </w:pPr>
      <w:r>
        <w:t xml:space="preserve">PL-07 Deepfake w wyborach samorządowych</w:t>
      </w:r>
    </w:p>
    <w:p>
      <w:pPr>
        <w:spacing w:after="160"/>
        <w:jc w:val="both"/>
      </w:pPr>
      <w:r>
        <w:rPr>
          <w:b/>
          <w:bCs/>
          <w:i w:val="false"/>
          <w:iCs w:val="false"/>
        </w:rPr>
        <w:t xml:space="preserve">1. Mapa jurysdykcji.</w:t>
      </w:r>
      <w:r>
        <w:rPr>
          <w:i w:val="false"/>
          <w:iCs w:val="false"/>
        </w:rPr>
        <w:t xml:space="preserve"> Kodeks wyborczy (szczególny tryb wyborczy, sprostowania, zakaz nieprawdziwych informacji w agitacji), Kodeks cywilny (dobra osobiste, wizerunek, głos), ustawa o prawie autorskim i prawach pokrewnych, RODO (dane biometryczne), rozporządzenie o usługach cyfrowych (DSA — obowiązki platform, przejrzystość reklamy politycznej, zachowanie danych).</w:t>
      </w:r>
    </w:p>
    <w:p>
      <w:pPr>
        <w:spacing w:after="160"/>
        <w:jc w:val="both"/>
      </w:pPr>
      <w:r>
        <w:rPr>
          <w:b/>
          <w:bCs/>
          <w:i w:val="false"/>
          <w:iCs w:val="false"/>
        </w:rPr>
        <w:t xml:space="preserve">2. Przesłanki.</w:t>
      </w:r>
      <w:r>
        <w:rPr>
          <w:i w:val="false"/>
          <w:iCs w:val="false"/>
        </w:rPr>
        <w:t xml:space="preserve"> Skorzystanie ze szczególnego trybu wyborczego wymaga wykazania rozpowszechniania nieprawdziwej informacji w ramach agitacji wyborczej i uprawdopodobnienia (nie pełnego dowodu) w postępowaniu pilnym. Odpowiedzialność kontrkandydata wymaga wykazania koordynacji z podmiotem formalnie niezależnym (fundacją) — poszlaki: ta sama agencja, wspólny panel reklamowy, świadome udostępnienie treści z komentarzem popierającym jej rozpowszechnienie mimo oznaczenia jako spornej. Roszczenia o naruszenie dóbr osobistych wymagają wykazania bezprawności i winy (lub wystarczy bezprawność przy roszczeniach niemajątkowych).</w:t>
      </w:r>
    </w:p>
    <w:p>
      <w:pPr>
        <w:spacing w:after="160"/>
        <w:jc w:val="both"/>
      </w:pPr>
      <w:r>
        <w:rPr>
          <w:b/>
          <w:bCs/>
          <w:i w:val="false"/>
          <w:iCs w:val="false"/>
        </w:rPr>
        <w:t xml:space="preserve">3. Argumenty stron.</w:t>
      </w:r>
      <w:r>
        <w:rPr>
          <w:i w:val="false"/>
          <w:iCs w:val="false"/>
        </w:rPr>
        <w:t xml:space="preserve"> Kandydatka: materiał jest fałszywy i szkodliwy dla jej dóbr osobistych oraz wizerunku/głosu; koordynacja fundacji, agencji i kontrkandydata wskazuje na zorganizowaną kampanię dezinformacyjną wymagającą pilnej reakcji mimo braku pliku źródłowego. Kontrkandydat/fundacja: treść pochodzi od formalnie niezależnego podmiotu; udostępnienie z komentarzem "prawo do wiedzy" mieści się w debacie publicznej; brak jednoznacznej opinii biegłych (rozbieżność co do śladów syntezy) nie pozwala na pewne stwierdzenie manipulacji.</w:t>
      </w:r>
    </w:p>
    <w:p>
      <w:pPr>
        <w:spacing w:after="160"/>
        <w:jc w:val="both"/>
      </w:pPr>
      <w:r>
        <w:rPr>
          <w:b/>
          <w:bCs/>
          <w:i w:val="false"/>
          <w:iCs w:val="false"/>
        </w:rPr>
        <w:t xml:space="preserve">4. Dowody i braki.</w:t>
      </w:r>
      <w:r>
        <w:rPr>
          <w:i w:val="false"/>
          <w:iCs w:val="false"/>
        </w:rPr>
        <w:t xml:space="preserve"> Brak pliku źródłowego uniemożliwiającego jednoznaczną weryfikację autentyczności; rozbieżne opinie prywatnych ekspertów; niepełne dane sponsora w bibliotece reklam platformy; nieznany dokładny zakres powiązań agencji z oboma podmiotami.</w:t>
      </w:r>
    </w:p>
    <w:p>
      <w:pPr>
        <w:spacing w:after="160"/>
        <w:jc w:val="both"/>
      </w:pPr>
      <w:r>
        <w:rPr>
          <w:b/>
          <w:bCs/>
          <w:i w:val="false"/>
          <w:iCs w:val="false"/>
        </w:rPr>
        <w:t xml:space="preserve">5. Rozstrzygnięcie.</w:t>
      </w:r>
      <w:r>
        <w:rPr>
          <w:i w:val="false"/>
          <w:iCs w:val="false"/>
        </w:rPr>
        <w:t xml:space="preserve"> Krótki czas do ciszy wyborczej uzasadnia zastosowanie standardu uprawdopodobnienia — rozbieżne opinie biegłych, w połączeniu z okolicznościami rozpowszechnienia, wystarczają do wydania pilnego zarządzenia zaprzestania rozpowszechniania i nakazania sprostowania w trybie wyborczym. Platforma powinna zostać zobowiązana, na podstawie DSA, do ujawnienia pełnych danych sponsora oraz zachowania danych identyfikujących dystrybucję treści na potrzeby dalszego postępowania. Roszczenia o naruszenie dóbr osobistych i praw autorskich do materiału źródłowego wywiadu przeciwko fundacji, agencji i — w razie wykazania koordynacji — kontrkandydatowi powinny być prowadzone w postępowaniu głównym po wyborach, gdy możliwe będzie pełne postępowanie dowodowe (w tym powołanie niezależnego biegłego sądowego z dostępem do pliku źródłowego, o ile zostanie odzyskany).</w:t>
      </w:r>
    </w:p>
    <w:p>
      <w:pPr>
        <w:pBdr>
          <w:bottom w:val="single" w:color="AAAAAA" w:sz="6" w:space="1"/>
        </w:pBdr>
        <w:spacing w:after="200"/>
      </w:pPr>
    </w:p>
    <w:p>
      <w:r>
        <w:br w:type="page"/>
      </w:r>
    </w:p>
    <w:p>
      <w:pPr>
        <w:pStyle w:val="Heading1"/>
        <w:spacing w:after="200" w:before="200"/>
      </w:pPr>
      <w:r>
        <w:t xml:space="preserve">Podsumowanie i zastrzeżenia</w:t>
      </w:r>
    </w:p>
    <w:p>
      <w:pPr>
        <w:spacing w:after="160"/>
        <w:jc w:val="both"/>
      </w:pPr>
      <w:r>
        <w:rPr>
          <w:i w:val="false"/>
          <w:iCs w:val="false"/>
        </w:rPr>
        <w:t xml:space="preserve">Powyższe memoranda mają charakter dydaktycznego klucza odpowiedzi i nie zastępują pełnej, samodzielnej pracy nad każdym kazusem (docelowo do 2500 słów na kazus wraz z macierzą argumentów stron w formie tabelarycznej). Przed wykorzystaniem zawodowym każdy przywołany akt prawa polskiego wymaga zweryfikowania aktualnego brzmienia w ELI (eli.gov.pl) oraz — dla prawa UE — w EUR-Lex, zgodnie z metodologiczną notatką bazy kazusów. Materiał nie stanowi opinii prawnej w konkretnej sprawie.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2026-09-03T16:51:12.929Z</dcterms:created>
  <dcterms:modified xsi:type="dcterms:W3CDTF">2026-09-03T16:51:12.941Z</dcterms:modified>
</cp:coreProperties>
</file>

<file path=docProps/custom.xml><?xml version="1.0" encoding="utf-8"?>
<Properties xmlns="http://schemas.openxmlformats.org/officeDocument/2006/custom-properties" xmlns:vt="http://schemas.openxmlformats.org/officeDocument/2006/docPropsVTypes"/>
</file>