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ARKUSZ ODPOWIEDZI — BANK KAZUSÓW</w:t>
      </w:r>
    </w:p>
    <w:p>
      <w:pPr>
        <w:spacing w:after="300"/>
      </w:pPr>
      <w:r>
        <w:rPr>
          <w:sz w:val="26"/>
          <w:szCs w:val="26"/>
        </w:rPr>
        <w:t xml:space="preserve">Grupa 3 z 4: PL-01 – PL-04 (część polska)</w:t>
      </w:r>
    </w:p>
    <w:p>
      <w:pPr>
        <w:spacing w:after="60"/>
      </w:pPr>
      <w:r>
        <w:rPr>
          <w:b/>
          <w:bCs/>
        </w:rPr>
        <w:t xml:space="preserve">Model: </w:t>
      </w:r>
      <w:r>
        <w:t xml:space="preserve">Claude Sonnet 5 (poziom rozumowania: średni)</w:t>
      </w:r>
    </w:p>
    <w:p>
      <w:pPr>
        <w:spacing w:after="60"/>
      </w:pPr>
      <w:r>
        <w:rPr>
          <w:b/>
          <w:bCs/>
        </w:rPr>
        <w:t xml:space="preserve">Data opracowania: </w:t>
      </w:r>
      <w:r>
        <w:t xml:space="preserve">2 września 2026</w:t>
      </w:r>
    </w:p>
    <w:p>
      <w:pPr>
        <w:spacing w:after="60"/>
      </w:pPr>
      <w:r>
        <w:rPr>
          <w:b/>
          <w:bCs/>
        </w:rPr>
        <w:t xml:space="preserve">Status: </w:t>
      </w:r>
      <w:r>
        <w:t xml:space="preserve">Materiał dydaktyczny — issue spotting i argumentacja adversarialna, nie opinia prawna w konkretnej sprawie</w:t>
      </w:r>
    </w:p>
    <w:p>
      <w:pPr>
        <w:spacing w:after="60"/>
      </w:pPr>
      <w:r>
        <w:rPr>
          <w:b/>
          <w:bCs/>
        </w:rPr>
        <w:t xml:space="preserve">Metodologia: </w:t>
      </w:r>
      <w:r>
        <w:t xml:space="preserve">Kazusy polskie są w pełni autorskie/fikcyjne (stan faktyczny nieistniejący), ale przywołane akty prawne są rzeczywiste i obowiązujące. Kluczowe akty zweryfikowano w ELI/ISAP co do aktualnego statusu obowiązywania. Nie zweryfikowano online każdego pojedynczego numeru artykułu wszystkich przywołanych ustaw z uwagi na objętość materiału — tam, gdzie numer artykułu jest wskazany, ma charakter orientacyjny/dydaktyczny i wymaga potwierdzenia przed użyciem zawodowym; oznaczono to wprost w uwagach do każdego kazusu.</w:t>
      </w:r>
    </w:p>
    <w:p>
      <w:pPr>
        <w:spacing w:after="200"/>
      </w:pPr>
    </w:p>
    <w:p>
      <w:r>
        <w:br w:type="page"/>
      </w:r>
    </w:p>
    <w:p>
      <w:pPr>
        <w:spacing w:after="60"/>
      </w:pPr>
      <w:r>
        <w:rPr>
          <w:b/>
          <w:bCs/>
          <w:color w:val="1F3864"/>
          <w:sz w:val="32"/>
          <w:szCs w:val="32"/>
        </w:rPr>
        <w:t xml:space="preserve">PL-01  Algorytm zwalnia sygnalistkę</w:t>
      </w:r>
    </w:p>
    <w:p>
      <w:pPr>
        <w:spacing w:after="200"/>
      </w:pPr>
      <w:r>
        <w:rPr>
          <w:i/>
          <w:iCs/>
          <w:sz w:val="22"/>
          <w:szCs w:val="22"/>
        </w:rPr>
        <w:t xml:space="preserve">Prawo pracy, ochrona sygnalistów, RODO, AI Act i tajemnica przedsiębiorstwa</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pracownica; spółka technologiczna; związek zawodowy; UODO; PIP</w:t>
      </w:r>
    </w:p>
    <w:p>
      <w:pPr>
        <w:spacing w:after="100"/>
      </w:pPr>
    </w:p>
    <w:p>
      <w:pPr>
        <w:pStyle w:val="Heading2"/>
        <w:spacing w:after="150" w:before="300"/>
      </w:pPr>
      <w:r>
        <w:t xml:space="preserve">1. Teza wstępna</w:t>
      </w:r>
    </w:p>
    <w:p>
      <w:pPr>
        <w:spacing w:after="140"/>
      </w:pPr>
      <w:r>
        <w:t xml:space="preserve">Zgłoszenie Marty korzysta z ochrony ustawy o ochronie sygnalistów (Dz.U. 2024 poz. 928, w mocy od 25 września 2024 r.), a bliskość czasowa między zgłoszeniem, spadkiem ratingu w systemie PeopleScore i wypowiedzeniem tworzy silne domniemanie faktyczne działania odwetowego, które pracodawca musi obalić wykazaniem autonomicznej, rzeczywistej przyczyny reorganizacyjnej — czego szybkie odtworzenie zlikwidowanego stanowiska po miesiącu istotnie osłabia; formalny udział zarządu w decyzji nie wyklucza kwalifikacji jako decyzji 'w istocie zautomatyzowanej' w rozumieniu art. 22 RODO, jeśli zarząd nie miał rzeczywistego, merytorycznego wpływu na wynik (tzw. rubber-stamping), co rodzi prawo do interwencji ludzkiej, wyjaśnienia logiki i zaskarżenia decyzji; tajemnica przedsiębiorstwa dostawcy systemu nie jest absolutną przeszkodą dla kontroli sądowej ani dla realizacji praw z RODO — ograniczenia dostępu do algorytmu muszą być wyważone (np. biegły z klauzulą poufności), a nie skutkować całkowitą nieweryfikowalnością decyzji; przekazanie dokumentów dziennikarzowi może korzystać z ochrony jako ujawnienie publiczne w rozumieniu ustawy o sygnalistach, o ile spełnione są jej przesłanki subsydiarności (uprzednie/równoległe zgłoszenie wewnętrzne/zewnętrzne albo uzasadniona obawa przed odwetem/zatajeniem), a nie automatycznie stanowi naruszenie poufności czy podstawę roszczeń spółki.</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 pracy — powództwo o uznanie wypowiedzenia za bezskuteczne/przywrócenie do pracy lub odszkodowanie (Kodeks pracy) oraz o zastosowanie środków ochrony przewidzianych ustawą o ochronie sygnalistów (domniemanie związku działania odwetowego ze zgłoszeniem, przeniesienie ciężaru dowodu na pracodawcę).</w:t>
      </w:r>
    </w:p>
    <w:p>
      <w:pPr>
        <w:pStyle w:val="ListParagraph"/>
        <w:numPr>
          <w:ilvl w:val="0"/>
          <w:numId w:val="1"/>
        </w:numPr>
        <w:spacing w:after="80"/>
      </w:pPr>
      <w:r>
        <w:t xml:space="preserve">UODO (Prezes Urzędu Ochrony Danych Osobowych) — skarga dot. przetwarzania danych osobowych w systemie PeopleScore, w tym prawa z art. 22 RODO (decyzje zautomatyzowane) i art. 15 RODO (dostęp, informacja o logice przetwarzania).</w:t>
      </w:r>
    </w:p>
    <w:p>
      <w:pPr>
        <w:pStyle w:val="ListParagraph"/>
        <w:numPr>
          <w:ilvl w:val="0"/>
          <w:numId w:val="1"/>
        </w:numPr>
        <w:spacing w:after="80"/>
      </w:pPr>
      <w:r>
        <w:t xml:space="preserve">PIP (Państwowa Inspekcja Pracy) — kontrola legalności wypowiedzenia, w tym pozorności przyczyny reorganizacyjnej i ewentualnego naruszenia przepisów o informowaniu/konsultacji ze związkiem zawodowym wobec wdrożenia systemu monitorującego pracowników.</w:t>
      </w:r>
    </w:p>
    <w:p>
      <w:pPr>
        <w:pStyle w:val="ListParagraph"/>
        <w:numPr>
          <w:ilvl w:val="0"/>
          <w:numId w:val="1"/>
        </w:numPr>
        <w:spacing w:after="80"/>
      </w:pPr>
      <w:r>
        <w:t xml:space="preserve">Sąd cywilny — ewentualne powództwo spółki o ochronę tajemnicy przedsiębiorstwa i zaniechanie publikacji (ustawa o zwalczaniu nieuczciwej konkurencji) oraz roszczenie o zakaz publikacji materiałów zawierających dane osobowe/informacje poufne — podlegające kontroli proporcjonalności wobec ochrony sygnalisty.</w:t>
      </w:r>
    </w:p>
    <w:p>
      <w:pPr>
        <w:pStyle w:val="ListParagraph"/>
        <w:numPr>
          <w:ilvl w:val="0"/>
          <w:numId w:val="1"/>
        </w:numPr>
        <w:spacing w:after="80"/>
      </w:pPr>
      <w:r>
        <w:t xml:space="preserve">AI Act (rozporządzenie UE 2024/1689) — kwalifikacja systemu PeopleScore jako systemu AI wysokiego ryzyka w obszarze zatrudnienia (rekrutacja, ocena, zwolnienie pracowników — kategoria wskazana w załączniku III), z obowiązkami transparentności, dokumentacji i nadzoru ludzkiego.</w:t>
      </w:r>
    </w:p>
    <w:p>
      <w:pPr>
        <w:pStyle w:val="Heading2"/>
        <w:spacing w:after="150" w:before="300"/>
      </w:pPr>
      <w:r>
        <w:t xml:space="preserve">3. Przesłanki roszczeń / zarzutów / środków ochrony</w:t>
      </w:r>
    </w:p>
    <w:p>
      <w:pPr>
        <w:pStyle w:val="Heading3"/>
        <w:spacing w:after="100" w:before="200"/>
      </w:pPr>
      <w:r>
        <w:t xml:space="preserve">Ochrona sygnalisty i domniemanie działania odwetowego (ustawa o ochronie sygnalistów)</w:t>
      </w:r>
    </w:p>
    <w:p>
      <w:pPr>
        <w:pStyle w:val="ListParagraph"/>
        <w:numPr>
          <w:ilvl w:val="0"/>
          <w:numId w:val="1"/>
        </w:numPr>
        <w:spacing w:after="80"/>
      </w:pPr>
      <w:r>
        <w:t xml:space="preserve">Zgłoszenie musi dotyczyć informacji o naruszeniu prawa uzyskanej w kontekście związanym z pracą — dyskryminacyjne zaniżanie ocen kandydatek po urlopie rodzicielskim mieści się w zakresie przedmiotowym ustawy (naruszenie zasady równego traktowania w zatrudnieniu).</w:t>
      </w:r>
    </w:p>
    <w:p>
      <w:pPr>
        <w:pStyle w:val="ListParagraph"/>
        <w:numPr>
          <w:ilvl w:val="0"/>
          <w:numId w:val="1"/>
        </w:numPr>
        <w:spacing w:after="80"/>
      </w:pPr>
      <w:r>
        <w:t xml:space="preserve">Ustawa przewiduje domniemanie, że niekorzystne działanie wobec sygnalisty następujące po zgłoszeniu jest działaniem odwetowym — ciężar wykazania obiektywnej, niepowiązanej przyczyny spoczywa na pracodawcy.</w:t>
      </w:r>
    </w:p>
    <w:p>
      <w:pPr>
        <w:pStyle w:val="ListParagraph"/>
        <w:numPr>
          <w:ilvl w:val="0"/>
          <w:numId w:val="1"/>
        </w:numPr>
        <w:spacing w:after="80"/>
      </w:pPr>
      <w:r>
        <w:t xml:space="preserve">Katalog działań odwetowych obejmuje wypowiedzenie umowy o pracę oraz obniżenie oceny pracy/opinii o pracowniku — oba elementy występują w stanie faktycznym (spadek ratingu, następnie wypowiedzenie).</w:t>
      </w:r>
    </w:p>
    <w:p>
      <w:pPr>
        <w:pStyle w:val="Heading3"/>
        <w:spacing w:after="100" w:before="200"/>
      </w:pPr>
      <w:r>
        <w:t xml:space="preserve">Rzeczywistość przyczyny reorganizacyjnej</w:t>
      </w:r>
    </w:p>
    <w:p>
      <w:pPr>
        <w:pStyle w:val="ListParagraph"/>
        <w:numPr>
          <w:ilvl w:val="0"/>
          <w:numId w:val="1"/>
        </w:numPr>
        <w:spacing w:after="80"/>
      </w:pPr>
      <w:r>
        <w:t xml:space="preserve">Likwidacja stanowiska musi być rzeczywista i trwała — utworzenie podobnego stanowiska po miesiącu jest silną poszlaką pozorności przyczyny wypowiedzenia w rozumieniu orzecznictwa sądów pracy dot. wypowiedzeń 'reorganizacyjnych'.</w:t>
      </w:r>
    </w:p>
    <w:p>
      <w:pPr>
        <w:pStyle w:val="ListParagraph"/>
        <w:numPr>
          <w:ilvl w:val="0"/>
          <w:numId w:val="1"/>
        </w:numPr>
        <w:spacing w:after="80"/>
      </w:pPr>
      <w:r>
        <w:t xml:space="preserve">Krótka wideokonferencja jako jedyna podstawa decyzji zarządu wskazuje na brak rzetelnego procesu decyzyjnego, co wzmacnia wniosek o pozorności.</w:t>
      </w:r>
    </w:p>
    <w:p>
      <w:pPr>
        <w:pStyle w:val="Heading3"/>
        <w:spacing w:after="100" w:before="200"/>
      </w:pPr>
      <w:r>
        <w:t xml:space="preserve">Zautomatyzowane podejmowanie decyzji (art. 22 RODO)</w:t>
      </w:r>
    </w:p>
    <w:p>
      <w:pPr>
        <w:pStyle w:val="ListParagraph"/>
        <w:numPr>
          <w:ilvl w:val="0"/>
          <w:numId w:val="1"/>
        </w:numPr>
        <w:spacing w:after="80"/>
      </w:pPr>
      <w:r>
        <w:t xml:space="preserve">Prawo do niepodlegania decyzji opartej wyłącznie na zautomatyzowanym przetwarzaniu, wywołującej istotne skutki prawne — formalny udział człowieka nie wyłącza ochrony, jeśli nie ma on rzeczywistego wpływu merytorycznego na wynik (kryterium 'meaningful human involvement' z wytycznych Europejskiej Rady Ochrony Danych).</w:t>
      </w:r>
    </w:p>
    <w:p>
      <w:pPr>
        <w:pStyle w:val="ListParagraph"/>
        <w:numPr>
          <w:ilvl w:val="0"/>
          <w:numId w:val="1"/>
        </w:numPr>
        <w:spacing w:after="80"/>
      </w:pPr>
      <w:r>
        <w:t xml:space="preserve">Nawet przy uznaniu decyzji za częściowo ludzką, art. 13–15 RODO nadal wymagają przekazania zrozumiałych informacji o logice przetwarzania i znaczeniu/przewidywanych konsekwencjach dla osoby, której dane dotyczą.</w:t>
      </w:r>
    </w:p>
    <w:p>
      <w:pPr>
        <w:pStyle w:val="Heading3"/>
        <w:spacing w:after="100" w:before="200"/>
      </w:pPr>
      <w:r>
        <w:t xml:space="preserve">Tajemnica przedsiębiorstwa a kontrola sądowa</w:t>
      </w:r>
    </w:p>
    <w:p>
      <w:pPr>
        <w:pStyle w:val="ListParagraph"/>
        <w:numPr>
          <w:ilvl w:val="0"/>
          <w:numId w:val="1"/>
        </w:numPr>
        <w:spacing w:after="80"/>
      </w:pPr>
      <w:r>
        <w:t xml:space="preserve">Tajemnica przedsiębiorstwa dostawcy nie jest bezwzględną przeszkodą procesową — sąd może zastosować środki wyważające (ograniczony dostęp, klauzula poufności, opinia biegłego) zamiast całkowitego wyłączenia kontroli.</w:t>
      </w:r>
    </w:p>
    <w:p>
      <w:pPr>
        <w:pStyle w:val="ListParagraph"/>
        <w:numPr>
          <w:ilvl w:val="0"/>
          <w:numId w:val="1"/>
        </w:numPr>
        <w:spacing w:after="80"/>
      </w:pPr>
      <w:r>
        <w:t xml:space="preserve">Odmowa jakiegokolwiek ujawnienia logiki systemu, uniemożliwiająca weryfikację zarzutu dyskryminacji, może sama w sobie stanowić naruszenie prawa do sądu i efektywnego środka ochrony przed dyskryminacją.</w:t>
      </w:r>
    </w:p>
    <w:p>
      <w:pPr>
        <w:pStyle w:val="Heading3"/>
        <w:spacing w:after="100" w:before="200"/>
      </w:pPr>
      <w:r>
        <w:t xml:space="preserve">Ujawnienie publiczne dziennikarzowi</w:t>
      </w:r>
    </w:p>
    <w:p>
      <w:pPr>
        <w:pStyle w:val="ListParagraph"/>
        <w:numPr>
          <w:ilvl w:val="0"/>
          <w:numId w:val="1"/>
        </w:numPr>
        <w:spacing w:after="80"/>
      </w:pPr>
      <w:r>
        <w:t xml:space="preserve">Ujawnienie publiczne jest chronione warunkowo — zasadniczo wymaga uprzedniego dokonania zgłoszenia wewnętrznego/zewnętrznego bez odpowiedniej reakcji, albo uzasadnionego przekonania o bezpośrednim/oczywistym zagrożeniu interesu publicznego lub ryzyku odwetu/zatarcia dowodów.</w:t>
      </w:r>
    </w:p>
    <w:p>
      <w:pPr>
        <w:pStyle w:val="ListParagraph"/>
        <w:numPr>
          <w:ilvl w:val="0"/>
          <w:numId w:val="1"/>
        </w:numPr>
        <w:spacing w:after="80"/>
      </w:pPr>
      <w:r>
        <w:t xml:space="preserve">Ocena wymaga zbadania, czy Marta podjęła (lub czy mogła skutecznie podjąć) wcześniej kanał wewnętrzny/zewnętrzny — kazus tego nie precyzuje.</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Charakter wypowiedzenia</w:t>
            </w:r>
          </w:p>
        </w:tc>
        <w:tc>
          <w:tcPr>
            <w:tcW w:type="dxa" w:w="2600"/>
          </w:tcPr>
          <w:p>
            <w:r>
              <w:rPr>
                <w:b w:val="false"/>
                <w:bCs w:val="false"/>
                <w:sz w:val="18"/>
                <w:szCs w:val="18"/>
              </w:rPr>
              <w:t xml:space="preserve">Wypowiedzenie wynikało z autonomicznej decyzji biznesowej o reorganizacji struktury, niezwiązanej ze zgłoszeniem Marty.</w:t>
            </w:r>
          </w:p>
        </w:tc>
        <w:tc>
          <w:tcPr>
            <w:tcW w:type="dxa" w:w="2600"/>
          </w:tcPr>
          <w:p>
            <w:r>
              <w:rPr>
                <w:b w:val="false"/>
                <w:bCs w:val="false"/>
                <w:sz w:val="18"/>
                <w:szCs w:val="18"/>
              </w:rPr>
              <w:t xml:space="preserve">Sekwencja czasowa (zgłoszenie → spadek ratingu z powodu 'nielojalności' → wypowiedzenie → odtworzenie stanowiska po miesiącu) tworzy silne domniemanie odwetu, którego pracodawca nie obalił.</w:t>
            </w:r>
          </w:p>
        </w:tc>
        <w:tc>
          <w:tcPr>
            <w:tcW w:type="dxa" w:w="2600"/>
          </w:tcPr>
          <w:p>
            <w:r>
              <w:rPr>
                <w:b w:val="false"/>
                <w:bCs w:val="false"/>
                <w:sz w:val="18"/>
                <w:szCs w:val="18"/>
              </w:rPr>
              <w:t xml:space="preserve">Ustawowe domniemanie odwetu przenosi ciężar dowodu na pracodawcę — samo twierdzenie o reorganizacji, bez dowodu niezależnej, udokumentowanej decyzji biznesowej sprzed zgłoszenia, jest niewystarczające do jego obalenia.</w:t>
            </w:r>
          </w:p>
        </w:tc>
      </w:tr>
      <w:tr>
        <w:tc>
          <w:tcPr>
            <w:tcW w:type="dxa" w:w="1600"/>
          </w:tcPr>
          <w:p>
            <w:r>
              <w:rPr>
                <w:b w:val="false"/>
                <w:bCs w:val="false"/>
                <w:sz w:val="18"/>
                <w:szCs w:val="18"/>
              </w:rPr>
              <w:t xml:space="preserve">Charakter decyzji systemu PeopleScore</w:t>
            </w:r>
          </w:p>
        </w:tc>
        <w:tc>
          <w:tcPr>
            <w:tcW w:type="dxa" w:w="2600"/>
          </w:tcPr>
          <w:p>
            <w:r>
              <w:rPr>
                <w:b w:val="false"/>
                <w:bCs w:val="false"/>
                <w:sz w:val="18"/>
                <w:szCs w:val="18"/>
              </w:rPr>
              <w:t xml:space="preserve">Decyzję formalnie podjął zarząd po wideokonferencji — to decyzja ludzka, poza zakresem art. 22 RODO.</w:t>
            </w:r>
          </w:p>
        </w:tc>
        <w:tc>
          <w:tcPr>
            <w:tcW w:type="dxa" w:w="2600"/>
          </w:tcPr>
          <w:p>
            <w:r>
              <w:rPr>
                <w:b w:val="false"/>
                <w:bCs w:val="false"/>
                <w:sz w:val="18"/>
                <w:szCs w:val="18"/>
              </w:rPr>
              <w:t xml:space="preserve">Krótka wideokonferencja bez merytorycznej analizy wskazuje na 'rubber-stamping' rekomendacji systemu — decyzja jest 'w istocie' zautomatyzowana, co uruchamia pełen zakres ochrony z art. 22 RODO.</w:t>
            </w:r>
          </w:p>
        </w:tc>
        <w:tc>
          <w:tcPr>
            <w:tcW w:type="dxa" w:w="2600"/>
          </w:tcPr>
          <w:p>
            <w:r>
              <w:rPr>
                <w:b w:val="false"/>
                <w:bCs w:val="false"/>
                <w:sz w:val="18"/>
                <w:szCs w:val="18"/>
              </w:rPr>
              <w:t xml:space="preserve">Kryterium rozstrzygające to jakość i głębokość ludzkiej interwencji, nie sam fakt jej formalnego wystąpienia — orzecznictwo i wytyczne EROD wymagają realnej zdolności do odstąpienia od rekomendacji systemu.</w:t>
            </w:r>
          </w:p>
        </w:tc>
      </w:tr>
      <w:tr>
        <w:tc>
          <w:tcPr>
            <w:tcW w:type="dxa" w:w="1600"/>
          </w:tcPr>
          <w:p>
            <w:r>
              <w:rPr>
                <w:b w:val="false"/>
                <w:bCs w:val="false"/>
                <w:sz w:val="18"/>
                <w:szCs w:val="18"/>
              </w:rPr>
              <w:t xml:space="preserve">Ujawnienie tajemnicy dostawcy</w:t>
            </w:r>
          </w:p>
        </w:tc>
        <w:tc>
          <w:tcPr>
            <w:tcW w:type="dxa" w:w="2600"/>
          </w:tcPr>
          <w:p>
            <w:r>
              <w:rPr>
                <w:b w:val="false"/>
                <w:bCs w:val="false"/>
                <w:sz w:val="18"/>
                <w:szCs w:val="18"/>
              </w:rPr>
              <w:t xml:space="preserve">Logika systemu stanowi tajemnicę przedsiębiorstwa dostawcy i nie podlega ujawnieniu nawet w postępowaniu sądowym.</w:t>
            </w:r>
          </w:p>
        </w:tc>
        <w:tc>
          <w:tcPr>
            <w:tcW w:type="dxa" w:w="2600"/>
          </w:tcPr>
          <w:p>
            <w:r>
              <w:rPr>
                <w:b w:val="false"/>
                <w:bCs w:val="false"/>
                <w:sz w:val="18"/>
                <w:szCs w:val="18"/>
              </w:rPr>
              <w:t xml:space="preserve">Odmowa jakiejkolwiek weryfikowalności uniemożliwia dochodzenie praw pracowniczych i praw z RODO — sąd powinien zastosować środki wyważające, nie akceptować całkowitej nieprzejrzystości.</w:t>
            </w:r>
          </w:p>
        </w:tc>
        <w:tc>
          <w:tcPr>
            <w:tcW w:type="dxa" w:w="2600"/>
          </w:tcPr>
          <w:p>
            <w:r>
              <w:rPr>
                <w:b w:val="false"/>
                <w:bCs w:val="false"/>
                <w:sz w:val="18"/>
                <w:szCs w:val="18"/>
              </w:rPr>
              <w:t xml:space="preserve">Prawo do tajemnicy przedsiębiorstwa nie ma charakteru absolutnego wobec prawa do sądu i zakazu dyskryminacji — rozwiązaniem pośrednim jest kontrola przez biegłego sądowego związanego tajemnicą, nie automatyczne oddalenie żądań pracownicy.</w:t>
            </w:r>
          </w:p>
        </w:tc>
      </w:tr>
      <w:tr>
        <w:tc>
          <w:tcPr>
            <w:tcW w:type="dxa" w:w="1600"/>
          </w:tcPr>
          <w:p>
            <w:r>
              <w:rPr>
                <w:b w:val="false"/>
                <w:bCs w:val="false"/>
                <w:sz w:val="18"/>
                <w:szCs w:val="18"/>
              </w:rPr>
              <w:t xml:space="preserve">Przekazanie dokumentów dziennikarzowi</w:t>
            </w:r>
          </w:p>
        </w:tc>
        <w:tc>
          <w:tcPr>
            <w:tcW w:type="dxa" w:w="2600"/>
          </w:tcPr>
          <w:p>
            <w:r>
              <w:rPr>
                <w:b w:val="false"/>
                <w:bCs w:val="false"/>
                <w:sz w:val="18"/>
                <w:szCs w:val="18"/>
              </w:rPr>
              <w:t xml:space="preserve">Ujawnienie dokumentów zawierających dane osobowe i informacje poufne stanowi naruszenie RODO i tajemnicy przedsiębiorstwa, uzasadniające roszczenia spółki.</w:t>
            </w:r>
          </w:p>
        </w:tc>
        <w:tc>
          <w:tcPr>
            <w:tcW w:type="dxa" w:w="2600"/>
          </w:tcPr>
          <w:p>
            <w:r>
              <w:rPr>
                <w:b w:val="false"/>
                <w:bCs w:val="false"/>
                <w:sz w:val="18"/>
                <w:szCs w:val="18"/>
              </w:rPr>
              <w:t xml:space="preserve">Ujawnienie publiczne może korzystać z ochrony ustawy o sygnalistach, jeśli spełnione są przesłanki subsydiarności (brak reakcji na zgłoszenie wewnętrzne, obawa przed zatajeniem dowodów wobec krótkiej retencji logów).</w:t>
            </w:r>
          </w:p>
        </w:tc>
        <w:tc>
          <w:tcPr>
            <w:tcW w:type="dxa" w:w="2600"/>
          </w:tcPr>
          <w:p>
            <w:r>
              <w:rPr>
                <w:b w:val="false"/>
                <w:bCs w:val="false"/>
                <w:sz w:val="18"/>
                <w:szCs w:val="18"/>
              </w:rPr>
              <w:t xml:space="preserve">Rozstrzygające jest ustalenie chronologii: czy ujawnienie nastąpiło po bezskutecznym zgłoszeniu wewnętrznym, czy było pierwszym krokiem Marty — kazus nie precyzuje kolejności, co stanowi kluczową lukę faktyczną.</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dokumentacji wewnętrznego procesu decyzyjnego zarządu przy wypowiedzeniu (protokoły, analiza biznesowa reorganizacji sprzed zgłoszenia Marty) — rozstrzygające dla obalenia domniemania odwetu.</w:t>
      </w:r>
    </w:p>
    <w:p>
      <w:pPr>
        <w:pStyle w:val="ListParagraph"/>
        <w:numPr>
          <w:ilvl w:val="0"/>
          <w:numId w:val="1"/>
        </w:numPr>
        <w:spacing w:after="80"/>
      </w:pPr>
      <w:r>
        <w:t xml:space="preserve">Brak dostępu do logiki/parametrów systemu PeopleScore wskutek zastrzeżenia tajemnicy przedsiębiorstwa — kluczowe dla oceny charakteru decyzji jako zautomatyzowanej i dla zarzutu dyskryminacji pierwotnego modelu rekrutacyjnego.</w:t>
      </w:r>
    </w:p>
    <w:p>
      <w:pPr>
        <w:pStyle w:val="ListParagraph"/>
        <w:numPr>
          <w:ilvl w:val="0"/>
          <w:numId w:val="1"/>
        </w:numPr>
        <w:spacing w:after="80"/>
      </w:pPr>
      <w:r>
        <w:t xml:space="preserve">Częściowa utrata logów wskutek 30-dniowej retencji, mimo przewidywalności sporu — potencjalnie relewantna dla zarzutu zniszczenia dowodów (spoliation) i wnioskowania na niekorzyść spółki, wymaga jednak wykazania, kiedy dokładnie spór stał się przewidywalny.</w:t>
      </w:r>
    </w:p>
    <w:p>
      <w:pPr>
        <w:pStyle w:val="ListParagraph"/>
        <w:numPr>
          <w:ilvl w:val="0"/>
          <w:numId w:val="1"/>
        </w:numPr>
        <w:spacing w:after="80"/>
      </w:pPr>
      <w:r>
        <w:t xml:space="preserve">Brak informacji, czy związek zawodowy powinien był być poinformowany/skonsultowany przed wdrożeniem systemu monitorującego pracowników — istotne dla oceny naruszeń zbiorowego prawa pracy.</w:t>
      </w:r>
    </w:p>
    <w:p>
      <w:pPr>
        <w:pStyle w:val="ListParagraph"/>
        <w:numPr>
          <w:ilvl w:val="0"/>
          <w:numId w:val="1"/>
        </w:numPr>
        <w:spacing w:after="80"/>
      </w:pPr>
      <w:r>
        <w:t xml:space="preserve">Zakaz dopowiadania faktów: nie zakładam, czy Marta dokonała zgłoszenia wewnętrznego/zewnętrznego przed przekazaniem dokumentów dziennikarzowi — kazus tego nie precyzuje, co uniemożliwia jednoznaczną ocenę ochrony ujawnienia publicznego bez wskazania obu wariantów.</w:t>
      </w:r>
    </w:p>
    <w:p>
      <w:pPr>
        <w:pStyle w:val="Heading2"/>
        <w:spacing w:after="150" w:before="300"/>
      </w:pPr>
      <w:r>
        <w:t xml:space="preserve">6. Rozstrzygnięcie i środek naprawczy</w:t>
      </w:r>
    </w:p>
    <w:p>
      <w:pPr>
        <w:spacing w:after="140"/>
      </w:pPr>
      <w:r>
        <w:t xml:space="preserve">Sąd pracy powinien: (1) zastosować ustawowe domniemanie działania odwetowego i uznać, że spółka nie obaliła go wykazaniem rzeczywistej, niezależnej przyczyny reorganizacyjnej — co uzasadnia przywrócenie do pracy lub odszkodowanie; (2) zobowiązać spółkę/UODO do ustalenia, czy decyzja miała charakter w istocie zautomatyzowany, i w razie potwierdzenia — nakazać ujawnienie logiki przetwarzania w trybie chroniącym tajemnicę przedsiębiorstwa (np. przez biegłego); (3) oddalić żądanie spółki o zakaz publikacji i odszkodowanie w zakresie, w jakim ujawnienie mieściło się w warunkach ochrony sygnalisty, pozostawiając do dalszego wyjaśnienia kwestię chronologii zgłoszeń.</w:t>
      </w:r>
    </w:p>
    <w:p>
      <w:pPr>
        <w:spacing w:after="140"/>
      </w:pPr>
      <w:r>
        <w:t xml:space="preserve">Środek naprawczy: przywrócenie do pracy lub odszkodowanie w wysokości uwzględniającej charakter odwetowy zwolnienia + nakaz zabezpieczenia i częściowego ujawnienia logów/parametrów systemu w trybie poufnym + skarga do UODO jako niezależna ścieżka co do zgodności systemu z art. 22 i 13–15 RODO oraz zgodności z wymogami AI Act dla systemów wysokiego ryzyka w obszarze zatrudnienia.</w:t>
      </w:r>
    </w:p>
    <w:p>
      <w:pPr>
        <w:pStyle w:val="Heading3"/>
        <w:spacing w:after="100" w:before="200"/>
      </w:pPr>
      <w:r>
        <w:t xml:space="preserve">Kwalifikator karnomaterialny</w:t>
      </w:r>
    </w:p>
    <w:p>
      <w:pPr>
        <w:pStyle w:val="ListParagraph"/>
        <w:numPr>
          <w:ilvl w:val="0"/>
          <w:numId w:val="1"/>
        </w:numPr>
        <w:spacing w:after="80"/>
      </w:pPr>
      <w:r>
        <w:t xml:space="preserve">Rozdział 6 ustawy o ochronie sygnalistów (art. 54–59, Dz.U. 2024 poz. 928) przewiduje odpowiedzialność karną za utrudnianie dokonania zgłoszenia, podejmowanie działań odwetowych oraz naruszenie obowiązku zachowania poufności tożsamości sygnalisty — w razie wykazania, że wypowiedzenie było świadomym działaniem odwetowym w rozumieniu ustawy, osoby decyzyjne w spółce mogą podlegać odpowiedzialności karnej niezależnie od cywilnoprawnych/pracowniczych skutków wypowiedzenia; ustalenie konkretnej kwalifikacji (który z czynów z art. 54–59) wymaga dodatkowej weryfikacji aktualnego brzmienia tych przepisów w ISAP przed sformułowaniem zarzutu, czego w tym opracowaniu nie wykonano w pełnym zakresie brzmienia poszczególnych paragrafów.</w:t>
      </w:r>
    </w:p>
    <w:p>
      <w:pPr>
        <w:pStyle w:val="Heading3"/>
        <w:spacing w:after="100" w:before="200"/>
      </w:pPr>
      <w:r>
        <w:t xml:space="preserve">Uwagi metodologiczne / status weryfikacji ISAP</w:t>
      </w:r>
    </w:p>
    <w:p>
      <w:pPr>
        <w:spacing w:after="140"/>
      </w:pPr>
      <w:r>
        <w:rPr>
          <w:i/>
          <w:iCs/>
          <w:sz w:val="20"/>
          <w:szCs w:val="20"/>
        </w:rPr>
        <w:t xml:space="preserve">Zweryfikowano w ELI/ISAP: ustawa z dnia 14 czerwca 2024 r. o ochronie sygnalistów (Dz.U. 2024 poz. 928) — status: obowiązująca; wejście w życie 25 września 2024 r., z wyjątkiem części przepisów rozdziału 4 i wybranych ustępów wchodzących w życie 25 grudnia 2024 r. (potwierdzono online 2 września 2026, źródła: eli.gov.pl, ISAP, przepisy.gofin.pl, gov.pl/sprawiedliwosc). RODO (rozporządzenie 2016/679) i AI Act (rozporządzenie 2024/1689) to bezpośrednio obowiązujące akty unijne o stabilnym statusie. Numery artykułów Kodeksu pracy dot. wypowiedzenia i przyczyn pozornych nie zostały zweryfikowane co do aktualnego brzmienia w tym opracowaniu — wymagają odrębnego sprawdzenia w ISAP przed użyciem zawodowym.</w:t>
      </w:r>
    </w:p>
    <w:p>
      <w:r>
        <w:br w:type="page"/>
      </w:r>
    </w:p>
    <w:p>
      <w:pPr>
        <w:spacing w:after="60"/>
      </w:pPr>
      <w:r>
        <w:rPr>
          <w:b/>
          <w:bCs/>
          <w:color w:val="1F3864"/>
          <w:sz w:val="32"/>
          <w:szCs w:val="32"/>
        </w:rPr>
        <w:t xml:space="preserve">PL-02  Osiedle na zalewowej łące</w:t>
      </w:r>
    </w:p>
    <w:p>
      <w:pPr>
        <w:spacing w:after="200"/>
      </w:pPr>
      <w:r>
        <w:rPr>
          <w:i/>
          <w:iCs/>
          <w:sz w:val="22"/>
          <w:szCs w:val="22"/>
        </w:rPr>
        <w:t xml:space="preserve">Planowanie przestrzenne, budownictwo, środowisko, wody i kontrola administracyjna</w:t>
      </w:r>
    </w:p>
    <w:p>
      <w:pPr>
        <w:spacing w:after="60"/>
      </w:pPr>
      <w:r>
        <w:rPr>
          <w:b/>
          <w:bCs/>
        </w:rPr>
        <w:t xml:space="preserve">Poziom: </w:t>
      </w:r>
      <w:r>
        <w:t xml:space="preserve">ekstremalna</w:t>
      </w:r>
    </w:p>
    <w:p>
      <w:pPr>
        <w:spacing w:after="60"/>
      </w:pPr>
      <w:r>
        <w:rPr>
          <w:b/>
          <w:bCs/>
        </w:rPr>
        <w:t xml:space="preserve">Sugerowany czas: </w:t>
      </w:r>
      <w:r>
        <w:t xml:space="preserve">6–8 godzin</w:t>
      </w:r>
    </w:p>
    <w:p>
      <w:pPr>
        <w:spacing w:after="60"/>
      </w:pPr>
      <w:r>
        <w:rPr>
          <w:b/>
          <w:bCs/>
        </w:rPr>
        <w:t xml:space="preserve">Role: </w:t>
      </w:r>
      <w:r>
        <w:t xml:space="preserve">deweloper; gmina; Wody Polskie; organizacja ekologiczna; sąsiedzi</w:t>
      </w:r>
    </w:p>
    <w:p>
      <w:pPr>
        <w:spacing w:after="100"/>
      </w:pPr>
    </w:p>
    <w:p>
      <w:pPr>
        <w:pStyle w:val="Heading2"/>
        <w:spacing w:after="150" w:before="300"/>
      </w:pPr>
      <w:r>
        <w:t xml:space="preserve">1. Teza wstępna</w:t>
      </w:r>
    </w:p>
    <w:p>
      <w:pPr>
        <w:spacing w:after="140"/>
      </w:pPr>
      <w:r>
        <w:t xml:space="preserve">Konflikt interesów części radnych (powiązania rodzinne z podwykonawcą inwestora) stanowi podstawę do zbadania ważności uchwały planistycznej, ale sam w sobie nie przesądza automatycznie o jej nieważności — wymaga wykazania wpływu na wynik głosowania lub naruszenia trybu; podział przedsięwzięcia na trzy odrębne postępowania (osiedle, droga, zbiornik retencyjny) bez łącznej oceny oddziaływania na środowisko może stanowić niedozwolone 'salami slicing', jeśli elementy te funkcjonalnie i technicznie tworzą jedno przedsięwzięcie — co otwiera drogę do wzruszenia decyzji środowiskowych/budowlanych; nowa mapa zagrożenia powodziowego, powstała po wydaniu pozwolenia na budowę, jest zasadniczo istotną okolicznością nową, mogącą uzasadniać wznowienie postępowania lub wstrzymanie robót ze względów bezpieczeństwa publicznego, niezależnie od formalnej prawomocności wcześniejszych decyzji i praw nabytych inwestora/nabywców lokali; legitymację do zaskarżenia poszczególnych aktów mają odrębnie: organizacja ekologiczna (w zakresie ocen środowiskowych, o ile brała lub mogła brać udział w postępowaniu), sąsiedzi (jako strony postępowań sąsiedzkich) i Wody Polskie (jako organ opiniujący/uzgadniający w zakresie gospodarki wodnej) — każdy w odrębnym trybie i zakresie przedmiotowym.</w:t>
      </w:r>
    </w:p>
    <w:p>
      <w:pPr>
        <w:pStyle w:val="Heading2"/>
        <w:spacing w:after="150" w:before="300"/>
      </w:pPr>
      <w:r>
        <w:t xml:space="preserve">2. Mapa jurysdykcji, źródeł prawa i kompetencji organów</w:t>
      </w:r>
    </w:p>
    <w:p>
      <w:pPr>
        <w:pStyle w:val="ListParagraph"/>
        <w:numPr>
          <w:ilvl w:val="0"/>
          <w:numId w:val="1"/>
        </w:numPr>
        <w:spacing w:after="80"/>
      </w:pPr>
      <w:r>
        <w:t xml:space="preserve">Rada gminy — organ uchwałodawczy planu miejscowego; wojewoda — nadzór nad uchwałami rady gminy (możliwość stwierdzenia nieważności uchwały sprzecznej z prawem).</w:t>
      </w:r>
    </w:p>
    <w:p>
      <w:pPr>
        <w:pStyle w:val="ListParagraph"/>
        <w:numPr>
          <w:ilvl w:val="0"/>
          <w:numId w:val="1"/>
        </w:numPr>
        <w:spacing w:after="80"/>
      </w:pPr>
      <w:r>
        <w:t xml:space="preserve">Wojewódzki Sąd Administracyjny / Naczelny Sąd Administracyjny — kontrola legalności planu miejscowego, decyzji środowiskowej i pozwolenia na budowę w trybie skargi (ustawa Prawo o postępowaniu przed sądami administracyjnymi).</w:t>
      </w:r>
    </w:p>
    <w:p>
      <w:pPr>
        <w:pStyle w:val="ListParagraph"/>
        <w:numPr>
          <w:ilvl w:val="0"/>
          <w:numId w:val="1"/>
        </w:numPr>
        <w:spacing w:after="80"/>
      </w:pPr>
      <w:r>
        <w:t xml:space="preserve">Regionalny Dyrektor Ochrony Środowiska / organ wydający decyzję o środowiskowych uwarunkowaniach — ocena, czy trzy elementy przedsięwzięcia (osiedle, droga, zbiornik) wymagały łącznej oceny oddziaływania na środowisko (ustawa OOŚ).</w:t>
      </w:r>
    </w:p>
    <w:p>
      <w:pPr>
        <w:pStyle w:val="ListParagraph"/>
        <w:numPr>
          <w:ilvl w:val="0"/>
          <w:numId w:val="1"/>
        </w:numPr>
        <w:spacing w:after="80"/>
      </w:pPr>
      <w:r>
        <w:t xml:space="preserve">Wody Polskie (Państwowe Gospodarstwo Wodne) — organ właściwy w sprawach zgód wodnoprawnych i opiniowania inwestycji na terenach zalewowych (Prawo wodne) — jego stanowisko po pozwoleniu na budowę rodzi pytanie o tryb wzruszenia wcześniejszej decyzji.</w:t>
      </w:r>
    </w:p>
    <w:p>
      <w:pPr>
        <w:pStyle w:val="ListParagraph"/>
        <w:numPr>
          <w:ilvl w:val="0"/>
          <w:numId w:val="1"/>
        </w:numPr>
        <w:spacing w:after="80"/>
      </w:pPr>
      <w:r>
        <w:t xml:space="preserve">Organ nadzoru budowlanego — kompetencja do wstrzymania robót budowlanych w razie zagrożenia bezpieczeństwa (Prawo budowlane) — uruchomiona faktycznie po zalaniu.</w:t>
      </w:r>
    </w:p>
    <w:p>
      <w:pPr>
        <w:pStyle w:val="ListParagraph"/>
        <w:numPr>
          <w:ilvl w:val="0"/>
          <w:numId w:val="1"/>
        </w:numPr>
        <w:spacing w:after="80"/>
      </w:pPr>
      <w:r>
        <w:t xml:space="preserve">Gmina — odpowiedzialność za szkodę wynikającą z wadliwego planowania (ewentualna odpowiedzialność odszkodowawcza wobec nabywców lokali i inwestora, Kodeks cywilny) oraz koszty awaryjnego wału z budżetu publicznego.</w:t>
      </w:r>
    </w:p>
    <w:p>
      <w:pPr>
        <w:pStyle w:val="Heading2"/>
        <w:spacing w:after="150" w:before="300"/>
      </w:pPr>
      <w:r>
        <w:t xml:space="preserve">3. Przesłanki roszczeń / zarzutów / środków ochrony</w:t>
      </w:r>
    </w:p>
    <w:p>
      <w:pPr>
        <w:pStyle w:val="Heading3"/>
        <w:spacing w:after="100" w:before="200"/>
      </w:pPr>
      <w:r>
        <w:t xml:space="preserve">Wpływ konfliktu interesów radnych na ważność planu</w:t>
      </w:r>
    </w:p>
    <w:p>
      <w:pPr>
        <w:pStyle w:val="ListParagraph"/>
        <w:numPr>
          <w:ilvl w:val="0"/>
          <w:numId w:val="1"/>
        </w:numPr>
        <w:spacing w:after="80"/>
      </w:pPr>
      <w:r>
        <w:t xml:space="preserve">Wyłączenie radnego od głosowania w sprawie, w której ma interes prawny, jest obowiązkiem proceduralnym — jego naruszenie stanowi istotne naruszenie trybu, jeśli głos wyłączonego radnego miał wpływ na wynik głosowania (np. przy niewielkiej większości).</w:t>
      </w:r>
    </w:p>
    <w:p>
      <w:pPr>
        <w:pStyle w:val="ListParagraph"/>
        <w:numPr>
          <w:ilvl w:val="0"/>
          <w:numId w:val="1"/>
        </w:numPr>
        <w:spacing w:after="80"/>
      </w:pPr>
      <w:r>
        <w:t xml:space="preserve">Sama okoliczność powiązań rodzinnych z podwykonawcą (nie z samym deweloperem) osłabia bezpośredniość konfliktu interesu, co wymaga oceny indywidualnej każdego przypadku.</w:t>
      </w:r>
    </w:p>
    <w:p>
      <w:pPr>
        <w:pStyle w:val="Heading3"/>
        <w:spacing w:after="100" w:before="200"/>
      </w:pPr>
      <w:r>
        <w:t xml:space="preserve">Jedność przedsięwzięcia dla celów OOŚ</w:t>
      </w:r>
    </w:p>
    <w:p>
      <w:pPr>
        <w:pStyle w:val="ListParagraph"/>
        <w:numPr>
          <w:ilvl w:val="0"/>
          <w:numId w:val="1"/>
        </w:numPr>
        <w:spacing w:after="80"/>
      </w:pPr>
      <w:r>
        <w:t xml:space="preserve">Kryteria łącznej oceny: funkcjonalny i techniczny związek elementów, wspólny inwestor, realizacja w bliskim odstępie czasowym i przestrzennym, brak samodzielnej racjonalności ekonomicznej poszczególnych elementów osobno — droga i zbiornik retencyjny służące wyłącznie osiedlu wskazują na jedno przedsięwzięcie.</w:t>
      </w:r>
    </w:p>
    <w:p>
      <w:pPr>
        <w:pStyle w:val="ListParagraph"/>
        <w:numPr>
          <w:ilvl w:val="0"/>
          <w:numId w:val="1"/>
        </w:numPr>
        <w:spacing w:after="80"/>
      </w:pPr>
      <w:r>
        <w:t xml:space="preserve">Podział sztuczny, mający na celu obniżenie progów formalnych (np. uniknięcie obowiązkowej oceny oddziaływania), jest kwestionowany w orzecznictwie sądów administracyjnych jako obejście prawa.</w:t>
      </w:r>
    </w:p>
    <w:p>
      <w:pPr>
        <w:pStyle w:val="Heading3"/>
        <w:spacing w:after="100" w:before="200"/>
      </w:pPr>
      <w:r>
        <w:t xml:space="preserve">Skutek nowej wiedzy o zagrożeniu powodziowym</w:t>
      </w:r>
    </w:p>
    <w:p>
      <w:pPr>
        <w:pStyle w:val="ListParagraph"/>
        <w:numPr>
          <w:ilvl w:val="0"/>
          <w:numId w:val="1"/>
        </w:numPr>
        <w:spacing w:after="80"/>
      </w:pPr>
      <w:r>
        <w:t xml:space="preserve">Nowa mapa zagrożenia powodziowego jako okoliczność powstała po wydaniu decyzji ostatecznej może uzasadniać wznowienie postępowania administracyjnego (przesłanka nowych okoliczności faktycznych) lub, przy bezpośrednim zagrożeniu bezpieczeństwa, samoistną podstawę do wstrzymania robót niezależnie od trybu wzruszenia decyzji.</w:t>
      </w:r>
    </w:p>
    <w:p>
      <w:pPr>
        <w:pStyle w:val="ListParagraph"/>
        <w:numPr>
          <w:ilvl w:val="0"/>
          <w:numId w:val="1"/>
        </w:numPr>
        <w:spacing w:after="80"/>
      </w:pPr>
      <w:r>
        <w:t xml:space="preserve">Prawa nabyte inwestora i nabywców lokali podlegają ochronie, ale nie mają charakteru absolutnego wobec nadrzędnego interesu bezpieczeństwa publicznego i życia ludzkiego.</w:t>
      </w:r>
    </w:p>
    <w:p>
      <w:pPr>
        <w:pStyle w:val="Heading3"/>
        <w:spacing w:after="100" w:before="200"/>
      </w:pPr>
      <w:r>
        <w:t xml:space="preserve">Legitymacja procesowa poszczególnych podmiotów</w:t>
      </w:r>
    </w:p>
    <w:p>
      <w:pPr>
        <w:pStyle w:val="ListParagraph"/>
        <w:numPr>
          <w:ilvl w:val="0"/>
          <w:numId w:val="1"/>
        </w:numPr>
        <w:spacing w:after="80"/>
      </w:pPr>
      <w:r>
        <w:t xml:space="preserve">Organizacja ekologiczna — legitymacja do udziału w postępowaniach środowiskowych i zaskarżania decyzji, jeżeli zgłosiła swój udział zgodnie z ustawą OOŚ (w tym prawo do sądu niezależnie od interesu prawnego w rozumieniu klasycznym, na zasadach szczególnych tej ustawy implementującej Konwencję z Aarhus).</w:t>
      </w:r>
    </w:p>
    <w:p>
      <w:pPr>
        <w:pStyle w:val="ListParagraph"/>
        <w:numPr>
          <w:ilvl w:val="0"/>
          <w:numId w:val="1"/>
        </w:numPr>
        <w:spacing w:after="80"/>
      </w:pPr>
      <w:r>
        <w:t xml:space="preserve">Sąsiedzi — legitymacja jako strony postępowania budowlanego w zakresie, w jakim inwestycja oddziałuje na ich nieruchomości (interes prawny w rozumieniu Prawa budowlanego/k.p.a.).</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Ważność planu miejscowego</w:t>
            </w:r>
          </w:p>
        </w:tc>
        <w:tc>
          <w:tcPr>
            <w:tcW w:type="dxa" w:w="2600"/>
          </w:tcPr>
          <w:p>
            <w:r>
              <w:rPr>
                <w:b w:val="false"/>
                <w:bCs w:val="false"/>
                <w:sz w:val="18"/>
                <w:szCs w:val="18"/>
              </w:rPr>
              <w:t xml:space="preserve">Plan jest ważny — konflikt interesów dotyczył pojedynczych radnych i nie wpłynął na wynik głosowania większości.</w:t>
            </w:r>
          </w:p>
        </w:tc>
        <w:tc>
          <w:tcPr>
            <w:tcW w:type="dxa" w:w="2600"/>
          </w:tcPr>
          <w:p>
            <w:r>
              <w:rPr>
                <w:b w:val="false"/>
                <w:bCs w:val="false"/>
                <w:sz w:val="18"/>
                <w:szCs w:val="18"/>
              </w:rPr>
              <w:t xml:space="preserve">Powiązania rodzinne części radnych z podwykonawcą inwestora, w połączeniu z wykorzystaniem nieaktualnych map w prognozie, dyskwalifikują całą procedurę planistyczną jako wadliwą.</w:t>
            </w:r>
          </w:p>
        </w:tc>
        <w:tc>
          <w:tcPr>
            <w:tcW w:type="dxa" w:w="2600"/>
          </w:tcPr>
          <w:p>
            <w:r>
              <w:rPr>
                <w:b w:val="false"/>
                <w:bCs w:val="false"/>
                <w:sz w:val="18"/>
                <w:szCs w:val="18"/>
              </w:rPr>
              <w:t xml:space="preserve">Kluczowe jest wykazanie konkretnego wpływu na wynik głosowania oraz odrębna ocena wadliwości prognozy (nieaktualne mapy) — to dwa niezależne zarzuty, które należy rozdzielić, nie łączyć w jeden ogólny zarzut 'wadliwości planu'.</w:t>
            </w:r>
          </w:p>
        </w:tc>
      </w:tr>
      <w:tr>
        <w:tc>
          <w:tcPr>
            <w:tcW w:type="dxa" w:w="1600"/>
          </w:tcPr>
          <w:p>
            <w:r>
              <w:rPr>
                <w:b w:val="false"/>
                <w:bCs w:val="false"/>
                <w:sz w:val="18"/>
                <w:szCs w:val="18"/>
              </w:rPr>
              <w:t xml:space="preserve">Podział przedsięwzięcia</w:t>
            </w:r>
          </w:p>
        </w:tc>
        <w:tc>
          <w:tcPr>
            <w:tcW w:type="dxa" w:w="2600"/>
          </w:tcPr>
          <w:p>
            <w:r>
              <w:rPr>
                <w:b w:val="false"/>
                <w:bCs w:val="false"/>
                <w:sz w:val="18"/>
                <w:szCs w:val="18"/>
              </w:rPr>
              <w:t xml:space="preserve">Trzy elementy (osiedle, droga, zbiornik) to odrębne przedsięwzięcia o różnych inwestorach formalnych/etapach, prowadzone zgodnie z odrębnymi procedurami — brak obowiązku łącznej oceny.</w:t>
            </w:r>
          </w:p>
        </w:tc>
        <w:tc>
          <w:tcPr>
            <w:tcW w:type="dxa" w:w="2600"/>
          </w:tcPr>
          <w:p>
            <w:r>
              <w:rPr>
                <w:b w:val="false"/>
                <w:bCs w:val="false"/>
                <w:sz w:val="18"/>
                <w:szCs w:val="18"/>
              </w:rPr>
              <w:t xml:space="preserve">Droga i zbiornik retencyjny służą wyłącznie obsłudze osiedla i nie mają samodzielnej racjonalności — to jedno przedsięwzięcie sztucznie podzielone w celu uniknięcia pełnej, skumulowanej oceny oddziaływania na środowisko.</w:t>
            </w:r>
          </w:p>
        </w:tc>
        <w:tc>
          <w:tcPr>
            <w:tcW w:type="dxa" w:w="2600"/>
          </w:tcPr>
          <w:p>
            <w:r>
              <w:rPr>
                <w:b w:val="false"/>
                <w:bCs w:val="false"/>
                <w:sz w:val="18"/>
                <w:szCs w:val="18"/>
              </w:rPr>
              <w:t xml:space="preserve">Orzecznictwo sądów administracyjnych konsekwentnie kwestionuje sztuczny podział przedsięwzięć powiązanych funkcjonalnie — silna pozycja wyjściowa dla zarzutu 'salami slicing', wymagająca jednak wykazania braku samodzielnej funkcji gospodarczej drogi/zbiornika.</w:t>
            </w:r>
          </w:p>
        </w:tc>
      </w:tr>
      <w:tr>
        <w:tc>
          <w:tcPr>
            <w:tcW w:type="dxa" w:w="1600"/>
          </w:tcPr>
          <w:p>
            <w:r>
              <w:rPr>
                <w:b w:val="false"/>
                <w:bCs w:val="false"/>
                <w:sz w:val="18"/>
                <w:szCs w:val="18"/>
              </w:rPr>
              <w:t xml:space="preserve">Skutek nowej mapy zagrożenia powodziowego</w:t>
            </w:r>
          </w:p>
        </w:tc>
        <w:tc>
          <w:tcPr>
            <w:tcW w:type="dxa" w:w="2600"/>
          </w:tcPr>
          <w:p>
            <w:r>
              <w:rPr>
                <w:b w:val="false"/>
                <w:bCs w:val="false"/>
                <w:sz w:val="18"/>
                <w:szCs w:val="18"/>
              </w:rPr>
              <w:t xml:space="preserve">Nowa mapa nie ma mocy wstecznej wobec prawomocnych decyzji — inwestor działał zgodnie z prawem obowiązującym w chwili wydania pozwolenia.</w:t>
            </w:r>
          </w:p>
        </w:tc>
        <w:tc>
          <w:tcPr>
            <w:tcW w:type="dxa" w:w="2600"/>
          </w:tcPr>
          <w:p>
            <w:r>
              <w:rPr>
                <w:b w:val="false"/>
                <w:bCs w:val="false"/>
                <w:sz w:val="18"/>
                <w:szCs w:val="18"/>
              </w:rPr>
              <w:t xml:space="preserve">Bezpieczeństwo publiczne i ochrona życia uzasadniają wstrzymanie robót i ponowną ocenę niezależnie od formalnej prawomocności wcześniejszych aktów — co potwierdza sam przebieg zdarzeń (zalanie po ulewie).</w:t>
            </w:r>
          </w:p>
        </w:tc>
        <w:tc>
          <w:tcPr>
            <w:tcW w:type="dxa" w:w="2600"/>
          </w:tcPr>
          <w:p>
            <w:r>
              <w:rPr>
                <w:b w:val="false"/>
                <w:bCs w:val="false"/>
                <w:sz w:val="18"/>
                <w:szCs w:val="18"/>
              </w:rPr>
              <w:t xml:space="preserve">Prawomocność decyzji administracyjnej nie jest tożsama z jej niewzruszalnością — instytucja wznowienia postępowania istnieje właśnie na wypadek nowych okoliczności; rozstrzygające jest tempo i zakres reakcji organu nadzoru budowlanego, co już nastąpiło.</w:t>
            </w:r>
          </w:p>
        </w:tc>
      </w:tr>
      <w:tr>
        <w:tc>
          <w:tcPr>
            <w:tcW w:type="dxa" w:w="1600"/>
          </w:tcPr>
          <w:p>
            <w:r>
              <w:rPr>
                <w:b w:val="false"/>
                <w:bCs w:val="false"/>
                <w:sz w:val="18"/>
                <w:szCs w:val="18"/>
              </w:rPr>
              <w:t xml:space="preserve">Rozkład odpowiedzialności odszkodowawczej</w:t>
            </w:r>
          </w:p>
        </w:tc>
        <w:tc>
          <w:tcPr>
            <w:tcW w:type="dxa" w:w="2600"/>
          </w:tcPr>
          <w:p>
            <w:r>
              <w:rPr>
                <w:b w:val="false"/>
                <w:bCs w:val="false"/>
                <w:sz w:val="18"/>
                <w:szCs w:val="18"/>
              </w:rPr>
              <w:t xml:space="preserve">Odpowiedzialność ponosi wyłącznie gmina jako organ planistyczny, który zatwierdził plan na wadliwych podstawach.</w:t>
            </w:r>
          </w:p>
        </w:tc>
        <w:tc>
          <w:tcPr>
            <w:tcW w:type="dxa" w:w="2600"/>
          </w:tcPr>
          <w:p>
            <w:r>
              <w:rPr>
                <w:b w:val="false"/>
                <w:bCs w:val="false"/>
                <w:sz w:val="18"/>
                <w:szCs w:val="18"/>
              </w:rPr>
              <w:t xml:space="preserve">Odpowiedzialność jest podzielona: gmina za wadliwe planowanie, inwestor za realizację mimo sygnałów ostrzegawczych (kwestionowanie retencji przez Wody Polskie jeszcze przed zalaniem), a nabywcy lokali mają odrębne roszczenia wobec obu podmiotów w zależności od źródła szkody.</w:t>
            </w:r>
          </w:p>
        </w:tc>
        <w:tc>
          <w:tcPr>
            <w:tcW w:type="dxa" w:w="2600"/>
          </w:tcPr>
          <w:p>
            <w:r>
              <w:rPr>
                <w:b w:val="false"/>
                <w:bCs w:val="false"/>
                <w:sz w:val="18"/>
                <w:szCs w:val="18"/>
              </w:rPr>
              <w:t xml:space="preserve">Rozkład odpowiedzialności wymaga precyzyjnego ustalenia chronologii: co inwestor wiedział i kiedy (zastrzeżenia Wód Polskich pojawiły się już po pozwoleniu, ale przed sprzedażą części lokali) — to rozstrzyga o ewentualnej odpowiedzialności kontraktowej wobec konsumentów.</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danych o wyniku głosowania nad planem (liczba głosów, czy głosy powiązanych radnych były decydujące) — rozstrzygające dla oceny wpływu konfliktu interesów na ważność uchwały.</w:t>
      </w:r>
    </w:p>
    <w:p>
      <w:pPr>
        <w:pStyle w:val="ListParagraph"/>
        <w:numPr>
          <w:ilvl w:val="0"/>
          <w:numId w:val="1"/>
        </w:numPr>
        <w:spacing w:after="80"/>
      </w:pPr>
      <w:r>
        <w:t xml:space="preserve">Nie ustalono dokładnej treści i zakresu zastrzeżeń Wód Polskich do retencji — kluczowe dla oceny, czy zagrożenie było przewidywalne już na etapie projektowania.</w:t>
      </w:r>
    </w:p>
    <w:p>
      <w:pPr>
        <w:pStyle w:val="ListParagraph"/>
        <w:numPr>
          <w:ilvl w:val="0"/>
          <w:numId w:val="1"/>
        </w:numPr>
        <w:spacing w:after="80"/>
      </w:pPr>
      <w:r>
        <w:t xml:space="preserve">Brak informacji, czy organizacja ekologiczna i sąsiedzi formalnie zgłosili udział w poszczególnych postępowaniach (środowiskowym, budowlanym) — warunkuje to zakres ich legitymacji procesowej.</w:t>
      </w:r>
    </w:p>
    <w:p>
      <w:pPr>
        <w:pStyle w:val="ListParagraph"/>
        <w:numPr>
          <w:ilvl w:val="0"/>
          <w:numId w:val="1"/>
        </w:numPr>
        <w:spacing w:after="80"/>
      </w:pPr>
      <w:r>
        <w:t xml:space="preserve">Nie wskazano dokładnej chronologii: czy nowa mapa zagrożenia powodziowego pojawiła się przed czy po sprzedaży lokali konsumentom i uruchomieniu finansowania — rozstrzygające dla oceny dobrej wiary stron transakcji konsumenckich.</w:t>
      </w:r>
    </w:p>
    <w:p>
      <w:pPr>
        <w:pStyle w:val="ListParagraph"/>
        <w:numPr>
          <w:ilvl w:val="0"/>
          <w:numId w:val="1"/>
        </w:numPr>
        <w:spacing w:after="80"/>
      </w:pPr>
      <w:r>
        <w:t xml:space="preserve">Zakaz dopowiadania faktów: nie zakładam, że deweloper celowo podzielił przedsięwzięcie w złej wierze — kazus opisuje fakt podziału, nie ujawniając intencji, co wymaga przedstawienia obiektywnego testu funkcjonalnego związku, niezależnego od intencji.</w:t>
      </w:r>
    </w:p>
    <w:p>
      <w:pPr>
        <w:pStyle w:val="Heading2"/>
        <w:spacing w:after="150" w:before="300"/>
      </w:pPr>
      <w:r>
        <w:t xml:space="preserve">6. Rozstrzygnięcie i środek naprawczy</w:t>
      </w:r>
    </w:p>
    <w:p>
      <w:pPr>
        <w:spacing w:after="140"/>
      </w:pPr>
      <w:r>
        <w:t xml:space="preserve">Organy/sądy powinny: (1) zbadać wpływ konfliktu interesów radnych na wynik głosowania nad planem, stwierdzając nieważność uchwały tylko przy wykazanym wpływie na wynik; (2) uznać trzy elementy inwestycji za jedno przedsięwzięcie wymagające łącznej oceny oddziaływania na środowisko i skierować sprawę do ponownej, skumulowanej oceny; (3) utrzymać wstrzymanie robót przez nadzór budowlany do czasu zbadania zgodności z nową mapą zagrożenia powodziowego, niezależnie od formalnej prawomocności pozwolenia; (4) rozdzielić odpowiedzialność odszkodowawczą między gminę (wadliwe planowanie) a dewelopera (kontynuacja inwestycji mimo sygnałów Wód Polskich), z odrębnymi roszczeniami konsumentów wobec dewelopera na zasadach ochrony konsumenckiej.</w:t>
      </w:r>
    </w:p>
    <w:p>
      <w:pPr>
        <w:spacing w:after="140"/>
      </w:pPr>
      <w:r>
        <w:t xml:space="preserve">Środek naprawczy: wznowienie postępowania środowiskowego z łączną oceną skumulowanego oddziaływania trzech elementów inwestycji + utrzymanie wstrzymania robót do czasu weryfikacji zabezpieczeń przeciwpowodziowych + skierowanie sporu o pokrycie kosztów awaryjnego wału i odszkodowań do postępowania cywilnego z rozdziałem odpowiedzialności między gminę i dewelopera proporcjonalnie do stopnia przyczynienia się każdego z nich.</w:t>
      </w:r>
    </w:p>
    <w:p>
      <w:pPr>
        <w:pStyle w:val="Heading3"/>
        <w:spacing w:after="100" w:before="200"/>
      </w:pPr>
      <w:r>
        <w:t xml:space="preserve">Uwagi metodologiczne / status weryfikacji ISAP</w:t>
      </w:r>
    </w:p>
    <w:p>
      <w:pPr>
        <w:spacing w:after="140"/>
      </w:pPr>
      <w:r>
        <w:rPr>
          <w:i/>
          <w:iCs/>
          <w:sz w:val="20"/>
          <w:szCs w:val="20"/>
        </w:rPr>
        <w:t xml:space="preserve">Kazus jest w pełni fikcyjny (nazwy gminy, inwestora nie występują), lecz ramy ustawowe są rzeczywiste: ustawa o planowaniu i zagospodarowaniu przestrzennym (Dz.U. 2003 poz. 717 z późn. zm.), Prawo budowlane (Dz.U. 1994 poz. 414 z późn. zm.), ustawa o udostępnianiu informacji o środowisku i jego ochronie, udziale społeczeństwa oraz o ocenach oddziaływania na środowisko ('ustawa OOŚ', Dz.U. 2008 poz. 1227 z późn. zm.), Prawo wodne (Dz.U. 2017 poz. 1566 z późn. zm.) — status obowiązywania i aktualne numery artykułów dot. wyłączenia radnego, wznowienia postępowania i kompetencji Wód Polskich wymagają odrębnej weryfikacji w ISAP przed użyciem zawodowym; w tym opracowaniu zweryfikowano jedynie fakt aktualnego obowiązywania samych ustaw jako aktów bazowych (linki ELI wskazane w banku kazusów), nie każdego cytowanego przepisu szczegółowego.</w:t>
      </w:r>
    </w:p>
    <w:p>
      <w:r>
        <w:br w:type="page"/>
      </w:r>
    </w:p>
    <w:p>
      <w:pPr>
        <w:spacing w:after="60"/>
      </w:pPr>
      <w:r>
        <w:rPr>
          <w:b/>
          <w:bCs/>
          <w:color w:val="1F3864"/>
          <w:sz w:val="32"/>
          <w:szCs w:val="32"/>
        </w:rPr>
        <w:t xml:space="preserve">PL-03  Fundacja po śmierci fundatora</w:t>
      </w:r>
    </w:p>
    <w:p>
      <w:pPr>
        <w:spacing w:after="200"/>
      </w:pPr>
      <w:r>
        <w:rPr>
          <w:i/>
          <w:iCs/>
          <w:sz w:val="22"/>
          <w:szCs w:val="22"/>
        </w:rPr>
        <w:t xml:space="preserve">Sukcesja, zachowek, majątek małżeński, governance, upadłość i podatki</w:t>
      </w:r>
    </w:p>
    <w:p>
      <w:pPr>
        <w:spacing w:after="60"/>
      </w:pPr>
      <w:r>
        <w:rPr>
          <w:b/>
          <w:bCs/>
        </w:rPr>
        <w:t xml:space="preserve">Poziom: </w:t>
      </w:r>
      <w:r>
        <w:t xml:space="preserve">ekstremalna</w:t>
      </w:r>
    </w:p>
    <w:p>
      <w:pPr>
        <w:spacing w:after="60"/>
      </w:pPr>
      <w:r>
        <w:rPr>
          <w:b/>
          <w:bCs/>
        </w:rPr>
        <w:t xml:space="preserve">Sugerowany czas: </w:t>
      </w:r>
      <w:r>
        <w:t xml:space="preserve">6–8 godzin</w:t>
      </w:r>
    </w:p>
    <w:p>
      <w:pPr>
        <w:spacing w:after="60"/>
      </w:pPr>
      <w:r>
        <w:rPr>
          <w:b/>
          <w:bCs/>
        </w:rPr>
        <w:t xml:space="preserve">Role: </w:t>
      </w:r>
      <w:r>
        <w:t xml:space="preserve">fundacja rodzinna; małżonka; dzieci; wierzyciele; zarząd spółki</w:t>
      </w:r>
    </w:p>
    <w:p>
      <w:pPr>
        <w:spacing w:after="100"/>
      </w:pPr>
    </w:p>
    <w:p>
      <w:pPr>
        <w:pStyle w:val="Heading2"/>
        <w:spacing w:after="150" w:before="300"/>
      </w:pPr>
      <w:r>
        <w:t xml:space="preserve">1. Teza wstępna</w:t>
      </w:r>
    </w:p>
    <w:p>
      <w:pPr>
        <w:spacing w:after="140"/>
      </w:pPr>
      <w:r>
        <w:t xml:space="preserve">Wniesienie do fundacji rodzinnej składników majątku wspólnego małżeńskiego bez zgody żony jest co do zasady bezskuteczne wobec niej w zakresie jej udziału, co otwiera roszczenie o rozliczenie majątku wspólnego niezależnie od formalnego wniesienia do fundacji; darowizny i transfery dokonane za życia fundatora (w tym przeniesienie znaku towarowego po zaniżonej cenie) podlegają doliczeniu do substratu zachowku na zasadach ogólnych Kodeksu cywilnego, a świadczenia fundacyjne na rzecz córki mogą podlegać analogicznej ocenie jako funkcjonalny odpowiednik darowizny wpływającej na wysokość zachowku syna i żony; wierzyciele osobiści fundatora/spółki mogą kwestionować transfery do fundacji w drodze skargi pauliańskiej, jeżeli wykazana zostanie ich krzywdząca funkcja wobec wierzycieli i świadomość tego stanu po stronie fundacji jako osoby trzeciej uzyskującej korzyść; sprzedaż nieruchomości podmiotowi powiązanemu w warunkach konfliktu interesów oraz preferencyjne wypłaty dla córki przy jednoczesnej utracie płynności przez spółkę wymagają odrębnej oceny governance fundacji (nadzór, odpowiedzialność zarządu) niezależnie od równolegle toczącego się kryzysu niewypłacalności spółki, które to reżimy — rodzinny/spadkowy i upadłościowy — należy prowadzić i oceniać rozłącznie.</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 cywilny (spadkowy) — dział spadku, roszczenia o zachowek, rozliczenie majątku wspólnego małżeńskiego (Kodeks cywilny, Kodeks rodzinny i opiekuńczy w zakresie majątku wspólnego).</w:t>
      </w:r>
    </w:p>
    <w:p>
      <w:pPr>
        <w:pStyle w:val="ListParagraph"/>
        <w:numPr>
          <w:ilvl w:val="0"/>
          <w:numId w:val="1"/>
        </w:numPr>
        <w:spacing w:after="80"/>
      </w:pPr>
      <w:r>
        <w:t xml:space="preserve">Sąd rejestrowy — nadzór nad fundacją rodzinną w zakresie zgodności działania ze statutem i ustawą o fundacji rodzinnej (Dz.U. 2023 poz. 326).</w:t>
      </w:r>
    </w:p>
    <w:p>
      <w:pPr>
        <w:pStyle w:val="ListParagraph"/>
        <w:numPr>
          <w:ilvl w:val="0"/>
          <w:numId w:val="1"/>
        </w:numPr>
        <w:spacing w:after="80"/>
      </w:pPr>
      <w:r>
        <w:t xml:space="preserve">Sąd gospodarczy — postępowanie restrukturyzacyjne/upadłościowe spółki (Prawo upadłościowe) odrębne od kryzysu fundacji, choć powiązane faktycznie przez wspólne aktywa (znak towarowy, opłaty licencyjne).</w:t>
      </w:r>
    </w:p>
    <w:p>
      <w:pPr>
        <w:pStyle w:val="ListParagraph"/>
        <w:numPr>
          <w:ilvl w:val="0"/>
          <w:numId w:val="1"/>
        </w:numPr>
        <w:spacing w:after="80"/>
      </w:pPr>
      <w:r>
        <w:t xml:space="preserve">Organ podatkowy (Krajowa Administracja Skarbowa) — kontrola przepływów między fundacją a spółką (opłaty licencyjne, cena transferu znaku towarowego) pod kątem cen transferowych i ewentualnego unikania opodatkowania (ustawa o CIT, w tym opodatkowanie fundacji rodzinnej w zakresie działalności wykraczającej poza dozwoloną).</w:t>
      </w:r>
    </w:p>
    <w:p>
      <w:pPr>
        <w:pStyle w:val="ListParagraph"/>
        <w:numPr>
          <w:ilvl w:val="0"/>
          <w:numId w:val="1"/>
        </w:numPr>
        <w:spacing w:after="80"/>
      </w:pPr>
      <w:r>
        <w:t xml:space="preserve">Wierzyciele — legitymacja do skargi pauliańskiej (Kodeks cywilny) wobec transferów fundatora do fundacji dokonanych z pokrzywdzeniem wierzycieli.</w:t>
      </w:r>
    </w:p>
    <w:p>
      <w:pPr>
        <w:pStyle w:val="Heading2"/>
        <w:spacing w:after="150" w:before="300"/>
      </w:pPr>
      <w:r>
        <w:t xml:space="preserve">3. Przesłanki roszczeń / zarzutów / środków ochrony</w:t>
      </w:r>
    </w:p>
    <w:p>
      <w:pPr>
        <w:pStyle w:val="Heading3"/>
        <w:spacing w:after="100" w:before="200"/>
      </w:pPr>
      <w:r>
        <w:t xml:space="preserve">Skuteczność wniesienia majątku wspólnego do fundacji</w:t>
      </w:r>
    </w:p>
    <w:p>
      <w:pPr>
        <w:pStyle w:val="ListParagraph"/>
        <w:numPr>
          <w:ilvl w:val="0"/>
          <w:numId w:val="1"/>
        </w:numPr>
        <w:spacing w:after="80"/>
      </w:pPr>
      <w:r>
        <w:t xml:space="preserve">Rozporządzenie składnikiem majątku wspólnego małżonków co do zasady wymaga zgody drugiego małżonka, zwłaszcza przy czynnościach przekraczających zwykły zarząd (jak wniesienie znacznych aktywów do nowej struktury) — brak zgody żony rodzi jej roszczenie o rozliczenie, niezależnie od formalnej skuteczności wniesienia wobec fundacji jako takiej.</w:t>
      </w:r>
    </w:p>
    <w:p>
      <w:pPr>
        <w:pStyle w:val="ListParagraph"/>
        <w:numPr>
          <w:ilvl w:val="0"/>
          <w:numId w:val="1"/>
        </w:numPr>
        <w:spacing w:after="80"/>
      </w:pPr>
      <w:r>
        <w:t xml:space="preserve">Wymaga ustalenia, które konkretnie składniki (akcje, nieruchomości) pochodziły z majątku wspólnego, a które z majątku osobistego fundatora — kazus nie precyzuje proporcji.</w:t>
      </w:r>
    </w:p>
    <w:p>
      <w:pPr>
        <w:pStyle w:val="Heading3"/>
        <w:spacing w:after="100" w:before="200"/>
      </w:pPr>
      <w:r>
        <w:t xml:space="preserve">Roszczenia o zachowek przy transferach za życia</w:t>
      </w:r>
    </w:p>
    <w:p>
      <w:pPr>
        <w:pStyle w:val="ListParagraph"/>
        <w:numPr>
          <w:ilvl w:val="0"/>
          <w:numId w:val="1"/>
        </w:numPr>
        <w:spacing w:after="80"/>
      </w:pPr>
      <w:r>
        <w:t xml:space="preserve">Darowizny dokonane przez spadkodawcę na rzecz spadkobierców i osób trzecich podlegają doliczeniu do substratu zachowku na zasadach i w terminach określonych Kodeksem cywilnym — przeniesienie znaku towarowego po zaniżonej cenie może być kwalifikowane jako darowizna ukryta (w części odpowiadającej różnicy wartości).</w:t>
      </w:r>
    </w:p>
    <w:p>
      <w:pPr>
        <w:pStyle w:val="ListParagraph"/>
        <w:numPr>
          <w:ilvl w:val="0"/>
          <w:numId w:val="1"/>
        </w:numPr>
        <w:spacing w:after="80"/>
      </w:pPr>
      <w:r>
        <w:t xml:space="preserve">Świadczenia fundacyjne uprzywilejowujące córkę mogą być traktowane funkcjonalnie analogicznie do darowizny dla celów obliczenia zachowku syna i żony, mimo formalnie odrębnej podstawy prawnej (statut fundacji, nie testament).</w:t>
      </w:r>
    </w:p>
    <w:p>
      <w:pPr>
        <w:pStyle w:val="ListParagraph"/>
        <w:numPr>
          <w:ilvl w:val="0"/>
          <w:numId w:val="1"/>
        </w:numPr>
        <w:spacing w:after="80"/>
      </w:pPr>
      <w:r>
        <w:t xml:space="preserve">Uzależnienie świadczeń syna od terapii wymaga oceny zgodności z zasadami współżycia społecznego i granicami swobody fundatora w kształtowaniu statutu — nie jest automatycznie nieważne, ale podlega kontroli, jeśli faktycznie uniemożliwia realizację uprawnień zachowkowych.</w:t>
      </w:r>
    </w:p>
    <w:p>
      <w:pPr>
        <w:pStyle w:val="Heading3"/>
        <w:spacing w:after="100" w:before="200"/>
      </w:pPr>
      <w:r>
        <w:t xml:space="preserve">Ochrona wierzycieli — skarga pauliańska</w:t>
      </w:r>
    </w:p>
    <w:p>
      <w:pPr>
        <w:pStyle w:val="ListParagraph"/>
        <w:numPr>
          <w:ilvl w:val="0"/>
          <w:numId w:val="1"/>
        </w:numPr>
        <w:spacing w:after="80"/>
      </w:pPr>
      <w:r>
        <w:t xml:space="preserve">Przesłanki: czynność prawna dłużnika z pokrzywdzeniem wierzycieli, uzyskanie korzyści majątkowej przez osobę trzecią (fundację), świadomość pokrzywdzenia po stronie dłużnika i (przy czynności nieodpłatnej lub z osobą bliską) niewymagana dodatkowa przesłanka świadomości osoby trzeciej.</w:t>
      </w:r>
    </w:p>
    <w:p>
      <w:pPr>
        <w:pStyle w:val="ListParagraph"/>
        <w:numPr>
          <w:ilvl w:val="0"/>
          <w:numId w:val="1"/>
        </w:numPr>
        <w:spacing w:after="80"/>
      </w:pPr>
      <w:r>
        <w:t xml:space="preserve">Wniesienie majątku do fundacji rodzinnej, jako czynność co do zasady nieodpłatna dokonana z osobami bliskimi (beneficjentami), korzysta z ułatwionego reżimu dowodowego skargi pauliańskiej.</w:t>
      </w:r>
    </w:p>
    <w:p>
      <w:pPr>
        <w:pStyle w:val="Heading3"/>
        <w:spacing w:after="100" w:before="200"/>
      </w:pPr>
      <w:r>
        <w:t xml:space="preserve">Governance fundacji i konflikt interesów</w:t>
      </w:r>
    </w:p>
    <w:p>
      <w:pPr>
        <w:pStyle w:val="ListParagraph"/>
        <w:numPr>
          <w:ilvl w:val="0"/>
          <w:numId w:val="1"/>
        </w:numPr>
        <w:spacing w:after="80"/>
      </w:pPr>
      <w:r>
        <w:t xml:space="preserve">Wypłaty na rzecz beneficjentki będącej jednocześnie osobą zaangażowaną w zarządzanie/biznes rodzinny, dokonywane w okresie kryzysu płynności spółki powiązanej, rodzą pytanie o zgodność z obowiązkami lojalności organów fundacji wobec jej celu i wszystkich beneficjentów.</w:t>
      </w:r>
    </w:p>
    <w:p>
      <w:pPr>
        <w:pStyle w:val="ListParagraph"/>
        <w:numPr>
          <w:ilvl w:val="0"/>
          <w:numId w:val="1"/>
        </w:numPr>
        <w:spacing w:after="80"/>
      </w:pPr>
      <w:r>
        <w:t xml:space="preserve">Planowana sprzedaż nieruchomości podmiotowi powiązanemu wymaga oceny pod kątem rynkowości warunków transakcji i potencjalnego konfliktu interesów zarządu fundacji.</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Status majątku wspólnego w fundacji</w:t>
            </w:r>
          </w:p>
        </w:tc>
        <w:tc>
          <w:tcPr>
            <w:tcW w:type="dxa" w:w="2600"/>
          </w:tcPr>
          <w:p>
            <w:r>
              <w:rPr>
                <w:b w:val="false"/>
                <w:bCs w:val="false"/>
                <w:sz w:val="18"/>
                <w:szCs w:val="18"/>
              </w:rPr>
              <w:t xml:space="preserve">Wniesienie było w pełni skuteczne — Jan działał jako jedyny formalny właściciel akcji i nieruchomości figurujących na jego nazwisko.</w:t>
            </w:r>
          </w:p>
        </w:tc>
        <w:tc>
          <w:tcPr>
            <w:tcW w:type="dxa" w:w="2600"/>
          </w:tcPr>
          <w:p>
            <w:r>
              <w:rPr>
                <w:b w:val="false"/>
                <w:bCs w:val="false"/>
                <w:sz w:val="18"/>
                <w:szCs w:val="18"/>
              </w:rPr>
              <w:t xml:space="preserve">Skuteczność wobec żony wymaga jej zgody na rozporządzenie majątkiem wspólnym — jej brak czyni czynność bezskuteczną w zakresie jej udziału, niezależnie od formalnego zapisu własności.</w:t>
            </w:r>
          </w:p>
        </w:tc>
        <w:tc>
          <w:tcPr>
            <w:tcW w:type="dxa" w:w="2600"/>
          </w:tcPr>
          <w:p>
            <w:r>
              <w:rPr>
                <w:b w:val="false"/>
                <w:bCs w:val="false"/>
                <w:sz w:val="18"/>
                <w:szCs w:val="18"/>
              </w:rPr>
              <w:t xml:space="preserve">Rozstrzygające jest ustalenie, czy konkretne składniki majątkowe rzeczywiście wchodziły w skład majątku wspólnego (co do zasady dorobek małżeński) — kazus wskazuje to jako sporne, nie przesądzone, co wymaga odrębnego postępowania dowodowego.</w:t>
            </w:r>
          </w:p>
        </w:tc>
      </w:tr>
      <w:tr>
        <w:tc>
          <w:tcPr>
            <w:tcW w:type="dxa" w:w="1600"/>
          </w:tcPr>
          <w:p>
            <w:r>
              <w:rPr>
                <w:b w:val="false"/>
                <w:bCs w:val="false"/>
                <w:sz w:val="18"/>
                <w:szCs w:val="18"/>
              </w:rPr>
              <w:t xml:space="preserve">Zaliczenie transferów na zachowek</w:t>
            </w:r>
          </w:p>
        </w:tc>
        <w:tc>
          <w:tcPr>
            <w:tcW w:type="dxa" w:w="2600"/>
          </w:tcPr>
          <w:p>
            <w:r>
              <w:rPr>
                <w:b w:val="false"/>
                <w:bCs w:val="false"/>
                <w:sz w:val="18"/>
                <w:szCs w:val="18"/>
              </w:rPr>
              <w:t xml:space="preserve">Przeniesienie znaku towarowego było transakcją komercyjną między odrębnymi podmiotami (Jan → fundacja, potem licencja dla spółki), nie darowizną podlegającą doliczeniu.</w:t>
            </w:r>
          </w:p>
        </w:tc>
        <w:tc>
          <w:tcPr>
            <w:tcW w:type="dxa" w:w="2600"/>
          </w:tcPr>
          <w:p>
            <w:r>
              <w:rPr>
                <w:b w:val="false"/>
                <w:bCs w:val="false"/>
                <w:sz w:val="18"/>
                <w:szCs w:val="18"/>
              </w:rPr>
              <w:t xml:space="preserve">Zaniżona cena przeniesienia w połączeniu z rodzinnym charakterem odbiorcy wskazuje na ukrytą darowiznę w części odpowiadającej różnicy do wartości rynkowej, podlegającą doliczeniu do substratu zachowku.</w:t>
            </w:r>
          </w:p>
        </w:tc>
        <w:tc>
          <w:tcPr>
            <w:tcW w:type="dxa" w:w="2600"/>
          </w:tcPr>
          <w:p>
            <w:r>
              <w:rPr>
                <w:b w:val="false"/>
                <w:bCs w:val="false"/>
                <w:sz w:val="18"/>
                <w:szCs w:val="18"/>
              </w:rPr>
              <w:t xml:space="preserve">Kwalifikacja zależy od wykazania rzeczywistej różnicy wartości i celu transakcji — sama 'wysoka opłata licencyjna' płacona później przez spółkę jest odrębną okolicznością, wskazującą raczej na strukturę biznesową niż jednoznacznie na ukrytą darowiznę; wymaga wyceny.</w:t>
            </w:r>
          </w:p>
        </w:tc>
      </w:tr>
      <w:tr>
        <w:tc>
          <w:tcPr>
            <w:tcW w:type="dxa" w:w="1600"/>
          </w:tcPr>
          <w:p>
            <w:r>
              <w:rPr>
                <w:b w:val="false"/>
                <w:bCs w:val="false"/>
                <w:sz w:val="18"/>
                <w:szCs w:val="18"/>
              </w:rPr>
              <w:t xml:space="preserve">Zasadność uzależnienia świadczeń syna od terapii</w:t>
            </w:r>
          </w:p>
        </w:tc>
        <w:tc>
          <w:tcPr>
            <w:tcW w:type="dxa" w:w="2600"/>
          </w:tcPr>
          <w:p>
            <w:r>
              <w:rPr>
                <w:b w:val="false"/>
                <w:bCs w:val="false"/>
                <w:sz w:val="18"/>
                <w:szCs w:val="18"/>
              </w:rPr>
              <w:t xml:space="preserve">To uzasadniony, ochronny warunek statutowy w ramach swobody fundatora w kształtowaniu celów fundacji rodzinnej.</w:t>
            </w:r>
          </w:p>
        </w:tc>
        <w:tc>
          <w:tcPr>
            <w:tcW w:type="dxa" w:w="2600"/>
          </w:tcPr>
          <w:p>
            <w:r>
              <w:rPr>
                <w:b w:val="false"/>
                <w:bCs w:val="false"/>
                <w:sz w:val="18"/>
                <w:szCs w:val="18"/>
              </w:rPr>
              <w:t xml:space="preserve">Warunek stanowi obejście prawa do zachowku, jeśli w praktyce uniemożliwia synowi otrzymanie świadczeń odpowiadających jego uprawnieniom ustawowym.</w:t>
            </w:r>
          </w:p>
        </w:tc>
        <w:tc>
          <w:tcPr>
            <w:tcW w:type="dxa" w:w="2600"/>
          </w:tcPr>
          <w:p>
            <w:r>
              <w:rPr>
                <w:b w:val="false"/>
                <w:bCs w:val="false"/>
                <w:sz w:val="18"/>
                <w:szCs w:val="18"/>
              </w:rPr>
              <w:t xml:space="preserve">Fundacja rodzinna i zachowek to odrębne reżimy — warunek statutowy dotyczy świadczeń fundacyjnych (uznaniowych), nie samego roszczenia o zachowek, które przysługuje wprost od spadku niezależnie od statutu fundacji; oba roszczenia należy rozdzielić.</w:t>
            </w:r>
          </w:p>
        </w:tc>
      </w:tr>
      <w:tr>
        <w:tc>
          <w:tcPr>
            <w:tcW w:type="dxa" w:w="1600"/>
          </w:tcPr>
          <w:p>
            <w:r>
              <w:rPr>
                <w:b w:val="false"/>
                <w:bCs w:val="false"/>
                <w:sz w:val="18"/>
                <w:szCs w:val="18"/>
              </w:rPr>
              <w:t xml:space="preserve">Zaskarżalność transferów przez wierzycieli</w:t>
            </w:r>
          </w:p>
        </w:tc>
        <w:tc>
          <w:tcPr>
            <w:tcW w:type="dxa" w:w="2600"/>
          </w:tcPr>
          <w:p>
            <w:r>
              <w:rPr>
                <w:b w:val="false"/>
                <w:bCs w:val="false"/>
                <w:sz w:val="18"/>
                <w:szCs w:val="18"/>
              </w:rPr>
              <w:t xml:space="preserve">Transfery nastąpiły przed powstaniem/ujawnieniem konkretnych roszczeń wierzycieli — brak przesłanki pokrzywdzenia istniejących w tej dacie wierzytelności.</w:t>
            </w:r>
          </w:p>
        </w:tc>
        <w:tc>
          <w:tcPr>
            <w:tcW w:type="dxa" w:w="2600"/>
          </w:tcPr>
          <w:p>
            <w:r>
              <w:rPr>
                <w:b w:val="false"/>
                <w:bCs w:val="false"/>
                <w:sz w:val="18"/>
                <w:szCs w:val="18"/>
              </w:rPr>
              <w:t xml:space="preserve">Ujawnione poręczenie i roszczenie odszkodowawcze wskazują na istnienie zobowiązań już w okresie dokonywania transferów, co uzasadnia skargę pauliańską niezależnie od formalnej daty ich 'ujawnienia'.</w:t>
            </w:r>
          </w:p>
        </w:tc>
        <w:tc>
          <w:tcPr>
            <w:tcW w:type="dxa" w:w="2600"/>
          </w:tcPr>
          <w:p>
            <w:r>
              <w:rPr>
                <w:b w:val="false"/>
                <w:bCs w:val="false"/>
                <w:sz w:val="18"/>
                <w:szCs w:val="18"/>
              </w:rPr>
              <w:t xml:space="preserve">Rozstrzygające jest ustalenie daty powstania (nie ujawnienia) zobowiązań wierzycieli względem daty transferów do fundacji — kazus nie precyzuje chronologii, co jest kluczową luką faktyczną wymagającą dalszego postępowania dowodowego.</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informacji, które konkretnie składniki majątkowe (akcje, nieruchomości) pochodziły z majątku wspólnego małżonków, a które z majątku osobistego Jana — rozstrzygające dla roszczenia żony.</w:t>
      </w:r>
    </w:p>
    <w:p>
      <w:pPr>
        <w:pStyle w:val="ListParagraph"/>
        <w:numPr>
          <w:ilvl w:val="0"/>
          <w:numId w:val="1"/>
        </w:numPr>
        <w:spacing w:after="80"/>
      </w:pPr>
      <w:r>
        <w:t xml:space="preserve">Nie ustalono rzeczywistej wartości rynkowej znaku towarowego w chwili przeniesienia do fundacji ani wysokości zapłaconej ceny — niezbędne do wyliczenia ewentualnej ukrytej darowizny.</w:t>
      </w:r>
    </w:p>
    <w:p>
      <w:pPr>
        <w:pStyle w:val="ListParagraph"/>
        <w:numPr>
          <w:ilvl w:val="0"/>
          <w:numId w:val="1"/>
        </w:numPr>
        <w:spacing w:after="80"/>
      </w:pPr>
      <w:r>
        <w:t xml:space="preserve">Brak dokładnej chronologii powstania zobowiązań wierzycieli (poręczenie, roszczenie odszkodowawcze) względem dat poszczególnych transferów do fundacji — kluczowe dla skargi pauliańskiej.</w:t>
      </w:r>
    </w:p>
    <w:p>
      <w:pPr>
        <w:pStyle w:val="ListParagraph"/>
        <w:numPr>
          <w:ilvl w:val="0"/>
          <w:numId w:val="1"/>
        </w:numPr>
        <w:spacing w:after="80"/>
      </w:pPr>
      <w:r>
        <w:t xml:space="preserve">Nie wskazano warunków rynkowości planowanej sprzedaży nieruchomości podmiotowi powiązanemu — rozstrzygające dla oceny naruszenia obowiązków lojalności zarządu fundacji.</w:t>
      </w:r>
    </w:p>
    <w:p>
      <w:pPr>
        <w:pStyle w:val="ListParagraph"/>
        <w:numPr>
          <w:ilvl w:val="0"/>
          <w:numId w:val="1"/>
        </w:numPr>
        <w:spacing w:after="80"/>
      </w:pPr>
      <w:r>
        <w:t xml:space="preserve">Zakaz dopowiadania faktów: nie zakładam złej wiary Jana przy zakładaniu fundacji ani celowego pokrzywdzenia żony czy wierzycieli — kazus opisuje obiektywne fakty transferów, nie ujawniając intencji, którą należy oceniać przez pryzmat obiektywnych przesłanek ustawowych, nie domysłów.</w:t>
      </w:r>
    </w:p>
    <w:p>
      <w:pPr>
        <w:pStyle w:val="Heading2"/>
        <w:spacing w:after="150" w:before="300"/>
      </w:pPr>
      <w:r>
        <w:t xml:space="preserve">6. Rozstrzygnięcie i środek naprawczy</w:t>
      </w:r>
    </w:p>
    <w:p>
      <w:pPr>
        <w:spacing w:after="140"/>
      </w:pPr>
      <w:r>
        <w:t xml:space="preserve">Sąd powinien: (1) w odrębnym postępowaniu ustalić skład majątku wspólnego i przyznać żonie rozliczenie jej udziału w składnikach wniesionych do fundacji bez jej zgody; (2) w postępowaniu o zachowek doliczyć do substratu wartość ukrytej darowizny wynikającej z zaniżonej ceny znaku towarowego oraz ocenić świadczenia fundacyjne dla córki jako funkcjonalnie relewantne dla wyliczenia zachowku syna i żony; (3) utrzymać roszczenie syna o zachowek niezależnie od statutowego warunku terapii, o ile warunek ten faktycznie uniemożliwia realizację jego uprawnień ustawowych; (4) umożliwić wierzycielom skargę pauliańską wobec transferów dokonanych po powstaniu ich wierzytelności; (5) prowadzić odrębnie kryzys płynności spółki (prawo upadłościowe) od sporu rodzinnego o fundację, z odrębną oceną odpowiedzialności zarządu fundacji za wypłaty i planowaną transakcję powiązaną.</w:t>
      </w:r>
    </w:p>
    <w:p>
      <w:pPr>
        <w:spacing w:after="140"/>
      </w:pPr>
      <w:r>
        <w:t xml:space="preserve">Środek naprawczy: rozliczenie majątku wspólnego między spadkobiercami a żoną + zasądzenie zachowku z uwzględnieniem doliczonych darowizn (w tym ukrytej) + zawieszenie planowanej sprzedaży nieruchomości podmiotowi powiązanemu do czasu wykazania warunków rynkowych + dopuszczenie skargi pauliańskiej wierzycieli co do transferów dokonanych po powstaniu ich wierzytelności.</w:t>
      </w:r>
    </w:p>
    <w:p>
      <w:pPr>
        <w:pStyle w:val="Heading3"/>
        <w:spacing w:after="100" w:before="200"/>
      </w:pPr>
      <w:r>
        <w:t xml:space="preserve">Uwagi metodologiczne / status weryfikacji ISAP</w:t>
      </w:r>
    </w:p>
    <w:p>
      <w:pPr>
        <w:spacing w:after="140"/>
      </w:pPr>
      <w:r>
        <w:rPr>
          <w:i/>
          <w:iCs/>
          <w:sz w:val="20"/>
          <w:szCs w:val="20"/>
        </w:rPr>
        <w:t xml:space="preserve">Zweryfikowano status: ustawa z dnia 26 stycznia 2023 r. o fundacji rodzinnej (Dz.U. 2023 poz. 326) — akt rzeczywisty i obowiązujący od maja 2023 r. (wskazany w banku kazusów jako źródło). Kodeks cywilny (Dz.U. 1964 poz. 93), Prawo upadłościowe (Dz.U. 2003 poz. 535) i ustawa o CIT (Dz.U. 1992 poz. 86) to stabilne, wielokrotnie nowelizowane akty bazowe — aktualne brzmienie konkretnych przepisów dot. zachowku, skargi pauliańskiej i opodatkowania fundacji rodzinnej (w tym 15% CIT od świadczeń na rzecz beneficjentów oraz sankcyjna stawka za działalność wykraczającą poza dozwoloną) wymaga odrębnej weryfikacji w ISAP przed użyciem zawodowym — nie wykonano jej w pełnym zakresie w tym opracowaniu.</w:t>
      </w:r>
    </w:p>
    <w:p>
      <w:r>
        <w:br w:type="page"/>
      </w:r>
    </w:p>
    <w:p>
      <w:pPr>
        <w:spacing w:after="60"/>
      </w:pPr>
      <w:r>
        <w:rPr>
          <w:b/>
          <w:bCs/>
          <w:color w:val="1F3864"/>
          <w:sz w:val="32"/>
          <w:szCs w:val="32"/>
        </w:rPr>
        <w:t xml:space="preserve">PL-04  Szpital podpowiada diagnozę</w:t>
      </w:r>
    </w:p>
    <w:p>
      <w:pPr>
        <w:spacing w:after="200"/>
      </w:pPr>
      <w:r>
        <w:rPr>
          <w:i/>
          <w:iCs/>
          <w:sz w:val="22"/>
          <w:szCs w:val="22"/>
        </w:rPr>
        <w:t xml:space="preserve">Prawa pacjenta, błąd medyczny, wyrób medyczny, AI i odpowiedzialność wielopodmiotowa</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pacjentka; szpital; lekarz; producent; ubezpieczyciel; RPP</w:t>
      </w:r>
    </w:p>
    <w:p>
      <w:pPr>
        <w:spacing w:after="100"/>
      </w:pPr>
    </w:p>
    <w:p>
      <w:pPr>
        <w:pStyle w:val="Heading2"/>
        <w:spacing w:after="150" w:before="300"/>
      </w:pPr>
      <w:r>
        <w:t xml:space="preserve">1. Teza wstępna</w:t>
      </w:r>
    </w:p>
    <w:p>
      <w:pPr>
        <w:spacing w:after="140"/>
      </w:pPr>
      <w:r>
        <w:t xml:space="preserve">Lekarz akceptujący wynik systemu MedPrompt bez pełnego badania klinicznego przy nietypowych objawach udaru nie dochował standardu należytej staranności zawodowej, niezależnie od formalnego statusu systemu jako 'wsparcia' — sam interfejs nazywający wynik 'rekomendacją kliniczną' wzmacnia, a nie osłabia, oczekiwanie profesjonalnej weryfikacji, nie automatycznego podążania za nim; szpital ponosi odrębną odpowiedzialność organizacyjną za brak przeszkolenia personelu po aktualizacji zwiększającej liczbę błędów oraz za skierowanie ostrzeżenia wyłącznie do działu IT z pominięciem personelu medycznego — to samodzielne naruszenie obowiązków podmiotu leczniczego niezależne od winy indywidualnego lekarza; producent odpowiada na zasadach odpowiedzialności za produkt niebezpieczny/wadliwy wyrób medyczny za wdrożenie aktualizacji zwiększającej ryzyko błędu bez adekwatnego powiadomienia użytkowników, przy czym ograniczenie audytu w umowie z integratorem/szpitalem nie jest skuteczne wobec pacjentki jako osoby trzeciej i nie wyłącza odpowiedzialności deliktowej; braki w dokumentacji (niepełne dane wejściowe, brak wersji modelu) nie działają na niekorzyść pacjentki — zgodnie z ogólną zasadą rozkładu ciężaru dowodu w sprawach medycznych wspieranej domniemaniami faktycznymi, niekompletność dokumentacji leżącej w gestii szpitala/producenta powinna skutkować złagodzeniem wymogów dowodowych po stronie poszkodowanej co do przebiegu przyczynowego.</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 cywilny — powództwo o odszkodowanie i zadośćuczynienie przeciwko szpitalowi (odpowiedzialność podmiotu leczniczego, w tym za personel — art. 430 k.c. i przepisy szczególne o działalności leczniczej) oraz ewentualnie przeciwko producentowi (odpowiedzialność za produkt/wyrób medyczny).</w:t>
      </w:r>
    </w:p>
    <w:p>
      <w:pPr>
        <w:pStyle w:val="ListParagraph"/>
        <w:numPr>
          <w:ilvl w:val="0"/>
          <w:numId w:val="1"/>
        </w:numPr>
        <w:spacing w:after="80"/>
      </w:pPr>
      <w:r>
        <w:t xml:space="preserve">Rzecznik Praw Pacjenta (RPP) — postępowanie w sprawie zdarzenia medycznego (uproszczony tryb dochodzenia roszczeń) oraz kontrola przestrzegania praw pacjenta, w tym prawa do informacji i świadczeń zdrowotnych odpowiadających aktualnej wiedzy medycznej.</w:t>
      </w:r>
    </w:p>
    <w:p>
      <w:pPr>
        <w:pStyle w:val="ListParagraph"/>
        <w:numPr>
          <w:ilvl w:val="0"/>
          <w:numId w:val="1"/>
        </w:numPr>
        <w:spacing w:after="80"/>
      </w:pPr>
      <w:r>
        <w:t xml:space="preserve">Urząd Rejestracji Produktów Leczniczych, Wyrobów Medycznych i Produktów Biobójczych — nadzór nad bezpieczeństwem wyrobu medycznego, w tym obowiązek zgłoszenia incydentu związanego z aktualizacją zwiększającą liczbę błędów (system wigilancji, ustawa o wyrobach medycznych).</w:t>
      </w:r>
    </w:p>
    <w:p>
      <w:pPr>
        <w:pStyle w:val="ListParagraph"/>
        <w:numPr>
          <w:ilvl w:val="0"/>
          <w:numId w:val="1"/>
        </w:numPr>
        <w:spacing w:after="80"/>
      </w:pPr>
      <w:r>
        <w:t xml:space="preserve">AI Act (rozporządzenie UE 2024/1689) — kwalifikacja MedPrompt jako systemu AI wysokiego ryzyka (systemy AI stanowiące komponent bezpieczeństwa wyrobu medycznego lub same będące wyrobem medycznym podlegającym ocenie zgodności) z obowiązkami transparentności, nadzoru ludzkiego i zarządzania ryzykiem po wdrożeniu.</w:t>
      </w:r>
    </w:p>
    <w:p>
      <w:pPr>
        <w:pStyle w:val="ListParagraph"/>
        <w:numPr>
          <w:ilvl w:val="0"/>
          <w:numId w:val="1"/>
        </w:numPr>
        <w:spacing w:after="80"/>
      </w:pPr>
      <w:r>
        <w:t xml:space="preserve">Ubezpieczyciele — spór o zakres pokrycia polis OC szpitala, lekarza i producenta — rozstrzygany na drodze cywilnej równolegle do ustalenia odpowiedzialności podmiotów ubezpieczonych.</w:t>
      </w:r>
    </w:p>
    <w:p>
      <w:pPr>
        <w:pStyle w:val="Heading2"/>
        <w:spacing w:after="150" w:before="300"/>
      </w:pPr>
      <w:r>
        <w:t xml:space="preserve">3. Przesłanki roszczeń / zarzutów / środków ochrony</w:t>
      </w:r>
    </w:p>
    <w:p>
      <w:pPr>
        <w:pStyle w:val="Heading3"/>
        <w:spacing w:after="100" w:before="200"/>
      </w:pPr>
      <w:r>
        <w:t xml:space="preserve">Standard należytej staranności lekarza i szpitala</w:t>
      </w:r>
    </w:p>
    <w:p>
      <w:pPr>
        <w:pStyle w:val="ListParagraph"/>
        <w:numPr>
          <w:ilvl w:val="0"/>
          <w:numId w:val="1"/>
        </w:numPr>
        <w:spacing w:after="80"/>
      </w:pPr>
      <w:r>
        <w:t xml:space="preserve">Lekarz obowiązany jest do samodzielnej oceny klinicznej i weryfikacji rekomendacji systemu wspomagającego, zwłaszcza przy nietypowej prezentacji objawów — poleganie na niskiej ocenie ryzyka systemu bez pełnego badania przy nietypowych objawach udaru może stanowić naruszenie standardu, jeśli badanie takie było wskazane medycznie.</w:t>
      </w:r>
    </w:p>
    <w:p>
      <w:pPr>
        <w:pStyle w:val="ListParagraph"/>
        <w:numPr>
          <w:ilvl w:val="0"/>
          <w:numId w:val="1"/>
        </w:numPr>
        <w:spacing w:after="80"/>
      </w:pPr>
      <w:r>
        <w:t xml:space="preserve">Szpital jako podmiot leczniczy odpowiada odrębnie za organizację opieki, w tym za adekwatne przeszkolenie personelu z ograniczeń narzędzia i za właściwy przepływ informacji o zidentyfikowanym ryzyku (ostrzeżenie trafiające tylko do IT to naruszenie obowiązku organizacyjnego).</w:t>
      </w:r>
    </w:p>
    <w:p>
      <w:pPr>
        <w:pStyle w:val="Heading3"/>
        <w:spacing w:after="100" w:before="200"/>
      </w:pPr>
      <w:r>
        <w:t xml:space="preserve">Kwalifikacja systemu i odpowiedzialność producenta</w:t>
      </w:r>
    </w:p>
    <w:p>
      <w:pPr>
        <w:pStyle w:val="ListParagraph"/>
        <w:numPr>
          <w:ilvl w:val="0"/>
          <w:numId w:val="1"/>
        </w:numPr>
        <w:spacing w:after="80"/>
      </w:pPr>
      <w:r>
        <w:t xml:space="preserve">Rozbieżność między nazwaniem systemu 'wsparciem' w umowie a wyświetlaniem w interfejsie określenia 'rekomendacja kliniczna' jest istotna dla oceny uzasadnionych oczekiwań użytkownika co do funkcji systemu i może wpływać na kwalifikację jako wyrobu medycznego o wyższej klasie ryzyka, nie tylko narzędzia pomocniczego.</w:t>
      </w:r>
    </w:p>
    <w:p>
      <w:pPr>
        <w:pStyle w:val="ListParagraph"/>
        <w:numPr>
          <w:ilvl w:val="0"/>
          <w:numId w:val="1"/>
        </w:numPr>
        <w:spacing w:after="80"/>
      </w:pPr>
      <w:r>
        <w:t xml:space="preserve">Wdrożenie aktualizacji zwiększającej liczbę błędów w określonej grupie pacjentek bez adekwatnego badania i powiadomienia świadczy o naruszeniu obowiązków producenta w zakresie zarządzania ryzykiem po wprowadzeniu do obrotu (post-market surveillance) wymaganych zarówno przepisami o wyrobach medycznych, jak i AI Act dla systemów wysokiego ryzyka.</w:t>
      </w:r>
    </w:p>
    <w:p>
      <w:pPr>
        <w:pStyle w:val="Heading3"/>
        <w:spacing w:after="100" w:before="200"/>
      </w:pPr>
      <w:r>
        <w:t xml:space="preserve">Rozdzielenie odpowiedzialności wielopodmiotowej</w:t>
      </w:r>
    </w:p>
    <w:p>
      <w:pPr>
        <w:pStyle w:val="ListParagraph"/>
        <w:numPr>
          <w:ilvl w:val="0"/>
          <w:numId w:val="1"/>
        </w:numPr>
        <w:spacing w:after="80"/>
      </w:pPr>
      <w:r>
        <w:t xml:space="preserve">Odpowiedzialność lekarza (indywidualna, za konkretną decyzję kliniczną), szpitala (organizacyjna, za system szkoleń i przepływ informacji) i producenta (za produkt/aktualizację) mogą współistnieć jako odpowiedzialność in solidum wobec pacjentki, z odrębnym rozliczeniem regresowym między podmiotami.</w:t>
      </w:r>
    </w:p>
    <w:p>
      <w:pPr>
        <w:pStyle w:val="ListParagraph"/>
        <w:numPr>
          <w:ilvl w:val="0"/>
          <w:numId w:val="1"/>
        </w:numPr>
        <w:spacing w:after="80"/>
      </w:pPr>
      <w:r>
        <w:t xml:space="preserve">Ograniczenie audytu systemu w umowie między szpitalem a producentem jest skuteczne wyłącznie inter partes (między stronami umowy) i nie ogranicza praw pacjentki jako osoby trzeciej ani zakresu odpowiedzialności deliktowej wobec niej.</w:t>
      </w:r>
    </w:p>
    <w:p>
      <w:pPr>
        <w:pStyle w:val="Heading3"/>
        <w:spacing w:after="100" w:before="200"/>
      </w:pPr>
      <w:r>
        <w:t xml:space="preserve">Przyczynowość i rozmiar szkody przy niepełnej dokumentacji</w:t>
      </w:r>
    </w:p>
    <w:p>
      <w:pPr>
        <w:pStyle w:val="ListParagraph"/>
        <w:numPr>
          <w:ilvl w:val="0"/>
          <w:numId w:val="1"/>
        </w:numPr>
        <w:spacing w:after="80"/>
      </w:pPr>
      <w:r>
        <w:t xml:space="preserve">Brak pełnych danych wejściowych i wersji modelu utrudnia precyzyjne wykazanie związku przyczynowego między błędem systemu a opóźnieniem leczenia — niekompletność dokumentacji leżącej w gestii pozwanych powinna skutkować odwróceniem lub złagodzeniem ciężaru dowodu na zasadach ogólnych dowodu prima facie w sprawach medycznych.</w:t>
      </w:r>
    </w:p>
    <w:p>
      <w:pPr>
        <w:pStyle w:val="Heading3"/>
        <w:spacing w:after="100" w:before="200"/>
      </w:pPr>
      <w:r>
        <w:t xml:space="preserve">Informacja dla pacjentki i przetwarzanie danych</w:t>
      </w:r>
    </w:p>
    <w:p>
      <w:pPr>
        <w:pStyle w:val="ListParagraph"/>
        <w:numPr>
          <w:ilvl w:val="0"/>
          <w:numId w:val="1"/>
        </w:numPr>
        <w:spacing w:after="80"/>
      </w:pPr>
      <w:r>
        <w:t xml:space="preserve">Prawo pacjenta do informacji o stanie zdrowia i proponowanych metodach diagnostycznych obejmuje prawo do wiedzy o wykorzystaniu narzędzia AI w procesie diagnostycznym, w zakresie istotnym dla świadomej zgody na dalsze postępowanie.</w:t>
      </w:r>
    </w:p>
    <w:p>
      <w:pPr>
        <w:pStyle w:val="ListParagraph"/>
        <w:numPr>
          <w:ilvl w:val="0"/>
          <w:numId w:val="1"/>
        </w:numPr>
        <w:spacing w:after="80"/>
      </w:pPr>
      <w:r>
        <w:t xml:space="preserve">Przetwarzanie danych zdrowotnych Anny przez system podlega szczególnemu reżimowi RODO (dane szczególnej kategorii, art. 9) niezależnie od równoległej odpowiedzialności medycznej.</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Odpowiedzialność lekarza</w:t>
            </w:r>
          </w:p>
        </w:tc>
        <w:tc>
          <w:tcPr>
            <w:tcW w:type="dxa" w:w="2600"/>
          </w:tcPr>
          <w:p>
            <w:r>
              <w:rPr>
                <w:b w:val="false"/>
                <w:bCs w:val="false"/>
                <w:sz w:val="18"/>
                <w:szCs w:val="18"/>
              </w:rPr>
              <w:t xml:space="preserve">Lekarz działał zgodnie ze standardową procedurą triażu wspomaganego systemem zatwierdzonym przez szpital — nie można wymagać kwestionowania każdej rekomendacji.</w:t>
            </w:r>
          </w:p>
        </w:tc>
        <w:tc>
          <w:tcPr>
            <w:tcW w:type="dxa" w:w="2600"/>
          </w:tcPr>
          <w:p>
            <w:r>
              <w:rPr>
                <w:b w:val="false"/>
                <w:bCs w:val="false"/>
                <w:sz w:val="18"/>
                <w:szCs w:val="18"/>
              </w:rPr>
              <w:t xml:space="preserve">Nietypowe objawy i etykieta 'rekomendacja kliniczna' wymagały pogłębionego badania — bierne zaakceptowanie niskiej oceny ryzyka bez uwzględnienia rzadkiej terapii pacjentki stanowi naruszenie standardu staranności.</w:t>
            </w:r>
          </w:p>
        </w:tc>
        <w:tc>
          <w:tcPr>
            <w:tcW w:type="dxa" w:w="2600"/>
          </w:tcPr>
          <w:p>
            <w:r>
              <w:rPr>
                <w:b w:val="false"/>
                <w:bCs w:val="false"/>
                <w:sz w:val="18"/>
                <w:szCs w:val="18"/>
              </w:rPr>
              <w:t xml:space="preserve">Rozstrzygające jest ustalenie, czy nietypowość objawów była na tyle wyraźna, że wymagała odstąpienia od rekomendacji systemu zgodnie z wiedzą medyczną dostępną lekarzowi w danym momencie — wymaga to opinii biegłego, nie oceny ex post.</w:t>
            </w:r>
          </w:p>
        </w:tc>
      </w:tr>
      <w:tr>
        <w:tc>
          <w:tcPr>
            <w:tcW w:type="dxa" w:w="1600"/>
          </w:tcPr>
          <w:p>
            <w:r>
              <w:rPr>
                <w:b w:val="false"/>
                <w:bCs w:val="false"/>
                <w:sz w:val="18"/>
                <w:szCs w:val="18"/>
              </w:rPr>
              <w:t xml:space="preserve">Odpowiedzialność szpitala za wdrożenie</w:t>
            </w:r>
          </w:p>
        </w:tc>
        <w:tc>
          <w:tcPr>
            <w:tcW w:type="dxa" w:w="2600"/>
          </w:tcPr>
          <w:p>
            <w:r>
              <w:rPr>
                <w:b w:val="false"/>
                <w:bCs w:val="false"/>
                <w:sz w:val="18"/>
                <w:szCs w:val="18"/>
              </w:rPr>
              <w:t xml:space="preserve">Szpital wdrożył certyfikowany system zgodnie z umową z producentem i nie miał wiedzy o zwiększonej liczbie błędów w chwili leczenia Anny.</w:t>
            </w:r>
          </w:p>
        </w:tc>
        <w:tc>
          <w:tcPr>
            <w:tcW w:type="dxa" w:w="2600"/>
          </w:tcPr>
          <w:p>
            <w:r>
              <w:rPr>
                <w:b w:val="false"/>
                <w:bCs w:val="false"/>
                <w:sz w:val="18"/>
                <w:szCs w:val="18"/>
              </w:rPr>
              <w:t xml:space="preserve">Ostrzeżenie o zwiększonej liczbie błędów po aktualizacji dotarło do szpitala (do IT) przed lub w okresie zdarzenia — brak przekazania go personelowi medycznemu to samodzielne zaniedbanie organizacyjne szpitala.</w:t>
            </w:r>
          </w:p>
        </w:tc>
        <w:tc>
          <w:tcPr>
            <w:tcW w:type="dxa" w:w="2600"/>
          </w:tcPr>
          <w:p>
            <w:r>
              <w:rPr>
                <w:b w:val="false"/>
                <w:bCs w:val="false"/>
                <w:sz w:val="18"/>
                <w:szCs w:val="18"/>
              </w:rPr>
              <w:t xml:space="preserve">Kluczowa jest chronologia: czy ostrzeżenie dotarło do IT przed czy po zdarzeniu z Anną — kazus wskazuje na sekwencję sugerującą, że ostrzeżenie już istniało, co przy braku odwrotnego dowodu obciąża szpital za brak przepływu informacji wewnętrznej.</w:t>
            </w:r>
          </w:p>
        </w:tc>
      </w:tr>
      <w:tr>
        <w:tc>
          <w:tcPr>
            <w:tcW w:type="dxa" w:w="1600"/>
          </w:tcPr>
          <w:p>
            <w:r>
              <w:rPr>
                <w:b w:val="false"/>
                <w:bCs w:val="false"/>
                <w:sz w:val="18"/>
                <w:szCs w:val="18"/>
              </w:rPr>
              <w:t xml:space="preserve">Odpowiedzialność producenta</w:t>
            </w:r>
          </w:p>
        </w:tc>
        <w:tc>
          <w:tcPr>
            <w:tcW w:type="dxa" w:w="2600"/>
          </w:tcPr>
          <w:p>
            <w:r>
              <w:rPr>
                <w:b w:val="false"/>
                <w:bCs w:val="false"/>
                <w:sz w:val="18"/>
                <w:szCs w:val="18"/>
              </w:rPr>
              <w:t xml:space="preserve">Umowa ograniczająca audyt była uzasadniona ochroną własności intelektualnej, a aktualizacje automatyczne są standardową praktyką branżową.</w:t>
            </w:r>
          </w:p>
        </w:tc>
        <w:tc>
          <w:tcPr>
            <w:tcW w:type="dxa" w:w="2600"/>
          </w:tcPr>
          <w:p>
            <w:r>
              <w:rPr>
                <w:b w:val="false"/>
                <w:bCs w:val="false"/>
                <w:sz w:val="18"/>
                <w:szCs w:val="18"/>
              </w:rPr>
              <w:t xml:space="preserve">Wdrożenie aktualizacji zwiększającej ryzyko błędu w konkretnej grupie pacjentek bez wystarczającego testowania i powiadomienia stanowi naruszenie obowiązków producenta wyrobu medycznego wysokiego ryzyka w zakresie nadzoru posprzedażowego.</w:t>
            </w:r>
          </w:p>
        </w:tc>
        <w:tc>
          <w:tcPr>
            <w:tcW w:type="dxa" w:w="2600"/>
          </w:tcPr>
          <w:p>
            <w:r>
              <w:rPr>
                <w:b w:val="false"/>
                <w:bCs w:val="false"/>
                <w:sz w:val="18"/>
                <w:szCs w:val="18"/>
              </w:rPr>
              <w:t xml:space="preserve">Ograniczenie umowne audytu nie jest skuteczne wobec pacjentki i nie zwalnia producenta z obowiązków regulacyjnych (wyroby medyczne, AI Act) — argument 'standardowej praktyki branżowej' nie jest obroną wobec naruszenia tych obowiązków, jeśli aktualizacja rzeczywiście zwiększyła ryzyko bez adekwatnej walidacji.</w:t>
            </w:r>
          </w:p>
        </w:tc>
      </w:tr>
      <w:tr>
        <w:tc>
          <w:tcPr>
            <w:tcW w:type="dxa" w:w="1600"/>
          </w:tcPr>
          <w:p>
            <w:r>
              <w:rPr>
                <w:b w:val="false"/>
                <w:bCs w:val="false"/>
                <w:sz w:val="18"/>
                <w:szCs w:val="18"/>
              </w:rPr>
              <w:t xml:space="preserve">Skutki niepełnej dokumentacji</w:t>
            </w:r>
          </w:p>
        </w:tc>
        <w:tc>
          <w:tcPr>
            <w:tcW w:type="dxa" w:w="2600"/>
          </w:tcPr>
          <w:p>
            <w:r>
              <w:rPr>
                <w:b w:val="false"/>
                <w:bCs w:val="false"/>
                <w:sz w:val="18"/>
                <w:szCs w:val="18"/>
              </w:rPr>
              <w:t xml:space="preserve">Brak pełnych danych wejściowych i wersji modelu uniemożliwia jednoznaczne wykazanie związku przyczynowego przez powódkę — roszczenie powinno być oddalone z braku dowodu.</w:t>
            </w:r>
          </w:p>
        </w:tc>
        <w:tc>
          <w:tcPr>
            <w:tcW w:type="dxa" w:w="2600"/>
          </w:tcPr>
          <w:p>
            <w:r>
              <w:rPr>
                <w:b w:val="false"/>
                <w:bCs w:val="false"/>
                <w:sz w:val="18"/>
                <w:szCs w:val="18"/>
              </w:rPr>
              <w:t xml:space="preserve">Niekompletność dokumentacji leży w sferze odpowiedzialności szpitala/producenta (obowiązek jej prowadzenia) — nie może działać na niekorzyść pacjentki, która nie miała wpływu na jej prowadzenie; uzasadnia to złagodzenie standardu dowodowego.</w:t>
            </w:r>
          </w:p>
        </w:tc>
        <w:tc>
          <w:tcPr>
            <w:tcW w:type="dxa" w:w="2600"/>
          </w:tcPr>
          <w:p>
            <w:r>
              <w:rPr>
                <w:b w:val="false"/>
                <w:bCs w:val="false"/>
                <w:sz w:val="18"/>
                <w:szCs w:val="18"/>
              </w:rPr>
              <w:t xml:space="preserve">Zasada, że nie można czerpać korzyści procesowej z własnego zaniedbania dowodowego, przemawia silnie za stanowiskiem B — sądy w sprawach medycznych powszechnie stosują złagodzone standardy dowodu przyczynowości przy niekompletnej dokumentacji leżącej po stronie profesjonalisty.</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pełnych danych wejściowych do systemu MedPrompt w przypadku Anny oraz brak zapisu wersji modelu użytej w chwili diagnozy — rozstrzygające dla precyzyjnego ustalenia związku przyczynowego, ale jednocześnie wskazane jako brak leżący po stronie pozwanych.</w:t>
      </w:r>
    </w:p>
    <w:p>
      <w:pPr>
        <w:pStyle w:val="ListParagraph"/>
        <w:numPr>
          <w:ilvl w:val="0"/>
          <w:numId w:val="1"/>
        </w:numPr>
        <w:spacing w:after="80"/>
      </w:pPr>
      <w:r>
        <w:t xml:space="preserve">Nie ustalono dokładnej chronologii: kiedy dokładnie ostrzeżenie o zwiększonej liczbie błędów dotarło do IT szpitala względem daty leczenia Anny — kluczowe dla odpowiedzialności organizacyjnej szpitala.</w:t>
      </w:r>
    </w:p>
    <w:p>
      <w:pPr>
        <w:pStyle w:val="ListParagraph"/>
        <w:numPr>
          <w:ilvl w:val="0"/>
          <w:numId w:val="1"/>
        </w:numPr>
        <w:spacing w:after="80"/>
      </w:pPr>
      <w:r>
        <w:t xml:space="preserve">Brak informacji o treści umowy między szpitalem a producentem w zakresie podziału obowiązków informacyjnych wobec personelu medycznego — istotne dla rozkładu odpowiedzialności między te dwa podmioty.</w:t>
      </w:r>
    </w:p>
    <w:p>
      <w:pPr>
        <w:pStyle w:val="ListParagraph"/>
        <w:numPr>
          <w:ilvl w:val="0"/>
          <w:numId w:val="1"/>
        </w:numPr>
        <w:spacing w:after="80"/>
      </w:pPr>
      <w:r>
        <w:t xml:space="preserve">Nie wskazano, czy Anna została poinformowana o wykorzystaniu systemu AI w procesie diagnostycznym i czy wyraziła świadomą zgodę na leczenie w oparciu o wspomaganą diagnostykę.</w:t>
      </w:r>
    </w:p>
    <w:p>
      <w:pPr>
        <w:pStyle w:val="ListParagraph"/>
        <w:numPr>
          <w:ilvl w:val="0"/>
          <w:numId w:val="1"/>
        </w:numPr>
        <w:spacing w:after="80"/>
      </w:pPr>
      <w:r>
        <w:t xml:space="preserve">Zakaz dopowiadania faktów: nie zakładam, że lekarz działał w złej wierze lub rażąco niedbale — kazus opisuje obiektywny przebieg zdarzeń (akceptacja wyniku bez pełnego badania), którego kwalifikacja jako naruszenia standardu wymaga opinii biegłego z zakresu neurologii/medycyny ratunkowej, nie apriorycznego założenia.</w:t>
      </w:r>
    </w:p>
    <w:p>
      <w:pPr>
        <w:pStyle w:val="Heading2"/>
        <w:spacing w:after="150" w:before="300"/>
      </w:pPr>
      <w:r>
        <w:t xml:space="preserve">6. Rozstrzygnięcie i środek naprawczy</w:t>
      </w:r>
    </w:p>
    <w:p>
      <w:pPr>
        <w:spacing w:after="140"/>
      </w:pPr>
      <w:r>
        <w:t xml:space="preserve">Sąd powinien: (1) zlecić opinię biegłego z zakresu neurologii/medycyny ratunkowej co do tego, czy nietypowe objawy Anny wymagały odstąpienia od rekomendacji systemu i przeprowadzenia pełnego badania; (2) uznać odpowiedzialność organizacyjną szpitala za brak przeszkolenia personelu i brak przekazania ostrzeżenia z działu IT do personelu medycznego jako odrębną od ewentualnej winy lekarza; (3) uznać odpowiedzialność producenta za wdrożenie aktualizacji zwiększającej ryzyko błędu bez adekwatnej walidacji i powiadomienia, niezależnie od umownego ograniczenia audytu wobec szpitala; (4) zastosować złagodzony standard dowodowy co do związku przyczynowego wobec niekompletności dokumentacji leżącej po stronie pozwanych; (5) zasądzić odpowiedzialność in solidum z prawem regresu między szpitalem a producentem proporcjonalnie do stopnia przyczynienia się każdego z nich.</w:t>
      </w:r>
    </w:p>
    <w:p>
      <w:pPr>
        <w:spacing w:after="140"/>
      </w:pPr>
      <w:r>
        <w:t xml:space="preserve">Środek naprawczy: odszkodowanie i zadośćuczynienie zasądzone in solidum od szpitala i producenta, z prawem regresu między nimi + równoległe zgłoszenie do RPP w trybie zdarzenia medycznego jako szybsza ścieżka kompensacyjna + zgłoszenie incydentu do systemu wigilancji wyrobów medycznych i właściwego organu nadzoru nad AI Act celem zbadania systemowego ryzyka aktualizacji.</w:t>
      </w:r>
    </w:p>
    <w:p>
      <w:pPr>
        <w:pStyle w:val="Heading3"/>
        <w:spacing w:after="100" w:before="200"/>
      </w:pPr>
      <w:r>
        <w:t xml:space="preserve">Uwagi metodologiczne / status weryfikacji ISAP</w:t>
      </w:r>
    </w:p>
    <w:p>
      <w:pPr>
        <w:spacing w:after="140"/>
      </w:pPr>
      <w:r>
        <w:rPr>
          <w:i/>
          <w:iCs/>
          <w:sz w:val="20"/>
          <w:szCs w:val="20"/>
        </w:rPr>
        <w:t xml:space="preserve">Kazus jest fikcyjny (MedPrompt, Algometria itp. nie istnieją), lecz ramy ustawowe są rzeczywiste: ustawa o prawach pacjenta i Rzeczniku Praw Pacjenta (Dz.U. 2009 poz. 417 z późn. zm.), ustawa o działalności leczniczej (Dz.U. 2011 poz. 654 z późn. zm.), ustawa o wyrobach medycznych (Dz.U. 2022 poz. 974 z późn. zm.) oraz AI Act (rozporządzenie UE 2024/1689, klasyfikacja systemów wspomagania decyzji klinicznych jako wysokiego ryzyka). Aktualne brzmienie przepisów dot. trybu zdarzenia medycznego przed RPP oraz szczegółowych obowiązków wigilancyjnych z ustawy o wyrobach medycznych wymaga odrębnej weryfikacji w ISAP przed użyciem zawodowym — nie wykonano jej w pełnym zakresie w tym opracowaniu z uwagi na objętość materiału.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2026-09-02T18:22:27.815Z</dcterms:created>
  <dcterms:modified xsi:type="dcterms:W3CDTF">2026-09-02T18:22:27.827Z</dcterms:modified>
</cp:coreProperties>
</file>

<file path=docProps/custom.xml><?xml version="1.0" encoding="utf-8"?>
<Properties xmlns="http://schemas.openxmlformats.org/officeDocument/2006/custom-properties" xmlns:vt="http://schemas.openxmlformats.org/officeDocument/2006/docPropsVTypes"/>
</file>