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Bank</w:t>
      </w:r>
      <w:r>
        <w:t xml:space="preserve"> </w:t>
      </w:r>
      <w:r>
        <w:t xml:space="preserve">kazusów</w:t>
      </w:r>
      <w:r>
        <w:t xml:space="preserve"> </w:t>
      </w:r>
      <w:r>
        <w:t xml:space="preserve">wieloaspektowych</w:t>
      </w:r>
      <w:r>
        <w:t xml:space="preserve"> </w:t>
      </w:r>
      <w:r>
        <w:t xml:space="preserve">—</w:t>
      </w:r>
      <w:r>
        <w:t xml:space="preserve"> </w:t>
      </w:r>
      <w:r>
        <w:t xml:space="preserve">arkusz</w:t>
      </w:r>
      <w:r>
        <w:t xml:space="preserve"> </w:t>
      </w:r>
      <w:r>
        <w:t xml:space="preserve">odpowiedzi</w:t>
      </w:r>
    </w:p>
    <w:p>
      <w:pPr>
        <w:pStyle w:val="Subtitle"/>
      </w:pPr>
      <w:r>
        <w:t xml:space="preserve">Partia</w:t>
      </w:r>
      <w:r>
        <w:t xml:space="preserve"> </w:t>
      </w:r>
      <w:r>
        <w:t xml:space="preserve">2:</w:t>
      </w:r>
      <w:r>
        <w:t xml:space="preserve"> </w:t>
      </w:r>
      <w:r>
        <w:t xml:space="preserve">K-05</w:t>
      </w:r>
      <w:r>
        <w:t xml:space="preserve"> </w:t>
      </w:r>
      <w:r>
        <w:t xml:space="preserve">–</w:t>
      </w:r>
      <w:r>
        <w:t xml:space="preserve"> </w:t>
      </w:r>
      <w:r>
        <w:t xml:space="preserve">K-07</w:t>
      </w:r>
      <w:r>
        <w:t xml:space="preserve"> </w:t>
      </w:r>
      <w:r>
        <w:t xml:space="preserve">(część</w:t>
      </w:r>
      <w:r>
        <w:t xml:space="preserve"> </w:t>
      </w:r>
      <w:r>
        <w:t xml:space="preserve">międzynarodowa)</w:t>
      </w:r>
    </w:p>
    <w:bookmarkStart w:id="20" w:name="metryka-arkusza"/>
    <w:p>
      <w:pPr>
        <w:pStyle w:val="Heading1"/>
      </w:pPr>
      <w:r>
        <w:t xml:space="preserve">Metryka arkusza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Pozycja</w:t>
            </w:r>
          </w:p>
        </w:tc>
        <w:tc>
          <w:tcPr/>
          <w:p>
            <w:pPr>
              <w:pStyle w:val="Compact"/>
              <w:jc w:val="left"/>
            </w:pPr>
            <w:r>
              <w:t xml:space="preserve">Treść</w:t>
            </w:r>
          </w:p>
        </w:tc>
      </w:tr>
      <w:tr>
        <w:tc>
          <w:tcPr/>
          <w:p>
            <w:pPr>
              <w:pStyle w:val="Compact"/>
              <w:jc w:val="left"/>
            </w:pPr>
            <w:r>
              <w:t xml:space="preserve">Zakres partii</w:t>
            </w:r>
          </w:p>
        </w:tc>
        <w:tc>
          <w:tcPr/>
          <w:p>
            <w:pPr>
              <w:pStyle w:val="Compact"/>
              <w:jc w:val="left"/>
            </w:pPr>
            <w:r>
              <w:t xml:space="preserve">K-05, K-06, K-07</w:t>
            </w:r>
          </w:p>
        </w:tc>
      </w:tr>
      <w:tr>
        <w:tc>
          <w:tcPr/>
          <w:p>
            <w:pPr>
              <w:pStyle w:val="Compact"/>
              <w:jc w:val="left"/>
            </w:pPr>
            <w:r>
              <w:t xml:space="preserve">Model</w:t>
            </w:r>
          </w:p>
        </w:tc>
        <w:tc>
          <w:tcPr/>
          <w:p>
            <w:pPr>
              <w:pStyle w:val="Compact"/>
              <w:jc w:val="left"/>
            </w:pPr>
            <w:r>
              <w:rPr>
                <w:bCs/>
                <w:b/>
              </w:rPr>
              <w:t xml:space="preserve">Claude Opus 5</w:t>
            </w:r>
            <w:r>
              <w:t xml:space="preserve"> </w:t>
            </w:r>
            <w:r>
              <w:t xml:space="preserve">(Anthropic)</w:t>
            </w:r>
          </w:p>
        </w:tc>
      </w:tr>
      <w:tr>
        <w:tc>
          <w:tcPr/>
          <w:p>
            <w:pPr>
              <w:pStyle w:val="Compact"/>
              <w:jc w:val="left"/>
            </w:pPr>
            <w:r>
              <w:t xml:space="preserve">Tryb</w:t>
            </w:r>
          </w:p>
        </w:tc>
        <w:tc>
          <w:tcPr/>
          <w:p>
            <w:pPr>
              <w:pStyle w:val="Compact"/>
              <w:jc w:val="left"/>
            </w:pPr>
            <w:r>
              <w:rPr>
                <w:bCs/>
                <w:b/>
              </w:rPr>
              <w:t xml:space="preserve">Bez skilli prawnych</w:t>
            </w:r>
            <w:r>
              <w:t xml:space="preserve"> </w:t>
            </w:r>
            <w:r>
              <w:t xml:space="preserve">— nie uruchomiono routera prawnego, skilli DR-01–DR-16 ani modułów walidacyjnych</w:t>
            </w:r>
          </w:p>
        </w:tc>
      </w:tr>
      <w:tr>
        <w:tc>
          <w:tcPr/>
          <w:p>
            <w:pPr>
              <w:pStyle w:val="Compact"/>
              <w:jc w:val="left"/>
            </w:pPr>
            <w:r>
              <w:t xml:space="preserve">Weryfikacja źródeł</w:t>
            </w:r>
          </w:p>
        </w:tc>
        <w:tc>
          <w:tcPr/>
          <w:p>
            <w:pPr>
              <w:pStyle w:val="Compact"/>
              <w:jc w:val="left"/>
            </w:pPr>
            <w:r>
              <w:t xml:space="preserve">Wyszukiwanie internetowe; wykaz zweryfikowanych pozycji na końcu każdego kazusu</w:t>
            </w:r>
          </w:p>
        </w:tc>
      </w:tr>
      <w:tr>
        <w:tc>
          <w:tcPr/>
          <w:p>
            <w:pPr>
              <w:pStyle w:val="Compact"/>
              <w:jc w:val="left"/>
            </w:pPr>
            <w:r>
              <w:t xml:space="preserve">Data sporządzenia</w:t>
            </w:r>
          </w:p>
        </w:tc>
        <w:tc>
          <w:tcPr/>
          <w:p>
            <w:pPr>
              <w:pStyle w:val="Compact"/>
              <w:jc w:val="left"/>
            </w:pPr>
            <w:r>
              <w:t xml:space="preserve">2 września 2026 r.</w:t>
            </w:r>
          </w:p>
        </w:tc>
      </w:tr>
    </w:tbl>
    <w:p>
      <w:r>
        <w:br w:type="page"/>
      </w:r>
    </w:p>
    <w:bookmarkEnd w:id="20"/>
    <w:bookmarkStart w:id="34" w:name="X9f243d11ba947a94338daacb98d88868fc62979"/>
    <w:p>
      <w:pPr>
        <w:pStyle w:val="Heading1"/>
      </w:pPr>
      <w:r>
        <w:t xml:space="preserve">K-05 Orchis Worldwide przeciwko Darwin Natural Food</w:t>
      </w:r>
    </w:p>
    <w:bookmarkStart w:id="21" w:name="teza-wstępna"/>
    <w:p>
      <w:pPr>
        <w:pStyle w:val="Heading2"/>
      </w:pPr>
      <w:r>
        <w:t xml:space="preserve">Teza wstępna</w:t>
      </w:r>
    </w:p>
    <w:p>
      <w:pPr>
        <w:pStyle w:val="FirstParagraph"/>
      </w:pPr>
      <w:r>
        <w:t xml:space="preserve">Sprawa ma dwie warstwy o odwrotnym rozkładzie sił. W warstwie proceduralnej wygrywa kupujący: reguła temporalna regulaminu jest jednoznaczna, a żądania sprzedawcy dotyczące pełnego ujawnienia umowy finansowania i zabezpieczenia kosztów są nadmierne. W warstwie materialnej wygrywa sprzedawca: zmiana klasyfikacji nie uczyniła wykonania niemożliwym, lecz utrudnionym, obowiązek uzyskania pozwolenia przywozowego obciąża co do zasady kupującego, a odrzucenie propozycji opóźnienia i trasy alternatywnej podważa zarówno zasadność rozwiązania umowy, jak i sposób obliczenia szkody.</w:t>
      </w:r>
    </w:p>
    <w:bookmarkEnd w:id="21"/>
    <w:bookmarkStart w:id="22" w:name="mapa-jurysdykcji-źródeł-i-kompetencji"/>
    <w:p>
      <w:pPr>
        <w:pStyle w:val="Heading2"/>
      </w:pPr>
      <w:r>
        <w:t xml:space="preserve">Mapa jurysdykcji, źródeł i kompetencji</w:t>
      </w:r>
    </w:p>
    <w:p>
      <w:pPr>
        <w:pStyle w:val="FirstParagraph"/>
      </w:pPr>
      <w:r>
        <w:t xml:space="preserve">Cztery warstwy prawa właściwego, mylone przez strony:</w:t>
      </w:r>
    </w:p>
    <w:p>
      <w:pPr>
        <w:numPr>
          <w:ilvl w:val="0"/>
          <w:numId w:val="1001"/>
        </w:numPr>
        <w:pStyle w:val="Compact"/>
      </w:pPr>
      <w:r>
        <w:rPr>
          <w:iCs/>
          <w:i/>
        </w:rPr>
        <w:t xml:space="preserve">Prawo umowy sprzedaży</w:t>
      </w:r>
      <w:r>
        <w:t xml:space="preserve"> </w:t>
      </w:r>
      <w:r>
        <w:t xml:space="preserve">— konwencja wiedeńska o umowach międzynarodowej sprzedaży towarów, jeżeli strony mają siedziby w państwach-stronach albo normy kolizyjne wskazują prawo takiego państwa. Kazus nie podaje siedzib ani wyboru prawa — pierwszy brak faktyczny.</w:t>
      </w:r>
    </w:p>
    <w:p>
      <w:pPr>
        <w:numPr>
          <w:ilvl w:val="0"/>
          <w:numId w:val="1001"/>
        </w:numPr>
        <w:pStyle w:val="Compact"/>
      </w:pPr>
      <w:r>
        <w:rPr>
          <w:iCs/>
          <w:i/>
        </w:rPr>
        <w:t xml:space="preserve">Prawo umowy o arbitraż</w:t>
      </w:r>
      <w:r>
        <w:t xml:space="preserve"> </w:t>
      </w:r>
      <w:r>
        <w:t xml:space="preserve">— odrębne od prawa umowy głównej; decyduje o ważności klauzuli.</w:t>
      </w:r>
    </w:p>
    <w:p>
      <w:pPr>
        <w:numPr>
          <w:ilvl w:val="0"/>
          <w:numId w:val="1001"/>
        </w:numPr>
        <w:pStyle w:val="Compact"/>
      </w:pPr>
      <w:r>
        <w:rPr>
          <w:iCs/>
          <w:i/>
        </w:rPr>
        <w:t xml:space="preserve">Regulamin arbitrażowy</w:t>
      </w:r>
      <w:r>
        <w:t xml:space="preserve"> </w:t>
      </w:r>
      <w:r>
        <w:t xml:space="preserve">— normy proceduralne instytucji.</w:t>
      </w:r>
    </w:p>
    <w:p>
      <w:pPr>
        <w:numPr>
          <w:ilvl w:val="0"/>
          <w:numId w:val="1001"/>
        </w:numPr>
        <w:pStyle w:val="Compact"/>
      </w:pPr>
      <w:r>
        <w:rPr>
          <w:iCs/>
          <w:i/>
        </w:rPr>
        <w:t xml:space="preserve">Prawo miejsca arbitrażu</w:t>
      </w:r>
      <w:r>
        <w:t xml:space="preserve"> </w:t>
      </w:r>
      <w:r>
        <w:t xml:space="preserve">— normy bezwzględnie wiążące, kontrola sądowa, przesłanki uchylenia wyroku.</w:t>
      </w:r>
    </w:p>
    <w:p>
      <w:pPr>
        <w:pStyle w:val="FirstParagraph"/>
      </w:pPr>
      <w:r>
        <w:t xml:space="preserve">Reżim CITES nie jest prawem właściwym dla sporu, lecz</w:t>
      </w:r>
      <w:r>
        <w:t xml:space="preserve"> </w:t>
      </w:r>
      <w:r>
        <w:rPr>
          <w:bCs/>
          <w:b/>
        </w:rPr>
        <w:t xml:space="preserve">faktem regulacyjnym</w:t>
      </w:r>
      <w:r>
        <w:t xml:space="preserve"> </w:t>
      </w:r>
      <w:r>
        <w:t xml:space="preserve">oddziałującym na wykonalność zobowiązań. Traktowanie go jako źródła praw i obowiązków stron jest błędem kwalifikacyjnym.</w:t>
      </w:r>
    </w:p>
    <w:bookmarkEnd w:id="22"/>
    <w:bookmarkStart w:id="29" w:name="analiza-materialna-według-zagadnień"/>
    <w:p>
      <w:pPr>
        <w:pStyle w:val="Heading2"/>
      </w:pPr>
      <w:r>
        <w:t xml:space="preserve">Analiza materialna według zagadnień</w:t>
      </w:r>
    </w:p>
    <w:bookmarkStart w:id="23" w:name="zagadnienie-1-właściwa-wersja-regulaminu"/>
    <w:p>
      <w:pPr>
        <w:pStyle w:val="Heading3"/>
      </w:pPr>
      <w:r>
        <w:t xml:space="preserve">Zagadnienie 1: właściwa wersja regulaminu</w:t>
      </w:r>
    </w:p>
    <w:p>
      <w:pPr>
        <w:pStyle w:val="FirstParagraph"/>
      </w:pPr>
      <w:r>
        <w:t xml:space="preserve">Reguła temporalna jest wyraźna: siódma edycja regulaminu weszła w życie 1 stycznia 2025 r., i stosuje się ją, o ile strony nie postanowiły inaczej, do każdego arbitrażu wszczętego 1 stycznia 2025 r. lub później. Kryterium jest zatem</w:t>
      </w:r>
      <w:r>
        <w:t xml:space="preserve"> </w:t>
      </w:r>
      <w:r>
        <w:rPr>
          <w:bCs/>
          <w:b/>
        </w:rPr>
        <w:t xml:space="preserve">data wszczęcia postępowania</w:t>
      </w:r>
      <w:r>
        <w:t xml:space="preserve">, nie data zawarcia umowy ani data negocjacji.</w:t>
      </w:r>
    </w:p>
    <w:p>
      <w:pPr>
        <w:pStyle w:val="BodyText"/>
      </w:pPr>
      <w:r>
        <w:t xml:space="preserve">Argument sprzedawcy odwołujący się do wersji obowiązującej w dacie podpisania jest oparty na fałszywej analogii do prawa materialnego. Regulamin instytucjonalny to zbiór norm proceduralnych, których wersję wyznacza instytucja; odesłanie do „regulaminu SIAC” bez wskazania edycji jest odesłaniem dynamicznym.</w:t>
      </w:r>
    </w:p>
    <w:p>
      <w:pPr>
        <w:pStyle w:val="BodyText"/>
      </w:pPr>
      <w:r>
        <w:t xml:space="preserve">Wyjątek: jeżeli nowa edycja zmieniałaby element, na który strony wyraźnie się umówiły (np. liczbę arbitrów, procedurę uproszczoną automatycznie stosowaną poniżej progu wartości), pierwszeństwo ma uzgodnienie stron. To jedyna realna linia obrony sprzedawcy i wymaga wskazania konkretnego postanowienia umowy, które nowa edycja przełamuje. Kazus takiego postanowienia nie podaje.</w:t>
      </w:r>
    </w:p>
    <w:bookmarkEnd w:id="23"/>
    <w:bookmarkStart w:id="24" w:name="X8adb478ac47651a6224acab300762c40585e1f5"/>
    <w:p>
      <w:pPr>
        <w:pStyle w:val="Heading3"/>
      </w:pPr>
      <w:r>
        <w:t xml:space="preserve">Zagadnienie 2: zakres ujawnienia finansowania</w:t>
      </w:r>
    </w:p>
    <w:p>
      <w:pPr>
        <w:pStyle w:val="FirstParagraph"/>
      </w:pPr>
      <w:r>
        <w:t xml:space="preserve">Nowa edycja reguluje tę materię wyczerpująco i w sposób stopniowany. Obowiązek podstawowy: ujawnienie</w:t>
      </w:r>
      <w:r>
        <w:t xml:space="preserve"> </w:t>
      </w:r>
      <w:r>
        <w:rPr>
          <w:bCs/>
          <w:b/>
        </w:rPr>
        <w:t xml:space="preserve">istnienia</w:t>
      </w:r>
      <w:r>
        <w:t xml:space="preserve"> </w:t>
      </w:r>
      <w:r>
        <w:t xml:space="preserve">umowy finansowania oraz</w:t>
      </w:r>
      <w:r>
        <w:t xml:space="preserve"> </w:t>
      </w:r>
      <w:r>
        <w:rPr>
          <w:bCs/>
          <w:b/>
        </w:rPr>
        <w:t xml:space="preserve">tożsamości i danych kontaktowych</w:t>
      </w:r>
      <w:r>
        <w:t xml:space="preserve"> </w:t>
      </w:r>
      <w:r>
        <w:t xml:space="preserve">finansującego — w zawiadomieniu o arbitrażu, w odpowiedzi na nie albo niezwłocznie po zawarciu umowy finansowania. Obowiązek rozszerzony: trybunał</w:t>
      </w:r>
      <w:r>
        <w:t xml:space="preserve"> </w:t>
      </w:r>
      <w:r>
        <w:rPr>
          <w:bCs/>
          <w:b/>
        </w:rPr>
        <w:t xml:space="preserve">może</w:t>
      </w:r>
      <w:r>
        <w:t xml:space="preserve"> </w:t>
      </w:r>
      <w:r>
        <w:t xml:space="preserve">zarządzić ujawnienie dalszych informacji, w szczególności interesu finansującego w wyniku postępowania oraz tego, czy finansujący zobowiązał się do pokrycia kosztów przeciwnika. Zakaz uzupełniający: po ukonstytuowaniu się trybunału strona nie może zawrzeć umowy finansowania mogącej rodzić konflikt interesów z członkiem trybunału. Skutek kosztowy: trybunał może uwzględnić umowę finansowania przy rozłożeniu kosztów. Sankcja: przy niewykonaniu obowiązku ujawnienia trybunał może zastosować środki obejmujące sankcje, odszkodowanie lub koszty.</w:t>
      </w:r>
    </w:p>
    <w:p>
      <w:pPr>
        <w:pStyle w:val="BodyText"/>
      </w:pPr>
      <w:r>
        <w:t xml:space="preserve">Zastosowanie: kupujący, ujawniając istnienie finansowania i tożsamość finansującego, wykonał obowiązek podstawowy. Żądanie</w:t>
      </w:r>
      <w:r>
        <w:t xml:space="preserve"> </w:t>
      </w:r>
      <w:r>
        <w:rPr>
          <w:bCs/>
          <w:b/>
        </w:rPr>
        <w:t xml:space="preserve">pełnej umowy</w:t>
      </w:r>
      <w:r>
        <w:t xml:space="preserve"> </w:t>
      </w:r>
      <w:r>
        <w:t xml:space="preserve">wykracza poza cel regulacji, którym jest kontrola konfliktów interesów, a nie wgląd w strategię procesową. Adekwatne rozstrzygnięcie: nakazać ujawnienie ograniczone do interesu finansującego w wyniku sprawy oraz do zobowiązania kosztowego, z możliwością redakcji fragmentów handlowych, i odmówić ujawnienia całości.</w:t>
      </w:r>
    </w:p>
    <w:bookmarkEnd w:id="24"/>
    <w:bookmarkStart w:id="25" w:name="X42e2ac658f89e648b70ec39afc6cf88c52a5804"/>
    <w:p>
      <w:pPr>
        <w:pStyle w:val="Heading3"/>
      </w:pPr>
      <w:r>
        <w:t xml:space="preserve">Zagadnienie 3: zabezpieczenie kosztów i wyłączenie arbitra</w:t>
      </w:r>
    </w:p>
    <w:p>
      <w:pPr>
        <w:pStyle w:val="FirstParagraph"/>
      </w:pPr>
      <w:r>
        <w:rPr>
          <w:iCs/>
          <w:i/>
        </w:rPr>
        <w:t xml:space="preserve">Zabezpieczenie kosztów.</w:t>
      </w:r>
      <w:r>
        <w:t xml:space="preserve"> </w:t>
      </w:r>
      <w:r>
        <w:t xml:space="preserve">Przesłanki: wykazanie realnego ryzyka, że strona nie wykona przyszłego orzeczenia o kosztach, oraz proporcjonalność środka wobec prawa dostępu do arbitrażu. Samo istnienie finansowania nie dowodzi trudnej sytuacji finansowej strony — przyjęcie odwrotnego domniemania różnicowałoby dostęp do arbitrażu ze względu na sposób finansowania sporu. Dodatkowo kupujący dysponuje ubezpieczeniem kosztów, co osłabia tezę o ryzyku niewykonania. Wniosek: brak podstaw, chyba że sprzedawca wykaże konkretne okoliczności (np. brak majątku w jurysdykcji wykonania).</w:t>
      </w:r>
    </w:p>
    <w:p>
      <w:pPr>
        <w:pStyle w:val="BodyText"/>
      </w:pPr>
      <w:r>
        <w:rPr>
          <w:iCs/>
          <w:i/>
        </w:rPr>
        <w:t xml:space="preserve">Wyłączenie arbitra.</w:t>
      </w:r>
      <w:r>
        <w:t xml:space="preserve"> </w:t>
      </w:r>
      <w:r>
        <w:t xml:space="preserve">Standard: uzasadnione wątpliwości co do bezstronności lub niezależności oceniane z perspektywy rozsądnego obserwatora zewnętrznego, nie z perspektywy strony. Sama relacja arbitra z finansującym jest niewystarczająca — trzeba określić jej charakter: powtarzalne nominacje, więź gospodarcza, wspólne przedsięwzięcie. Kazus określa relację ogólnikowo; w obecnym stanie wniosek jest przedwczesny, ale uzasadnia zarządzenie ujawnienia z zagadnienia 2, które dopiero pozwoli go ocenić. Kolejność jest istotna: najpierw ujawnienie, potem ocena konfliktu.</w:t>
      </w:r>
    </w:p>
    <w:bookmarkEnd w:id="25"/>
    <w:bookmarkStart w:id="26" w:name="Xc973ab9fa12615498512d0f38e3bee564196adc"/>
    <w:p>
      <w:pPr>
        <w:pStyle w:val="Heading3"/>
      </w:pPr>
      <w:r>
        <w:t xml:space="preserve">Zagadnienie 4: zmiana klasyfikacji jako przeszkoda zwalniająca</w:t>
      </w:r>
    </w:p>
    <w:p>
      <w:pPr>
        <w:pStyle w:val="FirstParagraph"/>
      </w:pPr>
      <w:r>
        <w:t xml:space="preserve">Przesłanki zwolnienia z odpowiedzialności odszkodowawczej według konwencji wiedeńskiej są kumulatywne: (a) niewykonanie wynikło z</w:t>
      </w:r>
      <w:r>
        <w:t xml:space="preserve"> </w:t>
      </w:r>
      <w:r>
        <w:rPr>
          <w:bCs/>
          <w:b/>
        </w:rPr>
        <w:t xml:space="preserve">przeszkody</w:t>
      </w:r>
      <w:r>
        <w:t xml:space="preserve"> </w:t>
      </w:r>
      <w:r>
        <w:t xml:space="preserve">poza kontrolą strony; (b) nie można było rozsądnie oczekiwać wzięcia jej pod uwagę w chwili zawarcia umowy; (c) nie można było jej uniknąć ani przezwyciężyć jej skutków; (d) strona zawiadomiła kontrahenta o przeszkodzie i jej skutkach w rozsądnym czasie.</w:t>
      </w:r>
    </w:p>
    <w:p>
      <w:pPr>
        <w:pStyle w:val="BodyText"/>
      </w:pPr>
      <w:r>
        <w:t xml:space="preserve">Analiza po przesłankach:</w:t>
      </w:r>
    </w:p>
    <w:p>
      <w:pPr>
        <w:pStyle w:val="BodyText"/>
      </w:pPr>
      <w:r>
        <w:rPr>
          <w:iCs/>
          <w:i/>
        </w:rPr>
        <w:t xml:space="preserve">(a) Przeszkoda.</w:t>
      </w:r>
      <w:r>
        <w:t xml:space="preserve"> </w:t>
      </w:r>
      <w:r>
        <w:t xml:space="preserve">Zaostrzenie reżimu handlowego jest zdarzeniem zewnętrznym — przesłanka spełniona co do charakteru.</w:t>
      </w:r>
    </w:p>
    <w:p>
      <w:pPr>
        <w:pStyle w:val="BodyText"/>
      </w:pPr>
      <w:r>
        <w:rPr>
          <w:iCs/>
          <w:i/>
        </w:rPr>
        <w:t xml:space="preserve">(b) Nieprzewidywalność.</w:t>
      </w:r>
      <w:r>
        <w:t xml:space="preserve"> </w:t>
      </w:r>
      <w:r>
        <w:t xml:space="preserve">Procedury zmiany załączników w tym reżimie są jawne: propozycje ogłasza się przed konferencją stron, a debata o gatunkach zagrożonych toczy się publicznie. Profesjonalny sprzedawca surowca roślinnego powinien monitorować ten proces. To najsłabszy element pozycji sprzedawcy i wymaga ustalenia, czy propozycja zmiany była publicznie znana przed zawarciem umowy — drugi brak rozstrzygający.</w:t>
      </w:r>
    </w:p>
    <w:p>
      <w:pPr>
        <w:pStyle w:val="BodyText"/>
      </w:pPr>
      <w:r>
        <w:rPr>
          <w:iCs/>
          <w:i/>
        </w:rPr>
        <w:t xml:space="preserve">(c) Niemożność przezwyciężenia.</w:t>
      </w:r>
      <w:r>
        <w:t xml:space="preserve"> </w:t>
      </w:r>
      <w:r>
        <w:t xml:space="preserve">Tu argumentacja sprzedawcy załamuje się najwyraźniej. Wymóg</w:t>
      </w:r>
      <w:r>
        <w:t xml:space="preserve"> </w:t>
      </w:r>
      <w:r>
        <w:rPr>
          <w:bCs/>
          <w:b/>
        </w:rPr>
        <w:t xml:space="preserve">nowego pozwolenia</w:t>
      </w:r>
      <w:r>
        <w:t xml:space="preserve"> </w:t>
      </w:r>
      <w:r>
        <w:t xml:space="preserve">nie jest niemożliwością — jest dodatkowym krokiem administracyjnym. Sprzedawca sam zaproponował opóźnienie i trasę alternatywną, co dowodzi, że przezwyciężenie było możliwe. Przesłanka niespełniona.</w:t>
      </w:r>
    </w:p>
    <w:p>
      <w:pPr>
        <w:pStyle w:val="BodyText"/>
      </w:pPr>
      <w:r>
        <w:rPr>
          <w:iCs/>
          <w:i/>
        </w:rPr>
        <w:t xml:space="preserve">(d)</w:t>
      </w:r>
      <w:r>
        <w:t xml:space="preserve"> </w:t>
      </w:r>
      <w:r>
        <w:t xml:space="preserve">Zawiadomienie — kazus nie podaje jego treści ani terminu.</w:t>
      </w:r>
    </w:p>
    <w:p>
      <w:pPr>
        <w:pStyle w:val="BodyText"/>
      </w:pPr>
      <w:r>
        <w:t xml:space="preserve">Odrębna kwestia:</w:t>
      </w:r>
      <w:r>
        <w:t xml:space="preserve"> </w:t>
      </w:r>
      <w:r>
        <w:rPr>
          <w:bCs/>
          <w:b/>
        </w:rPr>
        <w:t xml:space="preserve">kto odpowiada za pozwolenia</w:t>
      </w:r>
      <w:r>
        <w:t xml:space="preserve">. Zasada rozdziału obowiązków dokumentacyjnych przypisuje sprzedawcy formalności wywozowe, a kupującemu przywozowe, o ile umowa lub reguła handlowa nie stanowi inaczej. Kazus mówi, że nowego pozwolenia wymagał</w:t>
      </w:r>
      <w:r>
        <w:t xml:space="preserve"> </w:t>
      </w:r>
      <w:r>
        <w:rPr>
          <w:bCs/>
          <w:b/>
        </w:rPr>
        <w:t xml:space="preserve">import</w:t>
      </w:r>
      <w:r>
        <w:t xml:space="preserve"> </w:t>
      </w:r>
      <w:r>
        <w:t xml:space="preserve">— to sfera kupującego. Jeżeli umowa nie przeniosła tego obowiązku na sprzedawcę, kupujący nie może wywodzić naruszenia z faktu, że sam pozwolenia nie uzyskał.</w:t>
      </w:r>
    </w:p>
    <w:p>
      <w:pPr>
        <w:pStyle w:val="BodyText"/>
      </w:pPr>
      <w:r>
        <w:t xml:space="preserve">Wniosek: zwolnienie nie przysługuje, ale jest to dla sprzedawcy korzystne, bo naruszenia po jego stronie prawdopodobnie w ogóle nie było. Warto pamiętać, że zwolnienie działa wyłącznie wobec roszczenia odszkodowawczego i nie pozbawia drugiej strony pozostałych środków.</w:t>
      </w:r>
    </w:p>
    <w:bookmarkEnd w:id="26"/>
    <w:bookmarkStart w:id="27" w:name="X279babcd19e8639b7a367038a584e84b6d9274a"/>
    <w:p>
      <w:pPr>
        <w:pStyle w:val="Heading3"/>
      </w:pPr>
      <w:r>
        <w:t xml:space="preserve">Zagadnienie 5: skuteczność rozwiązania umowy i ograniczenie szkody</w:t>
      </w:r>
    </w:p>
    <w:p>
      <w:pPr>
        <w:pStyle w:val="FirstParagraph"/>
      </w:pPr>
      <w:r>
        <w:t xml:space="preserve">Rozwiązanie umowy wymaga naruszenia istotnego, czyli takiego, które zasadniczo pozbawia stronę tego, czego mogła oczekiwać na podstawie umowy, chyba że skutku tego nie przewidziała i rozsądna osoba w tych okolicznościach też by go nie przewidziała. Przy dostawie w transzach ocenę prowadzi się osobno dla poszczególnych transz i dla umowy jako całości.</w:t>
      </w:r>
    </w:p>
    <w:p>
      <w:pPr>
        <w:pStyle w:val="BodyText"/>
      </w:pPr>
      <w:r>
        <w:t xml:space="preserve">Fakty przemawiają przeciwko kupującemu. Sprzedawca zaproponował opóźnienie oraz alternatywną trasę; kupujący odmówił i natychmiast rozwiązał umowę. Trzy konsekwencje:</w:t>
      </w:r>
    </w:p>
    <w:p>
      <w:pPr>
        <w:numPr>
          <w:ilvl w:val="0"/>
          <w:numId w:val="1002"/>
        </w:numPr>
        <w:pStyle w:val="Compact"/>
      </w:pPr>
      <w:r>
        <w:t xml:space="preserve">opóźnienie samo w sobie rzadko jest naruszeniem istotnym, chyba że termin miał charakter zawity — kazus tego nie wskazuje;</w:t>
      </w:r>
    </w:p>
    <w:p>
      <w:pPr>
        <w:numPr>
          <w:ilvl w:val="0"/>
          <w:numId w:val="1002"/>
        </w:numPr>
        <w:pStyle w:val="Compact"/>
      </w:pPr>
      <w:r>
        <w:t xml:space="preserve">odmowa przyjęcia rozsądnej propozycji naprawczej obciąża kupującego z tytułu obowiązku ograniczenia szkody;</w:t>
      </w:r>
    </w:p>
    <w:p>
      <w:pPr>
        <w:numPr>
          <w:ilvl w:val="0"/>
          <w:numId w:val="1002"/>
        </w:numPr>
        <w:pStyle w:val="Compact"/>
      </w:pPr>
      <w:r>
        <w:t xml:space="preserve">strona nie może powoływać się na niewykonanie w zakresie, w jakim wynikło ono z jej własnego działania lub zaniechania — jeżeli to kupujący miał uzyskać pozwolenie przywozowe, reguła ta działa wprost.</w:t>
      </w:r>
    </w:p>
    <w:bookmarkEnd w:id="27"/>
    <w:bookmarkStart w:id="28" w:name="zagadnienie-6-obliczenie-odszkodowania"/>
    <w:p>
      <w:pPr>
        <w:pStyle w:val="Heading3"/>
      </w:pPr>
      <w:r>
        <w:t xml:space="preserve">Zagadnienie 6: obliczenie odszkodowania</w:t>
      </w:r>
    </w:p>
    <w:p>
      <w:pPr>
        <w:pStyle w:val="FirstParagraph"/>
      </w:pPr>
      <w:r>
        <w:t xml:space="preserve">Metoda transakcji zastępczej wymaga łącznie: skutecznego rozwiązania umowy; dokonania transakcji zastępczej w</w:t>
      </w:r>
      <w:r>
        <w:t xml:space="preserve"> </w:t>
      </w:r>
      <w:r>
        <w:rPr>
          <w:bCs/>
          <w:b/>
        </w:rPr>
        <w:t xml:space="preserve">rozsądny sposób</w:t>
      </w:r>
      <w:r>
        <w:t xml:space="preserve"> </w:t>
      </w:r>
      <w:r>
        <w:t xml:space="preserve">i w</w:t>
      </w:r>
      <w:r>
        <w:t xml:space="preserve"> </w:t>
      </w:r>
      <w:r>
        <w:rPr>
          <w:bCs/>
          <w:b/>
        </w:rPr>
        <w:t xml:space="preserve">rozsądnym czasie</w:t>
      </w:r>
      <w:r>
        <w:t xml:space="preserve"> </w:t>
      </w:r>
      <w:r>
        <w:t xml:space="preserve">po rozwiązaniu; wykazania różnicy między ceną umowną a ceną transakcji zastępczej.</w:t>
      </w:r>
    </w:p>
    <w:p>
      <w:pPr>
        <w:pStyle w:val="BodyText"/>
      </w:pPr>
      <w:r>
        <w:t xml:space="preserve">Ciężar dowodu spoczywa na kupującym co do zasadności rozwiązania, rozsądności transakcji i terminu. Jeżeli sprzedawca twierdzi, że transakcję zastępczą można było zawrzeć wcześniej lub taniej, podnosi w istocie zarzut naruszenia obowiązku ograniczenia szkody i to jego obciąża dowód w tym zakresie.</w:t>
      </w:r>
    </w:p>
    <w:p>
      <w:pPr>
        <w:pStyle w:val="BodyText"/>
      </w:pPr>
      <w:r>
        <w:t xml:space="preserve">Elementy do zbadania: czy transakcja zastępcza dotyczyła towaru porównywalnego (gatunek objęty tym samym reżimem czy inny, wolny od ograniczeń); czy wyższa cena wynikała z pilności wywołanej przedwczesnym rozwiązaniem umowy; czy kupujący uwzględnił korzyści z wcześniejszej dostawy.</w:t>
      </w:r>
    </w:p>
    <w:p>
      <w:pPr>
        <w:pStyle w:val="BodyText"/>
      </w:pPr>
      <w:r>
        <w:t xml:space="preserve">Jeżeli rozwiązanie umowy okaże się nieskuteczne, metoda transakcji zastępczej odpada w całości, a roszczenie kupującego trzeba przekwalifikować na zasady ogólne, z limitem przewidywalności.</w:t>
      </w:r>
    </w:p>
    <w:bookmarkEnd w:id="28"/>
    <w:bookmarkEnd w:id="29"/>
    <w:bookmarkStart w:id="30" w:name="macierz-argumentów"/>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kupującego</w:t>
            </w:r>
          </w:p>
        </w:tc>
        <w:tc>
          <w:tcPr/>
          <w:p>
            <w:pPr>
              <w:pStyle w:val="Compact"/>
              <w:jc w:val="left"/>
            </w:pPr>
            <w:r>
              <w:t xml:space="preserve">Argument sprzedawcy</w:t>
            </w:r>
          </w:p>
        </w:tc>
      </w:tr>
      <w:tr>
        <w:tc>
          <w:tcPr/>
          <w:p>
            <w:pPr>
              <w:pStyle w:val="Compact"/>
              <w:jc w:val="left"/>
            </w:pPr>
            <w:r>
              <w:t xml:space="preserve">Wersja regulaminu</w:t>
            </w:r>
          </w:p>
        </w:tc>
        <w:tc>
          <w:tcPr/>
          <w:p>
            <w:pPr>
              <w:pStyle w:val="Compact"/>
              <w:jc w:val="left"/>
            </w:pPr>
            <w:r>
              <w:t xml:space="preserve">Decyduje data wszczęcia arbitrażu; odesłanie do regulaminu bez wskazania edycji jest dynamiczne</w:t>
            </w:r>
          </w:p>
        </w:tc>
        <w:tc>
          <w:tcPr/>
          <w:p>
            <w:pPr>
              <w:pStyle w:val="Compact"/>
              <w:jc w:val="left"/>
            </w:pPr>
            <w:r>
              <w:t xml:space="preserve">Strony negocjowały w reżimie poprzedniej edycji; ich uzgodnienia mają pierwszeństwo przed regułą domyślną</w:t>
            </w:r>
          </w:p>
        </w:tc>
      </w:tr>
      <w:tr>
        <w:tc>
          <w:tcPr/>
          <w:p>
            <w:pPr>
              <w:pStyle w:val="Compact"/>
              <w:jc w:val="left"/>
            </w:pPr>
            <w:r>
              <w:t xml:space="preserve">Ujawnienie finansowania</w:t>
            </w:r>
          </w:p>
        </w:tc>
        <w:tc>
          <w:tcPr/>
          <w:p>
            <w:pPr>
              <w:pStyle w:val="Compact"/>
              <w:jc w:val="left"/>
            </w:pPr>
            <w:r>
              <w:t xml:space="preserve">Obowiązek obejmuje istnienie umowy i tożsamość finansującego; ujawniono wszystko, co wymagane</w:t>
            </w:r>
          </w:p>
        </w:tc>
        <w:tc>
          <w:tcPr/>
          <w:p>
            <w:pPr>
              <w:pStyle w:val="Compact"/>
              <w:jc w:val="left"/>
            </w:pPr>
            <w:r>
              <w:t xml:space="preserve">Kontrola konfliktów wymaga znajomości interesu finansującego i zobowiązania kosztowego</w:t>
            </w:r>
          </w:p>
        </w:tc>
      </w:tr>
      <w:tr>
        <w:tc>
          <w:tcPr/>
          <w:p>
            <w:pPr>
              <w:pStyle w:val="Compact"/>
              <w:jc w:val="left"/>
            </w:pPr>
            <w:r>
              <w:t xml:space="preserve">Zabezpieczenie kosztów</w:t>
            </w:r>
          </w:p>
        </w:tc>
        <w:tc>
          <w:tcPr/>
          <w:p>
            <w:pPr>
              <w:pStyle w:val="Compact"/>
              <w:jc w:val="left"/>
            </w:pPr>
            <w:r>
              <w:t xml:space="preserve">Samo finansowanie nie świadczy o sytuacji finansowej; istnieje ubezpieczenie kosztów</w:t>
            </w:r>
          </w:p>
        </w:tc>
        <w:tc>
          <w:tcPr/>
          <w:p>
            <w:pPr>
              <w:pStyle w:val="Compact"/>
              <w:jc w:val="left"/>
            </w:pPr>
            <w:r>
              <w:t xml:space="preserve">Struktura finansowania przenosi ryzyko kosztowe na podmiot spoza postępowania</w:t>
            </w:r>
          </w:p>
        </w:tc>
      </w:tr>
      <w:tr>
        <w:tc>
          <w:tcPr/>
          <w:p>
            <w:pPr>
              <w:pStyle w:val="Compact"/>
              <w:jc w:val="left"/>
            </w:pPr>
            <w:r>
              <w:t xml:space="preserve">Zwolnienie z odpowiedzialności</w:t>
            </w:r>
          </w:p>
        </w:tc>
        <w:tc>
          <w:tcPr/>
          <w:p>
            <w:pPr>
              <w:pStyle w:val="Compact"/>
              <w:jc w:val="left"/>
            </w:pPr>
            <w:r>
              <w:t xml:space="preserve">Zmiana reżimu była przewidywalna; wymóg pozwolenia to utrudnienie, nie niemożliwość</w:t>
            </w:r>
          </w:p>
        </w:tc>
        <w:tc>
          <w:tcPr/>
          <w:p>
            <w:pPr>
              <w:pStyle w:val="Compact"/>
              <w:jc w:val="left"/>
            </w:pPr>
            <w:r>
              <w:t xml:space="preserve">Zaostrzenie klasyfikacji to zdarzenie zewnętrzne poza kontrolą sprzedawcy</w:t>
            </w:r>
          </w:p>
        </w:tc>
      </w:tr>
      <w:tr>
        <w:tc>
          <w:tcPr/>
          <w:p>
            <w:pPr>
              <w:pStyle w:val="Compact"/>
              <w:jc w:val="left"/>
            </w:pPr>
            <w:r>
              <w:t xml:space="preserve">Rozwiązanie umowy</w:t>
            </w:r>
          </w:p>
        </w:tc>
        <w:tc>
          <w:tcPr/>
          <w:p>
            <w:pPr>
              <w:pStyle w:val="Compact"/>
              <w:jc w:val="left"/>
            </w:pPr>
            <w:r>
              <w:t xml:space="preserve">Niepewność dostaw uniemożliwiła uruchomienie linii produkcyjnej</w:t>
            </w:r>
          </w:p>
        </w:tc>
        <w:tc>
          <w:tcPr/>
          <w:p>
            <w:pPr>
              <w:pStyle w:val="Compact"/>
              <w:jc w:val="left"/>
            </w:pPr>
            <w:r>
              <w:t xml:space="preserve">Zaproponowano opóźnienie i trasę alternatywną; odmowa narusza obowiązek ograniczenia szkody</w:t>
            </w:r>
          </w:p>
        </w:tc>
      </w:tr>
      <w:tr>
        <w:tc>
          <w:tcPr/>
          <w:p>
            <w:pPr>
              <w:pStyle w:val="Compact"/>
              <w:jc w:val="left"/>
            </w:pPr>
            <w:r>
              <w:t xml:space="preserve">Odszkodowanie</w:t>
            </w:r>
          </w:p>
        </w:tc>
        <w:tc>
          <w:tcPr/>
          <w:p>
            <w:pPr>
              <w:pStyle w:val="Compact"/>
              <w:jc w:val="left"/>
            </w:pPr>
            <w:r>
              <w:t xml:space="preserve">Różnica cen wynika wprost z transakcji zastępczej</w:t>
            </w:r>
          </w:p>
        </w:tc>
        <w:tc>
          <w:tcPr/>
          <w:p>
            <w:pPr>
              <w:pStyle w:val="Compact"/>
              <w:jc w:val="left"/>
            </w:pPr>
            <w:r>
              <w:t xml:space="preserve">Transakcję zawarto przedwcześnie i w warunkach pilności wywołanej przez samego kupującego</w:t>
            </w:r>
          </w:p>
        </w:tc>
      </w:tr>
    </w:tbl>
    <w:bookmarkEnd w:id="30"/>
    <w:bookmarkStart w:id="31" w:name="braki-faktyczne-i-dowody-rozstrzygające"/>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Siedziby stron i wybór prawa</w:t>
            </w:r>
          </w:p>
        </w:tc>
        <w:tc>
          <w:tcPr/>
          <w:p>
            <w:pPr>
              <w:pStyle w:val="Compact"/>
              <w:jc w:val="left"/>
            </w:pPr>
            <w:r>
              <w:t xml:space="preserve">Decyduje o stosowaniu konwencji wiedeńskiej</w:t>
            </w:r>
          </w:p>
        </w:tc>
        <w:tc>
          <w:tcPr/>
          <w:p>
            <w:pPr>
              <w:pStyle w:val="Compact"/>
              <w:jc w:val="left"/>
            </w:pPr>
            <w:r>
              <w:t xml:space="preserve">Umowa, dane rejestrowe</w:t>
            </w:r>
          </w:p>
        </w:tc>
      </w:tr>
      <w:tr>
        <w:tc>
          <w:tcPr/>
          <w:p>
            <w:pPr>
              <w:pStyle w:val="Compact"/>
              <w:jc w:val="left"/>
            </w:pPr>
            <w:r>
              <w:t xml:space="preserve">Data wszczęcia arbitrażu</w:t>
            </w:r>
          </w:p>
        </w:tc>
        <w:tc>
          <w:tcPr/>
          <w:p>
            <w:pPr>
              <w:pStyle w:val="Compact"/>
              <w:jc w:val="left"/>
            </w:pPr>
            <w:r>
              <w:t xml:space="preserve">Jedyne kryterium wersji regulaminu</w:t>
            </w:r>
          </w:p>
        </w:tc>
        <w:tc>
          <w:tcPr/>
          <w:p>
            <w:pPr>
              <w:pStyle w:val="Compact"/>
              <w:jc w:val="left"/>
            </w:pPr>
            <w:r>
              <w:t xml:space="preserve">Zawiadomienie o arbitrażu z potwierdzeniem wpływu</w:t>
            </w:r>
          </w:p>
        </w:tc>
      </w:tr>
      <w:tr>
        <w:tc>
          <w:tcPr/>
          <w:p>
            <w:pPr>
              <w:pStyle w:val="Compact"/>
              <w:jc w:val="left"/>
            </w:pPr>
            <w:r>
              <w:t xml:space="preserve">Czy propozycja zmiany klasyfikacji była publiczna przed zawarciem umowy</w:t>
            </w:r>
          </w:p>
        </w:tc>
        <w:tc>
          <w:tcPr/>
          <w:p>
            <w:pPr>
              <w:pStyle w:val="Compact"/>
              <w:jc w:val="left"/>
            </w:pPr>
            <w:r>
              <w:t xml:space="preserve">Przesłanka nieprzewidywalności</w:t>
            </w:r>
          </w:p>
        </w:tc>
        <w:tc>
          <w:tcPr/>
          <w:p>
            <w:pPr>
              <w:pStyle w:val="Compact"/>
              <w:jc w:val="left"/>
            </w:pPr>
            <w:r>
              <w:t xml:space="preserve">Dokumenty konferencji stron, komunikaty sekretariatu</w:t>
            </w:r>
          </w:p>
        </w:tc>
      </w:tr>
      <w:tr>
        <w:tc>
          <w:tcPr/>
          <w:p>
            <w:pPr>
              <w:pStyle w:val="Compact"/>
              <w:jc w:val="left"/>
            </w:pPr>
            <w:r>
              <w:t xml:space="preserve">Podział obowiązków dokumentacyjnych w umowie</w:t>
            </w:r>
          </w:p>
        </w:tc>
        <w:tc>
          <w:tcPr/>
          <w:p>
            <w:pPr>
              <w:pStyle w:val="Compact"/>
              <w:jc w:val="left"/>
            </w:pPr>
            <w:r>
              <w:t xml:space="preserve">Przesądza, kogo obciążał brak pozwolenia przywozowego</w:t>
            </w:r>
          </w:p>
        </w:tc>
        <w:tc>
          <w:tcPr/>
          <w:p>
            <w:pPr>
              <w:pStyle w:val="Compact"/>
              <w:jc w:val="left"/>
            </w:pPr>
            <w:r>
              <w:t xml:space="preserve">Klauzula dostawy, reguła handlowa, korespondencja</w:t>
            </w:r>
          </w:p>
        </w:tc>
      </w:tr>
      <w:tr>
        <w:tc>
          <w:tcPr/>
          <w:p>
            <w:pPr>
              <w:pStyle w:val="Compact"/>
              <w:jc w:val="left"/>
            </w:pPr>
            <w:r>
              <w:t xml:space="preserve">Czy termin dostawy miał charakter zawity</w:t>
            </w:r>
          </w:p>
        </w:tc>
        <w:tc>
          <w:tcPr/>
          <w:p>
            <w:pPr>
              <w:pStyle w:val="Compact"/>
              <w:jc w:val="left"/>
            </w:pPr>
            <w:r>
              <w:t xml:space="preserve">Warunek uznania opóźnienia za naruszenie istotne</w:t>
            </w:r>
          </w:p>
        </w:tc>
        <w:tc>
          <w:tcPr/>
          <w:p>
            <w:pPr>
              <w:pStyle w:val="Compact"/>
              <w:jc w:val="left"/>
            </w:pPr>
            <w:r>
              <w:t xml:space="preserve">Umowa, harmonogram transz</w:t>
            </w:r>
          </w:p>
        </w:tc>
      </w:tr>
      <w:tr>
        <w:tc>
          <w:tcPr/>
          <w:p>
            <w:pPr>
              <w:pStyle w:val="Compact"/>
              <w:jc w:val="left"/>
            </w:pPr>
            <w:r>
              <w:t xml:space="preserve">Treść i data zawiadomienia o przeszkodzie</w:t>
            </w:r>
          </w:p>
        </w:tc>
        <w:tc>
          <w:tcPr/>
          <w:p>
            <w:pPr>
              <w:pStyle w:val="Compact"/>
              <w:jc w:val="left"/>
            </w:pPr>
            <w:r>
              <w:t xml:space="preserve">Przesłanka zwolnienia</w:t>
            </w:r>
          </w:p>
        </w:tc>
        <w:tc>
          <w:tcPr/>
          <w:p>
            <w:pPr>
              <w:pStyle w:val="Compact"/>
              <w:jc w:val="left"/>
            </w:pPr>
            <w:r>
              <w:t xml:space="preserve">Korespondencja</w:t>
            </w:r>
          </w:p>
        </w:tc>
      </w:tr>
      <w:tr>
        <w:tc>
          <w:tcPr/>
          <w:p>
            <w:pPr>
              <w:pStyle w:val="Compact"/>
              <w:jc w:val="left"/>
            </w:pPr>
            <w:r>
              <w:t xml:space="preserve">Warunki transakcji zastępczej</w:t>
            </w:r>
          </w:p>
        </w:tc>
        <w:tc>
          <w:tcPr/>
          <w:p>
            <w:pPr>
              <w:pStyle w:val="Compact"/>
              <w:jc w:val="left"/>
            </w:pPr>
            <w:r>
              <w:t xml:space="preserve">Podstawa obliczenia szkody</w:t>
            </w:r>
          </w:p>
        </w:tc>
        <w:tc>
          <w:tcPr/>
          <w:p>
            <w:pPr>
              <w:pStyle w:val="Compact"/>
              <w:jc w:val="left"/>
            </w:pPr>
            <w:r>
              <w:t xml:space="preserve">Umowa zastępcza, oferty konkurencyjne, dane rynkowe</w:t>
            </w:r>
          </w:p>
        </w:tc>
      </w:tr>
      <w:tr>
        <w:tc>
          <w:tcPr/>
          <w:p>
            <w:pPr>
              <w:pStyle w:val="Compact"/>
              <w:jc w:val="left"/>
            </w:pPr>
            <w:r>
              <w:t xml:space="preserve">Charakter relacji arbitra z finansującym</w:t>
            </w:r>
          </w:p>
        </w:tc>
        <w:tc>
          <w:tcPr/>
          <w:p>
            <w:pPr>
              <w:pStyle w:val="Compact"/>
              <w:jc w:val="left"/>
            </w:pPr>
            <w:r>
              <w:t xml:space="preserve">Warunek oceny wniosku o wyłączenie</w:t>
            </w:r>
          </w:p>
        </w:tc>
        <w:tc>
          <w:tcPr/>
          <w:p>
            <w:pPr>
              <w:pStyle w:val="Compact"/>
              <w:jc w:val="left"/>
            </w:pPr>
            <w:r>
              <w:t xml:space="preserve">Oświadczenie arbitra, historia nominacji</w:t>
            </w:r>
          </w:p>
        </w:tc>
      </w:tr>
    </w:tbl>
    <w:bookmarkEnd w:id="31"/>
    <w:bookmarkStart w:id="32" w:name="proponowane-rozstrzygnięcie"/>
    <w:p>
      <w:pPr>
        <w:pStyle w:val="Heading2"/>
      </w:pPr>
      <w:r>
        <w:t xml:space="preserve">Proponowane rozstrzygnięcie</w:t>
      </w:r>
    </w:p>
    <w:p>
      <w:pPr>
        <w:pStyle w:val="FirstParagraph"/>
      </w:pPr>
      <w:r>
        <w:t xml:space="preserve">Postanowienie proceduralne: stwierdzić właściwość siódmej edycji regulaminu; nakazać ujawnienie interesu finansującego w wyniku sprawy i zobowiązania do pokrycia kosztów przeciwnika, z dopuszczeniem redakcji fragmentów handlowych; oddalić żądanie ujawnienia pełnej umowy finansowania; oddalić wniosek o zabezpieczenie kosztów; odroczyć rozpoznanie wniosku o wyłączenie arbitra do czasu wykonania zarządzenia o ujawnieniu.</w:t>
      </w:r>
    </w:p>
    <w:p>
      <w:pPr>
        <w:pStyle w:val="BodyText"/>
      </w:pPr>
      <w:r>
        <w:t xml:space="preserve">Co do istoty: oddalić roszczenie kupującego w zakresie odszkodowania obliczonego metodą transakcji zastępczej ze względu na nieskuteczność rozwiązania umowy; dopuścić rozpoznanie roszczenia o szkodę wynikłą z opóźnienia na zasadach ogólnych, z uwzględnieniem obowiązku ograniczenia szkody. Nie orzekać o zwolnieniu z odpowiedzialności, ponieważ przy braku naruszenia zagadnienie jest bezprzedmiotowe.</w:t>
      </w:r>
    </w:p>
    <w:bookmarkEnd w:id="32"/>
    <w:bookmarkStart w:id="33" w:name="zweryfikowane-pozycje-źródłowe-k-05"/>
    <w:p>
      <w:pPr>
        <w:pStyle w:val="Heading2"/>
      </w:pPr>
      <w:r>
        <w:t xml:space="preserve">Zweryfikowane pozycje źródłowe (K-05)</w:t>
      </w:r>
    </w:p>
    <w:p>
      <w:pPr>
        <w:pStyle w:val="FirstParagraph"/>
      </w:pPr>
      <w:r>
        <w:t xml:space="preserve">Potwierdzone w źródłach zewnętrznych:</w:t>
      </w:r>
    </w:p>
    <w:p>
      <w:pPr>
        <w:numPr>
          <w:ilvl w:val="0"/>
          <w:numId w:val="1003"/>
        </w:numPr>
        <w:pStyle w:val="Compact"/>
      </w:pPr>
      <w:r>
        <w:t xml:space="preserve">Regulamin arbitrażowy SIAC, siódma edycja, wszedł w życie 1 stycznia 2025 r. i stosuje się do arbitraży wszczętych w tym dniu lub później, chyba że strony uzgodniły inaczej — także wtedy, gdy sam zapis na sąd polubowny zawarto wcześniej.</w:t>
      </w:r>
    </w:p>
    <w:p>
      <w:pPr>
        <w:numPr>
          <w:ilvl w:val="0"/>
          <w:numId w:val="1003"/>
        </w:numPr>
        <w:pStyle w:val="Compact"/>
      </w:pPr>
      <w:r>
        <w:t xml:space="preserve">Odnotowano rozbieżność: w części komentarzy pojawia się odczytanie wiążące właściwą edycję z datą zawarcia zapisu, a nie z datą wszczęcia. Stanowisko dominujące jest przeciwne, ale rozbieżność ta ma wartość procesową.</w:t>
      </w:r>
    </w:p>
    <w:p>
      <w:pPr>
        <w:numPr>
          <w:ilvl w:val="0"/>
          <w:numId w:val="1003"/>
        </w:numPr>
        <w:pStyle w:val="Compact"/>
      </w:pPr>
      <w:r>
        <w:t xml:space="preserve">Reguła 38 tej edycji — obowiązek ujawnienia istnienia umowy finansowania oraz tożsamości i danych kontaktowych finansującego w zawiadomieniu o arbitrażu, w odpowiedzi albo niezwłocznie po zawarciu umowy; uprawnienie trybunału do zarządzenia ujawnienia interesu finansującego w wyniku sprawy oraz tego, czy zobowiązał się on pokryć koszty przeciwnika; zakaz zawierania po ukonstytuowaniu trybunału umowy finansowania mogącej rodzić konflikt interesów z jego członkiem; uwzględnianie finansowania przy rozdziale kosztów; środki na wypadek niewykonania obowiązku ujawnienia.</w:t>
      </w:r>
    </w:p>
    <w:p>
      <w:pPr>
        <w:numPr>
          <w:ilvl w:val="0"/>
          <w:numId w:val="1003"/>
        </w:numPr>
        <w:pStyle w:val="Compact"/>
      </w:pPr>
      <w:r>
        <w:t xml:space="preserve">Reguły 48 i 49 tej edycji — wyraźne podstawy zabezpieczenia kosztów oraz zabezpieczenia roszczenia.</w:t>
      </w:r>
    </w:p>
    <w:p>
      <w:pPr>
        <w:pStyle w:val="FirstParagraph"/>
      </w:pPr>
      <w:r>
        <w:t xml:space="preserve">Nie zweryfikowano punktowo i świadomie nie przypisano numerów jednostek redakcyjnych: numeracji reguły intertemporalnej regulaminu, numeracji ustępów reguły 38, a także przepisów konwencji wiedeńskiej o umowach międzynarodowej sprzedaży towarów regulujących zwolnienie z odpowiedzialności, naruszenie istotne, transakcję zastępczą, cenę bieżącą, przewidywalność szkody i obowiązek jej ograniczenia. Treść tych instytucji przedstawiono jako standard doktrynalny. Podobnie nieprzypisane pozostają: reguła rozdziału formalności wywozowych i przywozowych, standard uzasadnionych wątpliwości przy wyłączeniu arbitra oraz przesłanki zabezpieczenia kosztów. Przed użyciem zawodowym wymagają sprawdzenia w tekście konwencji, regulaminu i wytycznych o konfliktach interesów.</w:t>
      </w:r>
    </w:p>
    <w:p>
      <w:r>
        <w:br w:type="page"/>
      </w:r>
    </w:p>
    <w:bookmarkEnd w:id="33"/>
    <w:bookmarkEnd w:id="34"/>
    <w:bookmarkStart w:id="47" w:name="k-06-inkaton-przeciwko-accadii"/>
    <w:p>
      <w:pPr>
        <w:pStyle w:val="Heading1"/>
      </w:pPr>
      <w:r>
        <w:t xml:space="preserve">K-06 Inkaton przeciwko Accadii</w:t>
      </w:r>
    </w:p>
    <w:bookmarkStart w:id="35" w:name="teza-wstępna-1"/>
    <w:p>
      <w:pPr>
        <w:pStyle w:val="Heading2"/>
      </w:pPr>
      <w:r>
        <w:t xml:space="preserve">Teza wstępna</w:t>
      </w:r>
    </w:p>
    <w:p>
      <w:pPr>
        <w:pStyle w:val="FirstParagraph"/>
      </w:pPr>
      <w:r>
        <w:t xml:space="preserve">Kazus rozstrzyga się na trzech ustaleniach. Po pierwsze, orzeczenie krajowe przyznające tytuł do obiektu kosmicznego nie może przełamać jurysdykcji i kontroli państwa rejestracji — przechwycenie satelity było bezprawne niezależnie od jego wyniku. Po drugie, szkoda na Księżycu nie podlega odpowiedzialności absolutnej, lecz opartej na winie, a decyzja o odrzuceniu ładunku jest aktem ludzkim przerywającym łańcuch przyczynowy siły wyższej. Po trzecie, ratownictwo nie tworzy tytułu do mienia z wraku — powrót personelu Quipu po technologię był odrębnym czynem bezprawnym.</w:t>
      </w:r>
    </w:p>
    <w:bookmarkEnd w:id="35"/>
    <w:bookmarkStart w:id="36" w:name="mapa-jurysdykcji-źródeł-i-kompetencji-1"/>
    <w:p>
      <w:pPr>
        <w:pStyle w:val="Heading2"/>
      </w:pPr>
      <w:r>
        <w:t xml:space="preserve">Mapa jurysdykcji, źródeł i kompetencji</w:t>
      </w:r>
    </w:p>
    <w:p>
      <w:pPr>
        <w:pStyle w:val="FirstParagraph"/>
      </w:pPr>
      <w:r>
        <w:rPr>
          <w:bCs/>
          <w:b/>
        </w:rPr>
        <w:t xml:space="preserve">Reżim odpowiedzialności państwa za działalność prywatną.</w:t>
      </w:r>
      <w:r>
        <w:t xml:space="preserve"> </w:t>
      </w:r>
      <w:r>
        <w:t xml:space="preserve">Prawo kosmiczne zawiera odstępstwo od ogólnej zasady nieprzypisywania zachowań podmiotów prywatnych: państwo ponosi międzynarodową odpowiedzialność za działalność narodową w przestrzeni kosmicznej, w tym prowadzoną przez podmioty pozarządowe, a działalność ta wymaga zezwolenia i stałego nadzoru państwa. Oznacza to, że nie trzeba wykazywać kontroli państwa nad konkretnym zachowaniem Quipu ani Sargon — wystarczy przynależność działalności do państwa. To zasadnicza różnica wobec analizy przypisania w kazusie K-02 i najczęstsze źródło błędu przy łącznym rozwiązywaniu obu.</w:t>
      </w:r>
    </w:p>
    <w:p>
      <w:pPr>
        <w:pStyle w:val="BodyText"/>
      </w:pPr>
      <w:r>
        <w:rPr>
          <w:bCs/>
          <w:b/>
        </w:rPr>
        <w:t xml:space="preserve">Jurysdykcja i kontrola nad obiektem.</w:t>
      </w:r>
      <w:r>
        <w:t xml:space="preserve"> </w:t>
      </w:r>
      <w:r>
        <w:t xml:space="preserve">Państwo, w którego rejestrze wpisano obiekt, zachowuje jurysdykcję i kontrolę nad nim oraz nad personelem, gdy znajduje się w przestrzeni kosmicznej lub na ciele niebieskim. Rejestracja kanalizuje odpowiedzialność i wyznacza państwo uprawnione.</w:t>
      </w:r>
    </w:p>
    <w:p>
      <w:pPr>
        <w:pStyle w:val="BodyText"/>
      </w:pPr>
      <w:r>
        <w:rPr>
          <w:bCs/>
          <w:b/>
        </w:rPr>
        <w:t xml:space="preserve">Reżim odpowiedzialności za szkodę.</w:t>
      </w:r>
      <w:r>
        <w:t xml:space="preserve"> </w:t>
      </w:r>
      <w:r>
        <w:t xml:space="preserve">Konwencja o odpowiedzialności różnicuje podstawę według miejsca szkody: odpowiedzialność</w:t>
      </w:r>
      <w:r>
        <w:t xml:space="preserve"> </w:t>
      </w:r>
      <w:r>
        <w:rPr>
          <w:bCs/>
          <w:b/>
        </w:rPr>
        <w:t xml:space="preserve">absolutna</w:t>
      </w:r>
      <w:r>
        <w:t xml:space="preserve"> </w:t>
      </w:r>
      <w:r>
        <w:t xml:space="preserve">dotyczy szkody wyrządzonej przez obiekt kosmiczny na powierzchni Ziemi lub statkowi powietrznemu w locie; w razie szkody wyrządzonej</w:t>
      </w:r>
      <w:r>
        <w:t xml:space="preserve"> </w:t>
      </w:r>
      <w:r>
        <w:rPr>
          <w:bCs/>
          <w:b/>
        </w:rPr>
        <w:t xml:space="preserve">gdzie indziej niż na powierzchni Ziemi</w:t>
      </w:r>
      <w:r>
        <w:t xml:space="preserve"> </w:t>
      </w:r>
      <w:r>
        <w:t xml:space="preserve">obiektowi kosmicznemu jednego państwa wystrzeliwującego albo osobom lub mieniu na jego pokładzie przez obiekt innego państwa — podstawą jest</w:t>
      </w:r>
      <w:r>
        <w:t xml:space="preserve"> </w:t>
      </w:r>
      <w:r>
        <w:rPr>
          <w:bCs/>
          <w:b/>
        </w:rPr>
        <w:t xml:space="preserve">wina</w:t>
      </w:r>
      <w:r>
        <w:t xml:space="preserve">. Egzoneracja od odpowiedzialności absolutnej przysługuje w zakresie, w jakim państwo wykaże, że szkoda wynikła całkowicie lub częściowo z rażącego niedbalstwa albo działania lub zaniechania podjętego z zamiarem wyrządzenia szkody po stronie państwa dochodzącego roszczenia lub reprezentowanych przez nie osób.</w:t>
      </w:r>
    </w:p>
    <w:p>
      <w:pPr>
        <w:pStyle w:val="BodyText"/>
      </w:pPr>
      <w:r>
        <w:rPr>
          <w:bCs/>
          <w:b/>
        </w:rPr>
        <w:t xml:space="preserve">Forum.</w:t>
      </w:r>
      <w:r>
        <w:t xml:space="preserve"> </w:t>
      </w:r>
      <w:r>
        <w:t xml:space="preserve">Spór przekazano do rozstrzygnięcia międzypaństwowego. Roszczenia spółek dochodzone są przez ich państwa; przy roszczeniach opartych na konwencji o odpowiedzialności państwo występuje we własnym imieniu, co odróżnia je od klasycznej opieki dyplomatycznej i wpływa na wymóg wyczerpania środków krajowych.</w:t>
      </w:r>
    </w:p>
    <w:bookmarkEnd w:id="36"/>
    <w:bookmarkStart w:id="42" w:name="analiza-materialna-według-zagadnień-1"/>
    <w:p>
      <w:pPr>
        <w:pStyle w:val="Heading2"/>
      </w:pPr>
      <w:r>
        <w:t xml:space="preserve">Analiza materialna według zagadnień</w:t>
      </w:r>
    </w:p>
    <w:bookmarkStart w:id="37" w:name="Xae494684b4b3230f29040a210a334b74dcb1ed9"/>
    <w:p>
      <w:pPr>
        <w:pStyle w:val="Heading3"/>
      </w:pPr>
      <w:r>
        <w:t xml:space="preserve">Zagadnienie 1: własność obiektu i skuteczność orzeczenia in rem</w:t>
      </w:r>
    </w:p>
    <w:p>
      <w:pPr>
        <w:pStyle w:val="FirstParagraph"/>
      </w:pPr>
      <w:r>
        <w:t xml:space="preserve">Utrata kontroli nad satelitą nie zmienia jego statusu prawnego. Własność obiektów wystrzelonych w przestrzeń kosmiczną nie ulega zmianie ani przez ich pobyt w przestrzeni kosmicznej, ani przez powrót na Ziemię; państwo rejestracji zachowuje jurysdykcję i kontrolę.</w:t>
      </w:r>
    </w:p>
    <w:p>
      <w:pPr>
        <w:pStyle w:val="BodyText"/>
      </w:pPr>
      <w:r>
        <w:t xml:space="preserve">Wynika stąd, że orzeczenie sądu Accadii przyznające Sargon tytuł do obiektu wywołuje skutki co najwyżej w porządku krajowym Accadii. Nie może być przeciwstawione Inkatonowi ani Quipu na płaszczyźnie prawa międzynarodowego — państwo nie nabywa uprawnień do cudzego obiektu przez orzeczenie własnego sądu. Przeciwna teza prowadziłaby do tego, że każde państwo mogłoby legalizować zawłaszczenie obiektu obcej rejestracji.</w:t>
      </w:r>
    </w:p>
    <w:p>
      <w:pPr>
        <w:pStyle w:val="BodyText"/>
      </w:pPr>
      <w:r>
        <w:t xml:space="preserve">Charakter „stealth” satelity nie zmienia oceny. Może rodzić odrębne zarzuty (naruszenie obowiązku rejestracji i informowania), ale nie pozbawia obiektu ochrony.</w:t>
      </w:r>
    </w:p>
    <w:bookmarkEnd w:id="37"/>
    <w:bookmarkStart w:id="38" w:name="X24bb3960f6b4b5ac97edd0e3c292dbbbb2b7616"/>
    <w:p>
      <w:pPr>
        <w:pStyle w:val="Heading3"/>
      </w:pPr>
      <w:r>
        <w:t xml:space="preserve">Zagadnienie 2: uzasadnienie jednostronnego przechwycenia</w:t>
      </w:r>
    </w:p>
    <w:p>
      <w:pPr>
        <w:pStyle w:val="FirstParagraph"/>
      </w:pPr>
      <w:r>
        <w:t xml:space="preserve">Trzy możliwe podstawy, wszystkie zawodne.</w:t>
      </w:r>
    </w:p>
    <w:p>
      <w:pPr>
        <w:pStyle w:val="BodyText"/>
      </w:pPr>
      <w:r>
        <w:rPr>
          <w:iCs/>
          <w:i/>
        </w:rPr>
        <w:t xml:space="preserve">Bezpieczeństwo ruchu orbitalnego i unikanie szkodliwych zakłóceń.</w:t>
      </w:r>
      <w:r>
        <w:t xml:space="preserve"> </w:t>
      </w:r>
      <w:r>
        <w:t xml:space="preserve">Reżim traktatowy przewiduje na wypadek ryzyka szkodliwych zakłóceń</w:t>
      </w:r>
      <w:r>
        <w:t xml:space="preserve"> </w:t>
      </w:r>
      <w:r>
        <w:rPr>
          <w:bCs/>
          <w:b/>
        </w:rPr>
        <w:t xml:space="preserve">procedurę konsultacji</w:t>
      </w:r>
      <w:r>
        <w:t xml:space="preserve">, nie samopomoc. Sargon zwróciła się o zgodę i po odmowie działała jednostronnie — czyli świadomie pominęła dostępną drogę.</w:t>
      </w:r>
    </w:p>
    <w:p>
      <w:pPr>
        <w:pStyle w:val="BodyText"/>
      </w:pPr>
      <w:r>
        <w:rPr>
          <w:iCs/>
          <w:i/>
        </w:rPr>
        <w:t xml:space="preserve">Stan wyższej konieczności.</w:t>
      </w:r>
      <w:r>
        <w:t xml:space="preserve"> </w:t>
      </w:r>
      <w:r>
        <w:t xml:space="preserve">Przesłanki są wyjątkowo wąskie: działanie musi być</w:t>
      </w:r>
      <w:r>
        <w:t xml:space="preserve"> </w:t>
      </w:r>
      <w:r>
        <w:rPr>
          <w:bCs/>
          <w:b/>
        </w:rPr>
        <w:t xml:space="preserve">jedynym sposobem</w:t>
      </w:r>
      <w:r>
        <w:t xml:space="preserve"> </w:t>
      </w:r>
      <w:r>
        <w:t xml:space="preserve">ochrony istotnego interesu przed poważnym i nieuchronnym niebezpieczeństwem i nie może poważnie naruszać istotnego interesu państwa, wobec którego zobowiązanie istnieje. Istnienie niewykorzystanej procedury konsultacyjnej przekreśla przesłankę „jedynego sposobu”. Ponadto powołanie się na konieczność jest wyłączone, gdy państwo przyczyniło się do powstania sytuacji.</w:t>
      </w:r>
    </w:p>
    <w:p>
      <w:pPr>
        <w:pStyle w:val="BodyText"/>
      </w:pPr>
      <w:r>
        <w:rPr>
          <w:iCs/>
          <w:i/>
        </w:rPr>
        <w:t xml:space="preserve">Ratownictwo obiektów.</w:t>
      </w:r>
      <w:r>
        <w:t xml:space="preserve"> </w:t>
      </w:r>
      <w:r>
        <w:t xml:space="preserve">Reżim zwrotu obiektów kosmicznych zobowiązuje do</w:t>
      </w:r>
      <w:r>
        <w:t xml:space="preserve"> </w:t>
      </w:r>
      <w:r>
        <w:rPr>
          <w:bCs/>
          <w:b/>
        </w:rPr>
        <w:t xml:space="preserve">zwrotu</w:t>
      </w:r>
      <w:r>
        <w:t xml:space="preserve"> </w:t>
      </w:r>
      <w:r>
        <w:t xml:space="preserve">obiektu państwu wystrzeliwującemu, a nie uprawnia do jego zatrzymania i przebudowy. Sargon zrobiła dokładnie odwrotnie: przewiozła obiekt na własną stację, uzyskała tytuł i go odnowiła.</w:t>
      </w:r>
    </w:p>
    <w:p>
      <w:pPr>
        <w:pStyle w:val="BodyText"/>
      </w:pPr>
      <w:r>
        <w:t xml:space="preserve">Wniosek: przechwycenie jest czynem międzynarodowo bezprawnym przypisanym Accadii.</w:t>
      </w:r>
    </w:p>
    <w:bookmarkEnd w:id="38"/>
    <w:bookmarkStart w:id="39" w:name="Xb36367867027a5602816249c74812e4008ccb37"/>
    <w:p>
      <w:pPr>
        <w:pStyle w:val="Heading3"/>
      </w:pPr>
      <w:r>
        <w:t xml:space="preserve">Zagadnienie 3: odpowiedzialność za szkodę na Księżycu</w:t>
      </w:r>
    </w:p>
    <w:p>
      <w:pPr>
        <w:pStyle w:val="FirstParagraph"/>
      </w:pPr>
      <w:r>
        <w:t xml:space="preserve">Kwalifikacja miejsca: instalacja na Księżycu nie jest „powierzchnią Ziemi”. Reżim odpowiedzialności absolutnej nie ma zastosowania — właściwa jest podstawa oparta na winie. To odwraca rozkład ciężaru dowodu: Inkaton musi wykazać winę po stronie Accadii lub podmiotów, za które ona odpowiada.</w:t>
      </w:r>
    </w:p>
    <w:p>
      <w:pPr>
        <w:pStyle w:val="BodyText"/>
      </w:pPr>
      <w:r>
        <w:t xml:space="preserve">Elementy do rozdzielenia:</w:t>
      </w:r>
    </w:p>
    <w:p>
      <w:pPr>
        <w:pStyle w:val="BodyText"/>
      </w:pPr>
      <w:r>
        <w:rPr>
          <w:iCs/>
          <w:i/>
        </w:rPr>
        <w:t xml:space="preserve">Burza protonowa.</w:t>
      </w:r>
      <w:r>
        <w:t xml:space="preserve"> </w:t>
      </w:r>
      <w:r>
        <w:t xml:space="preserve">Zdarzenie naturalne. Sama w sobie nie stanowi winy, ale pytanie brzmi, czy misja została zaprojektowana z uwzględnieniem przewidywalnego ryzyka pogody kosmicznej — osłony, procedury, prognozy. Zjawiska tego typu są monitorowane i prognozowane; brak uwzględnienia ich w profilu misji może stanowić niedbalstwo.</w:t>
      </w:r>
    </w:p>
    <w:p>
      <w:pPr>
        <w:pStyle w:val="BodyText"/>
      </w:pPr>
      <w:r>
        <w:rPr>
          <w:iCs/>
          <w:i/>
        </w:rPr>
        <w:t xml:space="preserve">Odrzucenie ładunku.</w:t>
      </w:r>
      <w:r>
        <w:t xml:space="preserve"> </w:t>
      </w:r>
      <w:r>
        <w:t xml:space="preserve">To decyzja operatora, nie skutek burzy. Przerywa łańcuch przyczynowy przypisywany sile wyższej i podlega samodzielnej ocenie: czy istniała alternatywa, czy wybrano trajektorię minimalizującą ryzyko dla instalacji osób trzecich, czy ostrzeżono Quipu. Jest to najsilniejszy punkt Inkatonu.</w:t>
      </w:r>
    </w:p>
    <w:p>
      <w:pPr>
        <w:pStyle w:val="BodyText"/>
      </w:pPr>
      <w:r>
        <w:rPr>
          <w:iCs/>
          <w:i/>
        </w:rPr>
        <w:t xml:space="preserve">Stan instalacji Quipu.</w:t>
      </w:r>
      <w:r>
        <w:t xml:space="preserve"> </w:t>
      </w:r>
      <w:r>
        <w:t xml:space="preserve">Ewentualne uchybienia w konstrukcji instalacji mogą zmniejszyć odszkodowanie przez przyczynienie się poszkodowanego, ale nie zwalniają z odpowiedzialności za czyn zawiniony.</w:t>
      </w:r>
    </w:p>
    <w:p>
      <w:pPr>
        <w:pStyle w:val="BodyText"/>
      </w:pPr>
      <w:r>
        <w:rPr>
          <w:iCs/>
          <w:i/>
        </w:rPr>
        <w:t xml:space="preserve">Zakres szkody.</w:t>
      </w:r>
      <w:r>
        <w:t xml:space="preserve"> </w:t>
      </w:r>
      <w:r>
        <w:t xml:space="preserve">Sprzęt, struktura z regolitu i wydobyty hel-3 mają różny charakter. Hel-3 to produkt działalności wydobywczej — jego kwalifikacja jako mienia wymaga rozstrzygnięcia, czy zasoby wydobyte stają się własnością wydobywającego mimo zakazu zawłaszczania ciał niebieskich. To zagadnienie sporne i kluczowe dla wyceny.</w:t>
      </w:r>
    </w:p>
    <w:bookmarkEnd w:id="39"/>
    <w:bookmarkStart w:id="40" w:name="Xdc06b5c63b1d2c87a341fd4965878e2ca2ae5c2"/>
    <w:p>
      <w:pPr>
        <w:pStyle w:val="Heading3"/>
      </w:pPr>
      <w:r>
        <w:t xml:space="preserve">Zagadnienie 4: ratownictwo i pozyskanie technologii z wraku</w:t>
      </w:r>
    </w:p>
    <w:p>
      <w:pPr>
        <w:pStyle w:val="FirstParagraph"/>
      </w:pPr>
      <w:r>
        <w:t xml:space="preserve">Obowiązek ratowania personelu jest bezwarunkowy i Quipu go wykonała — to okoliczność korzystna dla Inkatonu w warstwie oceny ogólnej.</w:t>
      </w:r>
    </w:p>
    <w:p>
      <w:pPr>
        <w:pStyle w:val="BodyText"/>
      </w:pPr>
      <w:r>
        <w:t xml:space="preserve">Ratownictwo nie tworzy jednak żadnego tytułu do mienia. Powrót personelu Quipu do wraku i wydobycie zastrzeżonej technologii to</w:t>
      </w:r>
      <w:r>
        <w:t xml:space="preserve"> </w:t>
      </w:r>
      <w:r>
        <w:rPr>
          <w:bCs/>
          <w:b/>
        </w:rPr>
        <w:t xml:space="preserve">odrębny czyn</w:t>
      </w:r>
      <w:r>
        <w:t xml:space="preserve">, oceniany samodzielnie. Argument „zabezpieczenia terenu i ograniczenia ryzyka” mógłby uzasadniać czynności zabezpieczające na miejscu, ale nie wywiezienie urządzeń i technologii. Test proporcjonalności: czy podjęte środki były niezbędne do usunięcia zagrożenia, czy wykraczały poza nie. Wywiezienie zastrzeżonej technologii wykracza.</w:t>
      </w:r>
    </w:p>
    <w:p>
      <w:pPr>
        <w:pStyle w:val="BodyText"/>
      </w:pPr>
      <w:r>
        <w:t xml:space="preserve">Skutek: obowiązek zwrotu obiektu i wydobytych elementów państwu wystrzeliwującemu, niezależnie od roszczeń wzajemnych. Zarzut przywłaszczenia tajemnicy technologicznej jest kategorią prawa krajowego; na płaszczyźnie międzypaństwowej właściwą kwalifikacją jest naruszenie obowiązku zwrotu oraz — przez mechanizm odpowiedzialności za działalność narodową — przypisanie tego zachowania Inkatonowi.</w:t>
      </w:r>
    </w:p>
    <w:bookmarkEnd w:id="40"/>
    <w:bookmarkStart w:id="41" w:name="Xd34d49137ab815fe519de00b322c4c35048300c"/>
    <w:p>
      <w:pPr>
        <w:pStyle w:val="Heading3"/>
      </w:pPr>
      <w:r>
        <w:t xml:space="preserve">Zagadnienie 5: wymogi czasowe i ochrona dyplomatyczna</w:t>
      </w:r>
    </w:p>
    <w:p>
      <w:pPr>
        <w:pStyle w:val="FirstParagraph"/>
      </w:pPr>
      <w:r>
        <w:t xml:space="preserve">Kazus wskazuje, że państwa podjęły konsultacje w różnym czasie od powzięcia wiedzy o zdarzeniu. Reżim dochodzenia roszczeń z tytułu szkód kosmicznych przewiduje termin liczony od zdarzenia lub od chwili, gdy państwo dowiedziało się o szkodzie i ustaliło państwo odpowiedzialne. Konkretną długość terminu i sposób jego liczenia należy sprawdzić w tekście konwencji przed powołaniem — nie podaję jej z pamięci.</w:t>
      </w:r>
    </w:p>
    <w:p>
      <w:pPr>
        <w:pStyle w:val="BodyText"/>
      </w:pPr>
      <w:r>
        <w:t xml:space="preserve">Dla roszczeń niewynikających z konwencji, dochodzonych w ramach opieki dyplomatycznej, obowiązują dwa dodatkowe warunki: wyczerpanie skutecznych środków krajowych oraz ciągłość przynależności podmiotu poszkodowanego. Warunek wyczerpania jest istotny wobec Sargon: skoro spółka uzyskała orzeczenie w państwie licencjonującym, powstaje pytanie, czy Quipu wykorzystała dostępne środki zaskarżenia tego orzeczenia.</w:t>
      </w:r>
    </w:p>
    <w:bookmarkEnd w:id="41"/>
    <w:bookmarkEnd w:id="42"/>
    <w:bookmarkStart w:id="43" w:name="macierz-argumentów-1"/>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Inkatonu</w:t>
            </w:r>
          </w:p>
        </w:tc>
        <w:tc>
          <w:tcPr/>
          <w:p>
            <w:pPr>
              <w:pStyle w:val="Compact"/>
              <w:jc w:val="left"/>
            </w:pPr>
            <w:r>
              <w:t xml:space="preserve">Argument Accadii</w:t>
            </w:r>
          </w:p>
        </w:tc>
      </w:tr>
      <w:tr>
        <w:tc>
          <w:tcPr/>
          <w:p>
            <w:pPr>
              <w:pStyle w:val="Compact"/>
              <w:jc w:val="left"/>
            </w:pPr>
            <w:r>
              <w:t xml:space="preserve">Tytuł do satelity</w:t>
            </w:r>
          </w:p>
        </w:tc>
        <w:tc>
          <w:tcPr/>
          <w:p>
            <w:pPr>
              <w:pStyle w:val="Compact"/>
              <w:jc w:val="left"/>
            </w:pPr>
            <w:r>
              <w:t xml:space="preserve">Rejestracja przesądza o jurysdykcji i kontroli; orzeczenie krajowe nie wywołuje skutków wobec innego państwa</w:t>
            </w:r>
          </w:p>
        </w:tc>
        <w:tc>
          <w:tcPr/>
          <w:p>
            <w:pPr>
              <w:pStyle w:val="Compact"/>
              <w:jc w:val="left"/>
            </w:pPr>
            <w:r>
              <w:t xml:space="preserve">Obiekt niekontrolowany stanowił zagrożenie; porzucenie faktyczne uzasadnia nabycie tytułu</w:t>
            </w:r>
          </w:p>
        </w:tc>
      </w:tr>
      <w:tr>
        <w:tc>
          <w:tcPr/>
          <w:p>
            <w:pPr>
              <w:pStyle w:val="Compact"/>
              <w:jc w:val="left"/>
            </w:pPr>
            <w:r>
              <w:t xml:space="preserve">Przechwycenie</w:t>
            </w:r>
          </w:p>
        </w:tc>
        <w:tc>
          <w:tcPr/>
          <w:p>
            <w:pPr>
              <w:pStyle w:val="Compact"/>
              <w:jc w:val="left"/>
            </w:pPr>
            <w:r>
              <w:t xml:space="preserve">Istniała procedura konsultacji, której nie wykorzystano; samopomoc niedopuszczalna</w:t>
            </w:r>
          </w:p>
        </w:tc>
        <w:tc>
          <w:tcPr/>
          <w:p>
            <w:pPr>
              <w:pStyle w:val="Compact"/>
              <w:jc w:val="left"/>
            </w:pPr>
            <w:r>
              <w:t xml:space="preserve">Odmowa zgody przez Quipu uczyniła konsultacje bezprzedmiotowymi wobec pilności zagrożenia</w:t>
            </w:r>
          </w:p>
        </w:tc>
      </w:tr>
      <w:tr>
        <w:tc>
          <w:tcPr/>
          <w:p>
            <w:pPr>
              <w:pStyle w:val="Compact"/>
              <w:jc w:val="left"/>
            </w:pPr>
            <w:r>
              <w:t xml:space="preserve">Podstawa odpowiedzialności</w:t>
            </w:r>
          </w:p>
        </w:tc>
        <w:tc>
          <w:tcPr/>
          <w:p>
            <w:pPr>
              <w:pStyle w:val="Compact"/>
              <w:jc w:val="left"/>
            </w:pPr>
            <w:r>
              <w:t xml:space="preserve">Szkoda na Księżycu — reżim winy; wina wynika z decyzji o odrzuceniu ładunku</w:t>
            </w:r>
          </w:p>
        </w:tc>
        <w:tc>
          <w:tcPr/>
          <w:p>
            <w:pPr>
              <w:pStyle w:val="Compact"/>
              <w:jc w:val="left"/>
            </w:pPr>
            <w:r>
              <w:t xml:space="preserve">Burza protonowa to zdarzenie zewnętrzne; brak winy w projektowaniu misji</w:t>
            </w:r>
          </w:p>
        </w:tc>
      </w:tr>
      <w:tr>
        <w:tc>
          <w:tcPr/>
          <w:p>
            <w:pPr>
              <w:pStyle w:val="Compact"/>
              <w:jc w:val="left"/>
            </w:pPr>
            <w:r>
              <w:t xml:space="preserve">Zakres szkody</w:t>
            </w:r>
          </w:p>
        </w:tc>
        <w:tc>
          <w:tcPr/>
          <w:p>
            <w:pPr>
              <w:pStyle w:val="Compact"/>
              <w:jc w:val="left"/>
            </w:pPr>
            <w:r>
              <w:t xml:space="preserve">Sprzęt, struktura i wydobyty hel-3 podlegają kompensacji</w:t>
            </w:r>
          </w:p>
        </w:tc>
        <w:tc>
          <w:tcPr/>
          <w:p>
            <w:pPr>
              <w:pStyle w:val="Compact"/>
              <w:jc w:val="left"/>
            </w:pPr>
            <w:r>
              <w:t xml:space="preserve">Status wydobytych zasobów jest sporny; instalacja mogła być wadliwa</w:t>
            </w:r>
          </w:p>
        </w:tc>
      </w:tr>
      <w:tr>
        <w:tc>
          <w:tcPr/>
          <w:p>
            <w:pPr>
              <w:pStyle w:val="Compact"/>
              <w:jc w:val="left"/>
            </w:pPr>
            <w:r>
              <w:t xml:space="preserve">Wrak</w:t>
            </w:r>
          </w:p>
        </w:tc>
        <w:tc>
          <w:tcPr/>
          <w:p>
            <w:pPr>
              <w:pStyle w:val="Compact"/>
              <w:jc w:val="left"/>
            </w:pPr>
            <w:r>
              <w:t xml:space="preserve">Zabezpieczenie terenu mieściło się w reakcji na wypadek</w:t>
            </w:r>
          </w:p>
        </w:tc>
        <w:tc>
          <w:tcPr/>
          <w:p>
            <w:pPr>
              <w:pStyle w:val="Compact"/>
              <w:jc w:val="left"/>
            </w:pPr>
            <w:r>
              <w:t xml:space="preserve">Ratownictwo nie uprawnia do wywiezienia zastrzeżonej technologii; obowiązek zwrotu obiektu</w:t>
            </w:r>
          </w:p>
        </w:tc>
      </w:tr>
      <w:tr>
        <w:tc>
          <w:tcPr/>
          <w:p>
            <w:pPr>
              <w:pStyle w:val="Compact"/>
              <w:jc w:val="left"/>
            </w:pPr>
            <w:r>
              <w:t xml:space="preserve">Terminy</w:t>
            </w:r>
          </w:p>
        </w:tc>
        <w:tc>
          <w:tcPr/>
          <w:p>
            <w:pPr>
              <w:pStyle w:val="Compact"/>
              <w:jc w:val="left"/>
            </w:pPr>
            <w:r>
              <w:t xml:space="preserve">Konsultacje podjęto niezwłocznie po ustaleniu odpowiedzialnego</w:t>
            </w:r>
          </w:p>
        </w:tc>
        <w:tc>
          <w:tcPr/>
          <w:p>
            <w:pPr>
              <w:pStyle w:val="Compact"/>
              <w:jc w:val="left"/>
            </w:pPr>
            <w:r>
              <w:t xml:space="preserve">Opóźnienie drugiej strony narusza wymogi czasowe</w:t>
            </w:r>
          </w:p>
        </w:tc>
      </w:tr>
    </w:tbl>
    <w:bookmarkEnd w:id="43"/>
    <w:bookmarkStart w:id="44" w:name="X8bc04c07aebed062da02ad98c612cd839788097"/>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Czy satelita był zarejestrowany i w czyim rejestrze</w:t>
            </w:r>
          </w:p>
        </w:tc>
        <w:tc>
          <w:tcPr/>
          <w:p>
            <w:pPr>
              <w:pStyle w:val="Compact"/>
              <w:jc w:val="left"/>
            </w:pPr>
            <w:r>
              <w:t xml:space="preserve">Podstawa jurysdykcji i kontroli oraz statusu własnościowego</w:t>
            </w:r>
          </w:p>
        </w:tc>
        <w:tc>
          <w:tcPr/>
          <w:p>
            <w:pPr>
              <w:pStyle w:val="Compact"/>
              <w:jc w:val="left"/>
            </w:pPr>
            <w:r>
              <w:t xml:space="preserve">Wpis do rejestru krajowego i zgłoszenie międzynarodowe</w:t>
            </w:r>
          </w:p>
        </w:tc>
      </w:tr>
      <w:tr>
        <w:tc>
          <w:tcPr/>
          <w:p>
            <w:pPr>
              <w:pStyle w:val="Compact"/>
              <w:jc w:val="left"/>
            </w:pPr>
            <w:r>
              <w:t xml:space="preserve">Treść procedury konsultacyjnej i przebieg odmowy</w:t>
            </w:r>
          </w:p>
        </w:tc>
        <w:tc>
          <w:tcPr/>
          <w:p>
            <w:pPr>
              <w:pStyle w:val="Compact"/>
              <w:jc w:val="left"/>
            </w:pPr>
            <w:r>
              <w:t xml:space="preserve">Ocena przesłanki „jedynego sposobu”</w:t>
            </w:r>
          </w:p>
        </w:tc>
        <w:tc>
          <w:tcPr/>
          <w:p>
            <w:pPr>
              <w:pStyle w:val="Compact"/>
              <w:jc w:val="left"/>
            </w:pPr>
            <w:r>
              <w:t xml:space="preserve">Korespondencja Sargon–Quipu i między państwami</w:t>
            </w:r>
          </w:p>
        </w:tc>
      </w:tr>
      <w:tr>
        <w:tc>
          <w:tcPr/>
          <w:p>
            <w:pPr>
              <w:pStyle w:val="Compact"/>
              <w:jc w:val="left"/>
            </w:pPr>
            <w:r>
              <w:t xml:space="preserve">Profil misji wobec ryzyka pogody kosmicznej</w:t>
            </w:r>
          </w:p>
        </w:tc>
        <w:tc>
          <w:tcPr/>
          <w:p>
            <w:pPr>
              <w:pStyle w:val="Compact"/>
              <w:jc w:val="left"/>
            </w:pPr>
            <w:r>
              <w:t xml:space="preserve">Rdzeń oceny winy</w:t>
            </w:r>
          </w:p>
        </w:tc>
        <w:tc>
          <w:tcPr/>
          <w:p>
            <w:pPr>
              <w:pStyle w:val="Compact"/>
              <w:jc w:val="left"/>
            </w:pPr>
            <w:r>
              <w:t xml:space="preserve">Dokumentacja projektowa, prognozy, procedury awaryjne</w:t>
            </w:r>
          </w:p>
        </w:tc>
      </w:tr>
      <w:tr>
        <w:tc>
          <w:tcPr/>
          <w:p>
            <w:pPr>
              <w:pStyle w:val="Compact"/>
              <w:jc w:val="left"/>
            </w:pPr>
            <w:r>
              <w:t xml:space="preserve">Okoliczności decyzji o odrzuceniu ładunku</w:t>
            </w:r>
          </w:p>
        </w:tc>
        <w:tc>
          <w:tcPr/>
          <w:p>
            <w:pPr>
              <w:pStyle w:val="Compact"/>
              <w:jc w:val="left"/>
            </w:pPr>
            <w:r>
              <w:t xml:space="preserve">Kluczowy element przypisania winy</w:t>
            </w:r>
          </w:p>
        </w:tc>
        <w:tc>
          <w:tcPr/>
          <w:p>
            <w:pPr>
              <w:pStyle w:val="Compact"/>
              <w:jc w:val="left"/>
            </w:pPr>
            <w:r>
              <w:t xml:space="preserve">Rejestratory pokładowe, protokoły decyzyjne</w:t>
            </w:r>
          </w:p>
        </w:tc>
      </w:tr>
      <w:tr>
        <w:tc>
          <w:tcPr/>
          <w:p>
            <w:pPr>
              <w:pStyle w:val="Compact"/>
              <w:jc w:val="left"/>
            </w:pPr>
            <w:r>
              <w:t xml:space="preserve">Stan techniczny instalacji Quipu</w:t>
            </w:r>
          </w:p>
        </w:tc>
        <w:tc>
          <w:tcPr/>
          <w:p>
            <w:pPr>
              <w:pStyle w:val="Compact"/>
              <w:jc w:val="left"/>
            </w:pPr>
            <w:r>
              <w:t xml:space="preserve">Ewentualne przyczynienie się</w:t>
            </w:r>
          </w:p>
        </w:tc>
        <w:tc>
          <w:tcPr/>
          <w:p>
            <w:pPr>
              <w:pStyle w:val="Compact"/>
              <w:jc w:val="left"/>
            </w:pPr>
            <w:r>
              <w:t xml:space="preserve">Dokumentacja budowlana, przeglądy</w:t>
            </w:r>
          </w:p>
        </w:tc>
      </w:tr>
      <w:tr>
        <w:tc>
          <w:tcPr/>
          <w:p>
            <w:pPr>
              <w:pStyle w:val="Compact"/>
              <w:jc w:val="left"/>
            </w:pPr>
            <w:r>
              <w:t xml:space="preserve">Zakres i wartość wydobytego helu-3</w:t>
            </w:r>
          </w:p>
        </w:tc>
        <w:tc>
          <w:tcPr/>
          <w:p>
            <w:pPr>
              <w:pStyle w:val="Compact"/>
              <w:jc w:val="left"/>
            </w:pPr>
            <w:r>
              <w:t xml:space="preserve">Wycena szkody i kwalifikacja prawna zasobu</w:t>
            </w:r>
          </w:p>
        </w:tc>
        <w:tc>
          <w:tcPr/>
          <w:p>
            <w:pPr>
              <w:pStyle w:val="Compact"/>
              <w:jc w:val="left"/>
            </w:pPr>
            <w:r>
              <w:t xml:space="preserve">Rejestry wydobycia, wyceny rynkowe</w:t>
            </w:r>
          </w:p>
        </w:tc>
      </w:tr>
      <w:tr>
        <w:tc>
          <w:tcPr/>
          <w:p>
            <w:pPr>
              <w:pStyle w:val="Compact"/>
              <w:jc w:val="left"/>
            </w:pPr>
            <w:r>
              <w:t xml:space="preserve">Czynności personelu Quipu przy wraku</w:t>
            </w:r>
          </w:p>
        </w:tc>
        <w:tc>
          <w:tcPr/>
          <w:p>
            <w:pPr>
              <w:pStyle w:val="Compact"/>
              <w:jc w:val="left"/>
            </w:pPr>
            <w:r>
              <w:t xml:space="preserve">Rozgraniczenie zabezpieczenia od zawłaszczenia</w:t>
            </w:r>
          </w:p>
        </w:tc>
        <w:tc>
          <w:tcPr/>
          <w:p>
            <w:pPr>
              <w:pStyle w:val="Compact"/>
              <w:jc w:val="left"/>
            </w:pPr>
            <w:r>
              <w:t xml:space="preserve">Rejestry aktywności, wykaz zabranych elementów</w:t>
            </w:r>
          </w:p>
        </w:tc>
      </w:tr>
      <w:tr>
        <w:tc>
          <w:tcPr/>
          <w:p>
            <w:pPr>
              <w:pStyle w:val="Compact"/>
              <w:jc w:val="left"/>
            </w:pPr>
            <w:r>
              <w:t xml:space="preserve">Daty powzięcia wiedzy i podjęcia konsultacji</w:t>
            </w:r>
          </w:p>
        </w:tc>
        <w:tc>
          <w:tcPr/>
          <w:p>
            <w:pPr>
              <w:pStyle w:val="Compact"/>
              <w:jc w:val="left"/>
            </w:pPr>
            <w:r>
              <w:t xml:space="preserve">Dochowanie wymogów czasowych</w:t>
            </w:r>
          </w:p>
        </w:tc>
        <w:tc>
          <w:tcPr/>
          <w:p>
            <w:pPr>
              <w:pStyle w:val="Compact"/>
              <w:jc w:val="left"/>
            </w:pPr>
            <w:r>
              <w:t xml:space="preserve">Noty dyplomatyczne z datami wpływu</w:t>
            </w:r>
          </w:p>
        </w:tc>
      </w:tr>
    </w:tbl>
    <w:bookmarkEnd w:id="44"/>
    <w:bookmarkStart w:id="45" w:name="proponowane-rozstrzygnięcie-1"/>
    <w:p>
      <w:pPr>
        <w:pStyle w:val="Heading2"/>
      </w:pPr>
      <w:r>
        <w:t xml:space="preserve">Proponowane rozstrzygnięcie</w:t>
      </w:r>
    </w:p>
    <w:p>
      <w:pPr>
        <w:pStyle w:val="FirstParagraph"/>
      </w:pPr>
      <w:r>
        <w:t xml:space="preserve">Stwierdzić, że przechwycenie satelity i uzyskanie tytułu w postępowaniu krajowym stanowi czyn międzynarodowo bezprawny przypisany Accadii; nakazać przywrócenie stanu poprzedniego przez zwrot obiektu, a w razie niemożności — odszkodowanie w wysokości wartości obiektu wraz z utraconymi korzyściami z jego eksploatacji.</w:t>
      </w:r>
    </w:p>
    <w:p>
      <w:pPr>
        <w:pStyle w:val="BodyText"/>
      </w:pPr>
      <w:r>
        <w:t xml:space="preserve">Co do szkody na Księżycu: stwierdzić odpowiedzialność Accadii opartą na winie w zakresie decyzji o odrzuceniu ładunku, z zastrzeżeniem obniżenia odszkodowania o stopień ewentualnego przyczynienia się Quipu; oddalić roszczenie o zastosowanie reżimu odpowiedzialności absolutnej.</w:t>
      </w:r>
    </w:p>
    <w:p>
      <w:pPr>
        <w:pStyle w:val="BodyText"/>
      </w:pPr>
      <w:r>
        <w:t xml:space="preserve">Stwierdzić, że wydobycie zastrzeżonej technologii z wraku stanowi czyn bezprawny przypisany Inkatonowi; nakazać zwrot elementów wraku i pozyskanych urządzeń państwu wystrzeliwującemu.</w:t>
      </w:r>
    </w:p>
    <w:p>
      <w:pPr>
        <w:pStyle w:val="BodyText"/>
      </w:pPr>
      <w:r>
        <w:t xml:space="preserve">Dokonać potrącenia wzajemnych roszczeń odszkodowawczych po ustaleniu ich wysokości; kwestię statusu wydobytego helu-3 pozostawić do odrębnego rozstrzygnięcia, jako niedostatecznie wyjaśnioną w stanie faktycznym.</w:t>
      </w:r>
    </w:p>
    <w:bookmarkEnd w:id="45"/>
    <w:bookmarkStart w:id="46" w:name="zweryfikowane-pozycje-źródłowe-k-06"/>
    <w:p>
      <w:pPr>
        <w:pStyle w:val="Heading2"/>
      </w:pPr>
      <w:r>
        <w:t xml:space="preserve">Zweryfikowane pozycje źródłowe (K-06)</w:t>
      </w:r>
    </w:p>
    <w:p>
      <w:pPr>
        <w:pStyle w:val="FirstParagraph"/>
      </w:pPr>
      <w:r>
        <w:t xml:space="preserve">Potwierdzone w źródłach zewnętrznych:</w:t>
      </w:r>
    </w:p>
    <w:p>
      <w:pPr>
        <w:numPr>
          <w:ilvl w:val="0"/>
          <w:numId w:val="1004"/>
        </w:numPr>
        <w:pStyle w:val="Compact"/>
      </w:pPr>
      <w:r>
        <w:t xml:space="preserve">Konwencja o międzynarodowej odpowiedzialności za szkody wyrządzone przez obiekty kosmiczne z 29 marca 1972 r., art. II — państwo wypuszczające ponosi odpowiedzialność absolutną za szkodę wyrządzoną przez jego obiekt kosmiczny na powierzchni Ziemi lub statkowi powietrznemu w locie.</w:t>
      </w:r>
    </w:p>
    <w:p>
      <w:pPr>
        <w:numPr>
          <w:ilvl w:val="0"/>
          <w:numId w:val="1004"/>
        </w:numPr>
        <w:pStyle w:val="Compact"/>
      </w:pPr>
      <w:r>
        <w:t xml:space="preserve">Ta sama konwencja, art. III — w razie szkody wyrządzonej gdzie indziej niż na powierzchni Ziemi obiektowi kosmicznemu jednego państwa wypuszczającego albo osobom lub mieniu na jego pokładzie przez obiekt kosmiczny innego państwa wypuszczającego, to ostatnie odpowiada tylko wtedy, gdy szkoda powstała z jego winy.</w:t>
      </w:r>
    </w:p>
    <w:p>
      <w:pPr>
        <w:numPr>
          <w:ilvl w:val="0"/>
          <w:numId w:val="1004"/>
        </w:numPr>
        <w:pStyle w:val="Compact"/>
      </w:pPr>
      <w:r>
        <w:t xml:space="preserve">Ta sama konwencja, art. IV — zasady odpowiedzialności wobec państwa trzeciego oraz podział ciężaru odszkodowania między państwa według stopnia winy.</w:t>
      </w:r>
    </w:p>
    <w:p>
      <w:pPr>
        <w:numPr>
          <w:ilvl w:val="0"/>
          <w:numId w:val="1004"/>
        </w:numPr>
        <w:pStyle w:val="Compact"/>
      </w:pPr>
      <w:r>
        <w:t xml:space="preserve">Traktat o przestrzeni kosmicznej, art. VIII — państwo, w którego rejestrze figuruje obiekt, zachowuje jurysdykcję i kontrolę nad nim oraz nad jego personelem w przestrzeni kosmicznej lub na ciele niebieskim; rejestracja pełni funkcję kanalizowania odpowiedzialności, co nie wyłącza odpowiedzialności innych państw na podstawie właściwych reguł.</w:t>
      </w:r>
    </w:p>
    <w:p>
      <w:pPr>
        <w:pStyle w:val="FirstParagraph"/>
      </w:pPr>
      <w:r>
        <w:t xml:space="preserve">Nie zweryfikowano punktowo, mimo powołania w analizie: brzmienia art. VI traktatu o przestrzeni kosmicznej (odpowiedzialność za działalność narodową, wymóg zezwolenia i stałego nadzoru), brzmienia przepisu o konsultacjach przy szkodliwych zakłóceniach, treści układu o ratowaniu kosmonautów i zwrocie obiektów, treści konwencji rejestracyjnej, przesłanek stanu wyższej konieczności w prawie odpowiedzialności państw oraz długości i sposobu liczenia terminu na zgłoszenie roszczenia odszkodowawczego. Instytucje te przedstawiono opisowo, bez przypisania numerów jednostek redakcyjnych tam, gdzie nie zostały sprawdzone; przed użyciem zawodowym wymagają weryfikacji w tekstach traktatów.</w:t>
      </w:r>
    </w:p>
    <w:p>
      <w:r>
        <w:br w:type="page"/>
      </w:r>
    </w:p>
    <w:bookmarkEnd w:id="46"/>
    <w:bookmarkEnd w:id="47"/>
    <w:bookmarkStart w:id="61" w:name="k-07-anecoyon-przeciwko-ridusowi"/>
    <w:p>
      <w:pPr>
        <w:pStyle w:val="Heading1"/>
      </w:pPr>
      <w:r>
        <w:t xml:space="preserve">K-07 Anecoyon przeciwko Ridusowi</w:t>
      </w:r>
    </w:p>
    <w:bookmarkStart w:id="48" w:name="teza-wstępna-2"/>
    <w:p>
      <w:pPr>
        <w:pStyle w:val="Heading2"/>
      </w:pPr>
      <w:r>
        <w:t xml:space="preserve">Teza wstępna</w:t>
      </w:r>
    </w:p>
    <w:p>
      <w:pPr>
        <w:pStyle w:val="FirstParagraph"/>
      </w:pPr>
      <w:r>
        <w:t xml:space="preserve">Najmocniejszą linią obrony Ridusu nie jest argument, że informacja sekwencyjna to nie zasób genetyczny, lecz</w:t>
      </w:r>
      <w:r>
        <w:t xml:space="preserve"> </w:t>
      </w:r>
      <w:r>
        <w:rPr>
          <w:bCs/>
          <w:b/>
        </w:rPr>
        <w:t xml:space="preserve">argument temporalny</w:t>
      </w:r>
      <w:r>
        <w:t xml:space="preserve">: próbkę pozyskano i przekazano do muzeum dekady przed powstaniem reżimu dostępu i podziału korzyści, a reżim ten nie działa wstecz. Najmocniejszą linią Anecoyonu nie jest żądanie udziału w przychodach, lecz</w:t>
      </w:r>
      <w:r>
        <w:t xml:space="preserve"> </w:t>
      </w:r>
      <w:r>
        <w:rPr>
          <w:bCs/>
          <w:b/>
        </w:rPr>
        <w:t xml:space="preserve">kontrola nad reintrodukcją</w:t>
      </w:r>
      <w:r>
        <w:t xml:space="preserve"> </w:t>
      </w:r>
      <w:r>
        <w:t xml:space="preserve">na własnym terytorium, wynikająca z suwerenności, oraz prawa społeczności rdzennej. Roszczenie o udział w przychodach z wykorzystania informacji sekwencyjnej opiera się na mechanizmie, którego parametry nie zostały jeszcze ustalone.</w:t>
      </w:r>
    </w:p>
    <w:bookmarkEnd w:id="48"/>
    <w:bookmarkStart w:id="49" w:name="mapa-jurysdykcji-źródeł-i-kompetencji-2"/>
    <w:p>
      <w:pPr>
        <w:pStyle w:val="Heading2"/>
      </w:pPr>
      <w:r>
        <w:t xml:space="preserve">Mapa jurysdykcji, źródeł i kompetencji</w:t>
      </w:r>
    </w:p>
    <w:p>
      <w:pPr>
        <w:pStyle w:val="FirstParagraph"/>
      </w:pPr>
      <w:r>
        <w:rPr>
          <w:bCs/>
          <w:b/>
        </w:rPr>
        <w:t xml:space="preserve">Warstwa pierwsza — suwerenność.</w:t>
      </w:r>
      <w:r>
        <w:t xml:space="preserve"> </w:t>
      </w:r>
      <w:r>
        <w:t xml:space="preserve">Państwa mają suwerenne prawa do własnych zasobów naturalnych, a uprawnienie do określania dostępu należy do rządów krajowych i podlega prawu krajowemu. To ramy, w których działają wszystkie dalsze reguły.</w:t>
      </w:r>
    </w:p>
    <w:p>
      <w:pPr>
        <w:pStyle w:val="BodyText"/>
      </w:pPr>
      <w:r>
        <w:rPr>
          <w:bCs/>
          <w:b/>
        </w:rPr>
        <w:t xml:space="preserve">Warstwa druga — dostęp i podział korzyści.</w:t>
      </w:r>
      <w:r>
        <w:t xml:space="preserve"> </w:t>
      </w:r>
      <w:r>
        <w:t xml:space="preserve">Reżim protokołu do konwencji o różnorodności biologicznej opiera się na uprzedniej świadomej zgodzie państwa dostarczającego i wzajemnie uzgodnionych warunkach, z odrębnymi obowiązkami wobec wiedzy tradycyjnej społeczności rdzennych i lokalnych. Zakres czasowy jest ograniczony do dostępu następującego po wejściu protokołu w życie dla danej strony.</w:t>
      </w:r>
    </w:p>
    <w:p>
      <w:pPr>
        <w:pStyle w:val="BodyText"/>
      </w:pPr>
      <w:r>
        <w:rPr>
          <w:bCs/>
          <w:b/>
        </w:rPr>
        <w:t xml:space="preserve">Warstwa trzecia — informacja sekwencyjna.</w:t>
      </w:r>
      <w:r>
        <w:t xml:space="preserve"> </w:t>
      </w:r>
      <w:r>
        <w:t xml:space="preserve">Konferencja stron konwencji o różnorodności biologicznej przyjęła 1 listopada 2024 r. w Cali decyzję 16/2 ustanawiającą wielostronny mechanizm podziału korzyści z wykorzystania cyfrowej informacji sekwencyjnej oraz globalny fundusz nazwany funduszem z Cali; mechanizm i fundusz nawiązują do wcześniejszej decyzji 15/9. Istotne dla kazusu: brak uzgodnionej definicji informacji sekwencyjnej, a parametry wdrożeniowe — progi i stawki wpłat — pozostawiono do dalszych uzgodnień. Zapowiedziano przeznaczenie połowy środków na rzecz społeczności rdzennych i lokalnych.</w:t>
      </w:r>
    </w:p>
    <w:p>
      <w:pPr>
        <w:pStyle w:val="BodyText"/>
      </w:pPr>
      <w:r>
        <w:rPr>
          <w:bCs/>
          <w:b/>
        </w:rPr>
        <w:t xml:space="preserve">Warstwa czwarta — handel gatunkami zagrożonymi.</w:t>
      </w:r>
      <w:r>
        <w:t xml:space="preserve"> </w:t>
      </w:r>
      <w:r>
        <w:t xml:space="preserve">Reżim ochrony obejmuje gatunki wymienione w załącznikach; kwalifikacja odtworzonego organizmu jest kwestią otwartą.</w:t>
      </w:r>
    </w:p>
    <w:p>
      <w:pPr>
        <w:pStyle w:val="BodyText"/>
      </w:pPr>
      <w:r>
        <w:rPr>
          <w:bCs/>
          <w:b/>
        </w:rPr>
        <w:t xml:space="preserve">Forum.</w:t>
      </w:r>
      <w:r>
        <w:t xml:space="preserve"> </w:t>
      </w:r>
      <w:r>
        <w:t xml:space="preserve">Kazus nie wskazuje podstawy jurysdykcji dla sporu międzypaństwowego — pierwszy problem dopuszczalności.</w:t>
      </w:r>
    </w:p>
    <w:bookmarkEnd w:id="49"/>
    <w:bookmarkStart w:id="56" w:name="analiza-materialna-według-zagadnień-2"/>
    <w:p>
      <w:pPr>
        <w:pStyle w:val="Heading2"/>
      </w:pPr>
      <w:r>
        <w:t xml:space="preserve">Analiza materialna według zagadnień</w:t>
      </w:r>
    </w:p>
    <w:bookmarkStart w:id="50" w:name="X14273e7090dcfaf1c4bc2f56e4ec3b43f6376bd"/>
    <w:p>
      <w:pPr>
        <w:pStyle w:val="Heading3"/>
      </w:pPr>
      <w:r>
        <w:t xml:space="preserve">Zagadnienie 1: czy DNA ze skamieniałości jest zasobem genetycznym</w:t>
      </w:r>
    </w:p>
    <w:p>
      <w:pPr>
        <w:pStyle w:val="FirstParagraph"/>
      </w:pPr>
      <w:r>
        <w:t xml:space="preserve">Definicja operacyjna obejmuje materiał genetyczny o rzeczywistej lub potencjalnej wartości, przy czym materiał genetyczny to materiał zawierający funkcjonalne jednostki dziedziczności.</w:t>
      </w:r>
    </w:p>
    <w:p>
      <w:pPr>
        <w:pStyle w:val="BodyText"/>
      </w:pPr>
      <w:r>
        <w:t xml:space="preserve">Argument Ridusu: fragmenty DNA odzyskane ze skamieniałości nie są funkcjonalnymi jednostkami dziedziczności — są zdegradowanymi sekwencjami, które same nie mogą przenieść cech. Funkcjonalność uzyskano dopiero przez uzupełnienie danymi współczesnego gatunku i edycję genów, czyli przez wkład własny.</w:t>
      </w:r>
    </w:p>
    <w:p>
      <w:pPr>
        <w:pStyle w:val="BodyText"/>
      </w:pPr>
      <w:r>
        <w:t xml:space="preserve">Argument Anecoyonu: kryterium „potencjalnej wartości” jest szerokie, a rezultat projektu dowodzi, że materiał tę wartość miał. Wykładnia funkcjonalna nie powinna premiować degradacji materiału.</w:t>
      </w:r>
    </w:p>
    <w:p>
      <w:pPr>
        <w:pStyle w:val="BodyText"/>
      </w:pPr>
      <w:r>
        <w:t xml:space="preserve">Ocena: argument Ridusu jest technicznie mocniejszy, ale prowadzi do wyniku niespójnego z celem reżimu. Rozstrzygnięcie pośrednie: uznać materiał za objęty zakresem przedmiotowym, przy jednoczesnym uwzględnieniu wkładu twórczego Ridusu przy podziale korzyści.</w:t>
      </w:r>
    </w:p>
    <w:bookmarkEnd w:id="50"/>
    <w:bookmarkStart w:id="51" w:name="zagadnienie-2-bariera-temporalna"/>
    <w:p>
      <w:pPr>
        <w:pStyle w:val="Heading3"/>
      </w:pPr>
      <w:r>
        <w:t xml:space="preserve">Zagadnienie 2: bariera temporalna</w:t>
      </w:r>
    </w:p>
    <w:p>
      <w:pPr>
        <w:pStyle w:val="FirstParagraph"/>
      </w:pPr>
      <w:r>
        <w:t xml:space="preserve">To zagadnienie pominięte w pytaniach kazusu, a rozstrzygające dla całej sprawy.</w:t>
      </w:r>
    </w:p>
    <w:p>
      <w:pPr>
        <w:pStyle w:val="BodyText"/>
      </w:pPr>
      <w:r>
        <w:t xml:space="preserve">Reżim dostępu i podziału korzyści nie działa wstecz. Skamieniałość znaleziono dekady wcześniej i przekazano do muzeum przed powstaniem reżimu. Jeżeli „dostęp” nastąpił w chwili pozyskania fizycznej próbki, obowiązki nie powstają w ogóle.</w:t>
      </w:r>
    </w:p>
    <w:p>
      <w:pPr>
        <w:pStyle w:val="BodyText"/>
      </w:pPr>
      <w:r>
        <w:t xml:space="preserve">Kontrargument Anecoyonu jest jednak silny:</w:t>
      </w:r>
      <w:r>
        <w:t xml:space="preserve"> </w:t>
      </w:r>
      <w:r>
        <w:rPr>
          <w:bCs/>
          <w:b/>
        </w:rPr>
        <w:t xml:space="preserve">nowym aktem dostępu</w:t>
      </w:r>
      <w:r>
        <w:t xml:space="preserve"> </w:t>
      </w:r>
      <w:r>
        <w:t xml:space="preserve">było sekwencjonowanie, czyli wykorzystanie materiału w sposób nieobjęty pierwotnym przekazaniem. Wskazuje na to sam kazus: umowa przekazania nie przewidywała sekwencjonowania genetycznego. Przy takiej konstrukcji dostęp do informacji genetycznej nastąpił współcześnie i podlega reżimowi obowiązującemu w tym momencie.</w:t>
      </w:r>
    </w:p>
    <w:p>
      <w:pPr>
        <w:pStyle w:val="BodyText"/>
      </w:pPr>
      <w:r>
        <w:t xml:space="preserve">Rozstrzygnięcie: bariera temporalna chroni Ridus w zakresie posiadania i przechowywania okazu, ale nie w zakresie wykorzystania badawczo-rozwojowego wykraczającego poza cel przekazania.</w:t>
      </w:r>
    </w:p>
    <w:bookmarkEnd w:id="51"/>
    <w:bookmarkStart w:id="52" w:name="X0a0b080ebf245630a59b224a3baa0edb80f9d25"/>
    <w:p>
      <w:pPr>
        <w:pStyle w:val="Heading3"/>
      </w:pPr>
      <w:r>
        <w:t xml:space="preserve">Zagadnienie 3: informacja sekwencyjna i jej komercyjne wykorzystanie</w:t>
      </w:r>
    </w:p>
    <w:p>
      <w:pPr>
        <w:pStyle w:val="FirstParagraph"/>
      </w:pPr>
      <w:r>
        <w:t xml:space="preserve">Ridus twierdzi, że informacja sekwencyjna nie jest tym samym co fizyczny zasób genetyczny. Formalnie ma rację: reżim protokołu odnosi się do zasobów fizycznych, a objęcie informacji sekwencyjnej wymagało odrębnej decyzji, przyjętej dopiero w 2024 r.</w:t>
      </w:r>
    </w:p>
    <w:p>
      <w:pPr>
        <w:pStyle w:val="BodyText"/>
      </w:pPr>
      <w:r>
        <w:t xml:space="preserve">Konsekwencje praktyczne dla roszczenia Anecoyonu są jednak niekorzystne. Mechanizm z decyzji 16/2 jest</w:t>
      </w:r>
      <w:r>
        <w:t xml:space="preserve"> </w:t>
      </w:r>
      <w:r>
        <w:rPr>
          <w:bCs/>
          <w:b/>
        </w:rPr>
        <w:t xml:space="preserve">wielostronny</w:t>
      </w:r>
      <w:r>
        <w:t xml:space="preserve">, nie dwustronny: przewiduje wpłaty do wspólnego funduszu, a nie bezpośrednie rozliczenie z państwem pochodzenia. Anecoyon nie może więc na jego podstawie żądać udziału w przychodach instytutu wprost. Ponadto progi i stawki nie zostały ustalone, a brak definicji informacji sekwencyjnej utrudnia stwierdzenie, czy dane wykorzystane w projekcie w ogóle się w niej mieszczą.</w:t>
      </w:r>
    </w:p>
    <w:p>
      <w:pPr>
        <w:pStyle w:val="BodyText"/>
      </w:pPr>
      <w:r>
        <w:t xml:space="preserve">Wniosek: roszczenie o udział w przychodach oparte na reżimie informacji sekwencyjnej jest przedwczesne. Anecoyon powinien oprzeć je na innych podstawach — naruszeniu zakresu umowy muzealnej i prawach społeczności rdzennej.</w:t>
      </w:r>
    </w:p>
    <w:bookmarkEnd w:id="52"/>
    <w:bookmarkStart w:id="53" w:name="X3a3fbe7a573a88faa0b0ef38ecbef6a86d976da"/>
    <w:p>
      <w:pPr>
        <w:pStyle w:val="Heading3"/>
      </w:pPr>
      <w:r>
        <w:t xml:space="preserve">Zagadnienie 4: państwo pochodzenia przy gatunku transgranicznym</w:t>
      </w:r>
    </w:p>
    <w:p>
      <w:pPr>
        <w:pStyle w:val="FirstParagraph"/>
      </w:pPr>
      <w:r>
        <w:t xml:space="preserve">Państwo pochodzenia to państwo posiadające zasoby genetyczne w warunkach in situ. Przy gatunku wymarłym warunki in situ nie istnieją, co czyni kryterium niestosowalnym wprost.</w:t>
      </w:r>
    </w:p>
    <w:p>
      <w:pPr>
        <w:pStyle w:val="BodyText"/>
      </w:pPr>
      <w:r>
        <w:t xml:space="preserve">Możliwe rozwiązania: (a) państwo, na którego terytorium fizycznie znaleziono okaz — tu Anecoyon; (b) wszystkie państwa historycznego zasięgu — wówczas konieczny podział; (c) brak państwa pochodzenia i przekierowanie sprawy do mechanizmu wielostronnego.</w:t>
      </w:r>
    </w:p>
    <w:p>
      <w:pPr>
        <w:pStyle w:val="BodyText"/>
      </w:pPr>
      <w:r>
        <w:t xml:space="preserve">Rozwiązanie (a) jest najbardziej praktyczne i oparte na fakcie sprawdzalnym. Rozwiązanie (b) lepiej odpowiada rzeczywistości ekologicznej, ale wymaga ustalenia, które państwa dziś istnieją na obszarze historycznego zasięgu, i tworzy ryzyko roszczeń konkurencyjnych. Kazus podaje jedynie, że zasięg obejmował „oba terytoria” — nie wiadomo, czy tylko dwa.</w:t>
      </w:r>
    </w:p>
    <w:bookmarkEnd w:id="53"/>
    <w:bookmarkStart w:id="54" w:name="Xd6e3362bd19460b75483dae4e8f6d4ef5ae2d22"/>
    <w:p>
      <w:pPr>
        <w:pStyle w:val="Heading3"/>
      </w:pPr>
      <w:r>
        <w:t xml:space="preserve">Zagadnienie 5: zakres zgody wyrażonej w umowie muzealnej</w:t>
      </w:r>
    </w:p>
    <w:p>
      <w:pPr>
        <w:pStyle w:val="FirstParagraph"/>
      </w:pPr>
      <w:r>
        <w:t xml:space="preserve">Punktem wyjścia jest to, co umowa przewidywała, a nie to, czego nie zakazywała. Przekazanie eksponatu muzealnego obejmuje typowo przechowywanie, konserwację, ekspozycję i badania nieniszczące. Sekwencjonowanie genetyczne jest ingerencją w substancję okazu i wykorzystaniem o charakterze badawczo-rozwojowym, prowadzącym do komercjalizacji.</w:t>
      </w:r>
    </w:p>
    <w:p>
      <w:pPr>
        <w:pStyle w:val="BodyText"/>
      </w:pPr>
      <w:r>
        <w:t xml:space="preserve">Test: czy nowe wykorzystanie mieści się w celu, dla którego przekazano okaz. Odpowiedź negatywna. Skutek: przekroczenie zakresu umowy, z roszczeniami z prawa właściwego dla tej umowy — a nie automatycznie z reżimu międzynarodowego.</w:t>
      </w:r>
    </w:p>
    <w:p>
      <w:pPr>
        <w:pStyle w:val="BodyText"/>
      </w:pPr>
      <w:r>
        <w:t xml:space="preserve">Nakładająca się kwestia: zgoda społeczności rdzennej. Reżim protokołu przewiduje odrębne obowiązki wobec wiedzy tradycyjnej związanej z zasobami genetycznymi oraz wobec zasobów posiadanych przez społeczności. Duchowe znaczenie pantery w tradycji społeczności może uzasadniać obowiązek uzyskania jej zgody niezależnie od zgody państwa — pod warunkiem wykazania związku między wiedzą tradycyjną a wykorzystanym zasobem, a nie samego znaczenia symbolicznego. To rozróżnienie jest często pomijane, a stanowi realną słabość pozycji Anecoyonu.</w:t>
      </w:r>
    </w:p>
    <w:bookmarkEnd w:id="54"/>
    <w:bookmarkStart w:id="55" w:name="X01a2b5b51a1dd0bb51428560c02b73b24bf868a"/>
    <w:p>
      <w:pPr>
        <w:pStyle w:val="Heading3"/>
      </w:pPr>
      <w:r>
        <w:t xml:space="preserve">Zagadnienie 6: status odtworzonego zwierzęcia</w:t>
      </w:r>
    </w:p>
    <w:p>
      <w:pPr>
        <w:pStyle w:val="FirstParagraph"/>
      </w:pPr>
      <w:r>
        <w:t xml:space="preserve">Trzy możliwe kwalifikacje, o różnych skutkach.</w:t>
      </w:r>
    </w:p>
    <w:p>
      <w:pPr>
        <w:pStyle w:val="BodyText"/>
      </w:pPr>
      <w:r>
        <w:rPr>
          <w:iCs/>
          <w:i/>
        </w:rPr>
        <w:t xml:space="preserve">Ten sam gatunek co wymarły.</w:t>
      </w:r>
      <w:r>
        <w:t xml:space="preserve"> </w:t>
      </w:r>
      <w:r>
        <w:t xml:space="preserve">Wymaga uznania tożsamości taksonomicznej mimo uzupełnienia genomu materiałem gatunku spokrewnionego. Skutek: brak ochrony, jeżeli gatunek wymarły nie figuruje w załącznikach; ewentualne postulaty wpisania.</w:t>
      </w:r>
    </w:p>
    <w:p>
      <w:pPr>
        <w:pStyle w:val="BodyText"/>
      </w:pPr>
      <w:r>
        <w:rPr>
          <w:iCs/>
          <w:i/>
        </w:rPr>
        <w:t xml:space="preserve">Odmiana gatunku spokrewnionego.</w:t>
      </w:r>
      <w:r>
        <w:t xml:space="preserve"> </w:t>
      </w:r>
      <w:r>
        <w:t xml:space="preserve">Genom w istotnej części pochodzi od gatunku współczesnego. Skutek: organizm podlega reżimowi ochronnemu tego gatunku, w tym regułom dotyczącym okazów wyhodowanych w warunkach kontrolowanych.</w:t>
      </w:r>
    </w:p>
    <w:p>
      <w:pPr>
        <w:pStyle w:val="BodyText"/>
      </w:pPr>
      <w:r>
        <w:rPr>
          <w:iCs/>
          <w:i/>
        </w:rPr>
        <w:t xml:space="preserve">Organizm nowy.</w:t>
      </w:r>
      <w:r>
        <w:t xml:space="preserve"> </w:t>
      </w:r>
      <w:r>
        <w:t xml:space="preserve">Skutek: luka regulacyjna; brak wpisu w załącznikach oznacza brak ograniczeń handlowych, co jest wynikiem systemowo niepożądanym.</w:t>
      </w:r>
    </w:p>
    <w:p>
      <w:pPr>
        <w:pStyle w:val="BodyText"/>
      </w:pPr>
      <w:r>
        <w:t xml:space="preserve">Kryterium rozstrzygające powinno być funkcjonalne, a nie czysto taksonomiczne: jeżeli organizm może krzyżować się z gatunkiem spokrewnionym i wpływać na jego populacje, reżim tego gatunku powinien znaleźć zastosowanie — także po to, by ocena reintrodukcji obejmowała ryzyko dla populacji istniejących.</w:t>
      </w:r>
    </w:p>
    <w:p>
      <w:pPr>
        <w:pStyle w:val="BodyText"/>
      </w:pPr>
      <w:r>
        <w:rPr>
          <w:iCs/>
          <w:i/>
        </w:rPr>
        <w:t xml:space="preserve">Reintrodukcja.</w:t>
      </w:r>
      <w:r>
        <w:t xml:space="preserve"> </w:t>
      </w:r>
      <w:r>
        <w:t xml:space="preserve">Niezależnie od kwalifikacji taksonomicznej, wprowadzenie organizmu na terytorium Anecoyonu wymaga jego zgody na podstawie suwerenności. Twierdzenie instytutu, że projekt służy ochronie różnorodności biologicznej, nie zastępuje zgody i podlega ocenie ryzyka, w tym wpływu na gatunki istniejące i na ekosystem. Zasada ostrożności działa tu przeciwko reintrodukcji przy braku danych.</w:t>
      </w:r>
    </w:p>
    <w:bookmarkEnd w:id="55"/>
    <w:bookmarkEnd w:id="56"/>
    <w:bookmarkStart w:id="57" w:name="macierz-argumentów-2"/>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Anecoyonu</w:t>
            </w:r>
          </w:p>
        </w:tc>
        <w:tc>
          <w:tcPr/>
          <w:p>
            <w:pPr>
              <w:pStyle w:val="Compact"/>
              <w:jc w:val="left"/>
            </w:pPr>
            <w:r>
              <w:t xml:space="preserve">Argument Ridusu</w:t>
            </w:r>
          </w:p>
        </w:tc>
      </w:tr>
      <w:tr>
        <w:tc>
          <w:tcPr/>
          <w:p>
            <w:pPr>
              <w:pStyle w:val="Compact"/>
              <w:jc w:val="left"/>
            </w:pPr>
            <w:r>
              <w:t xml:space="preserve">Zakres przedmiotowy</w:t>
            </w:r>
          </w:p>
        </w:tc>
        <w:tc>
          <w:tcPr/>
          <w:p>
            <w:pPr>
              <w:pStyle w:val="Compact"/>
              <w:jc w:val="left"/>
            </w:pPr>
            <w:r>
              <w:t xml:space="preserve">Materiał ma potencjalną wartość, co potwierdził wynik projektu</w:t>
            </w:r>
          </w:p>
        </w:tc>
        <w:tc>
          <w:tcPr/>
          <w:p>
            <w:pPr>
              <w:pStyle w:val="Compact"/>
              <w:jc w:val="left"/>
            </w:pPr>
            <w:r>
              <w:t xml:space="preserve">Fragmenty DNA ze skamieniałości nie są funkcjonalnymi jednostkami dziedziczności; funkcjonalność jest wkładem Ridusu</w:t>
            </w:r>
          </w:p>
        </w:tc>
      </w:tr>
      <w:tr>
        <w:tc>
          <w:tcPr/>
          <w:p>
            <w:pPr>
              <w:pStyle w:val="Compact"/>
              <w:jc w:val="left"/>
            </w:pPr>
            <w:r>
              <w:t xml:space="preserve">Czas</w:t>
            </w:r>
          </w:p>
        </w:tc>
        <w:tc>
          <w:tcPr/>
          <w:p>
            <w:pPr>
              <w:pStyle w:val="Compact"/>
              <w:jc w:val="left"/>
            </w:pPr>
            <w:r>
              <w:t xml:space="preserve">Nowym aktem dostępu było sekwencjonowanie, nieobjęte umową muzealną</w:t>
            </w:r>
          </w:p>
        </w:tc>
        <w:tc>
          <w:tcPr/>
          <w:p>
            <w:pPr>
              <w:pStyle w:val="Compact"/>
              <w:jc w:val="left"/>
            </w:pPr>
            <w:r>
              <w:t xml:space="preserve">Reżim nie działa wstecz; okaz pozyskano i przekazano dekady przed jego powstaniem</w:t>
            </w:r>
          </w:p>
        </w:tc>
      </w:tr>
      <w:tr>
        <w:tc>
          <w:tcPr/>
          <w:p>
            <w:pPr>
              <w:pStyle w:val="Compact"/>
              <w:jc w:val="left"/>
            </w:pPr>
            <w:r>
              <w:t xml:space="preserve">Informacja sekwencyjna</w:t>
            </w:r>
          </w:p>
        </w:tc>
        <w:tc>
          <w:tcPr/>
          <w:p>
            <w:pPr>
              <w:pStyle w:val="Compact"/>
              <w:jc w:val="left"/>
            </w:pPr>
            <w:r>
              <w:t xml:space="preserve">Komercjalizacja sekwencji bez podziału korzyści jest obejściem reżimu</w:t>
            </w:r>
          </w:p>
        </w:tc>
        <w:tc>
          <w:tcPr/>
          <w:p>
            <w:pPr>
              <w:pStyle w:val="Compact"/>
              <w:jc w:val="left"/>
            </w:pPr>
            <w:r>
              <w:t xml:space="preserve">Objęcie sekwencji wymagało odrębnej decyzji z 2024 r.; mechanizm jest wielostronny, nie tworzy roszczenia dwustronnego, a jego parametry nie są ustalone</w:t>
            </w:r>
          </w:p>
        </w:tc>
      </w:tr>
      <w:tr>
        <w:tc>
          <w:tcPr/>
          <w:p>
            <w:pPr>
              <w:pStyle w:val="Compact"/>
              <w:jc w:val="left"/>
            </w:pPr>
            <w:r>
              <w:t xml:space="preserve">Państwo pochodzenia</w:t>
            </w:r>
          </w:p>
        </w:tc>
        <w:tc>
          <w:tcPr/>
          <w:p>
            <w:pPr>
              <w:pStyle w:val="Compact"/>
              <w:jc w:val="left"/>
            </w:pPr>
            <w:r>
              <w:t xml:space="preserve">Okaz znaleziono na terytorium Anecoyonu</w:t>
            </w:r>
          </w:p>
        </w:tc>
        <w:tc>
          <w:tcPr/>
          <w:p>
            <w:pPr>
              <w:pStyle w:val="Compact"/>
              <w:jc w:val="left"/>
            </w:pPr>
            <w:r>
              <w:t xml:space="preserve">Zasięg historyczny obejmował oba państwa; przy gatunku wymarłym kryterium in situ jest niestosowalne</w:t>
            </w:r>
          </w:p>
        </w:tc>
      </w:tr>
      <w:tr>
        <w:tc>
          <w:tcPr/>
          <w:p>
            <w:pPr>
              <w:pStyle w:val="Compact"/>
              <w:jc w:val="left"/>
            </w:pPr>
            <w:r>
              <w:t xml:space="preserve">Społeczność rdzenna</w:t>
            </w:r>
          </w:p>
        </w:tc>
        <w:tc>
          <w:tcPr/>
          <w:p>
            <w:pPr>
              <w:pStyle w:val="Compact"/>
              <w:jc w:val="left"/>
            </w:pPr>
            <w:r>
              <w:t xml:space="preserve">Pantera ma znaczenie duchowe; wymagana była zgoda społeczności</w:t>
            </w:r>
          </w:p>
        </w:tc>
        <w:tc>
          <w:tcPr/>
          <w:p>
            <w:pPr>
              <w:pStyle w:val="Compact"/>
              <w:jc w:val="left"/>
            </w:pPr>
            <w:r>
              <w:t xml:space="preserve">Obowiązki dotyczą wiedzy tradycyjnej związanej z zasobem, nie samego znaczenia symbolicznego</w:t>
            </w:r>
          </w:p>
        </w:tc>
      </w:tr>
      <w:tr>
        <w:tc>
          <w:tcPr/>
          <w:p>
            <w:pPr>
              <w:pStyle w:val="Compact"/>
              <w:jc w:val="left"/>
            </w:pPr>
            <w:r>
              <w:t xml:space="preserve">Reintrodukcja</w:t>
            </w:r>
          </w:p>
        </w:tc>
        <w:tc>
          <w:tcPr/>
          <w:p>
            <w:pPr>
              <w:pStyle w:val="Compact"/>
              <w:jc w:val="left"/>
            </w:pPr>
            <w:r>
              <w:t xml:space="preserve">Wprowadzenie organizmu na terytorium wymaga zgody suwerena i oceny ryzyka</w:t>
            </w:r>
          </w:p>
        </w:tc>
        <w:tc>
          <w:tcPr/>
          <w:p>
            <w:pPr>
              <w:pStyle w:val="Compact"/>
              <w:jc w:val="left"/>
            </w:pPr>
            <w:r>
              <w:t xml:space="preserve">Projekt służy ochronie różnorodności biologicznej i realizuje cel konwencji</w:t>
            </w:r>
          </w:p>
        </w:tc>
      </w:tr>
    </w:tbl>
    <w:bookmarkEnd w:id="57"/>
    <w:bookmarkStart w:id="58" w:name="X253b8615953e73ec82a6253eaeb2911a05d1ee5"/>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Podstawa jurysdykcji forum</w:t>
            </w:r>
          </w:p>
        </w:tc>
        <w:tc>
          <w:tcPr/>
          <w:p>
            <w:pPr>
              <w:pStyle w:val="Compact"/>
              <w:jc w:val="left"/>
            </w:pPr>
            <w:r>
              <w:t xml:space="preserve">Warunek dopuszczalności</w:t>
            </w:r>
          </w:p>
        </w:tc>
        <w:tc>
          <w:tcPr/>
          <w:p>
            <w:pPr>
              <w:pStyle w:val="Compact"/>
              <w:jc w:val="left"/>
            </w:pPr>
            <w:r>
              <w:t xml:space="preserve">Klauzula lub deklaracje</w:t>
            </w:r>
          </w:p>
        </w:tc>
      </w:tr>
      <w:tr>
        <w:tc>
          <w:tcPr/>
          <w:p>
            <w:pPr>
              <w:pStyle w:val="Compact"/>
              <w:jc w:val="left"/>
            </w:pPr>
            <w:r>
              <w:t xml:space="preserve">Data związania obu państw reżimem dostępu i podziału korzyści</w:t>
            </w:r>
          </w:p>
        </w:tc>
        <w:tc>
          <w:tcPr/>
          <w:p>
            <w:pPr>
              <w:pStyle w:val="Compact"/>
              <w:jc w:val="left"/>
            </w:pPr>
            <w:r>
              <w:t xml:space="preserve">Bariera temporalna</w:t>
            </w:r>
          </w:p>
        </w:tc>
        <w:tc>
          <w:tcPr/>
          <w:p>
            <w:pPr>
              <w:pStyle w:val="Compact"/>
              <w:jc w:val="left"/>
            </w:pPr>
            <w:r>
              <w:t xml:space="preserve">Dokumenty ratyfikacyjne</w:t>
            </w:r>
          </w:p>
        </w:tc>
      </w:tr>
      <w:tr>
        <w:tc>
          <w:tcPr/>
          <w:p>
            <w:pPr>
              <w:pStyle w:val="Compact"/>
              <w:jc w:val="left"/>
            </w:pPr>
            <w:r>
              <w:t xml:space="preserve">Treść umowy przekazania okazu do muzeum</w:t>
            </w:r>
          </w:p>
        </w:tc>
        <w:tc>
          <w:tcPr/>
          <w:p>
            <w:pPr>
              <w:pStyle w:val="Compact"/>
              <w:jc w:val="left"/>
            </w:pPr>
            <w:r>
              <w:t xml:space="preserve">Zakres udzielonej zgody</w:t>
            </w:r>
          </w:p>
        </w:tc>
        <w:tc>
          <w:tcPr/>
          <w:p>
            <w:pPr>
              <w:pStyle w:val="Compact"/>
              <w:jc w:val="left"/>
            </w:pPr>
            <w:r>
              <w:t xml:space="preserve">Tekst umowy z 1. dekady przekazania</w:t>
            </w:r>
          </w:p>
        </w:tc>
      </w:tr>
      <w:tr>
        <w:tc>
          <w:tcPr/>
          <w:p>
            <w:pPr>
              <w:pStyle w:val="Compact"/>
              <w:jc w:val="left"/>
            </w:pPr>
            <w:r>
              <w:t xml:space="preserve">Czy do stworzenia osobników użyto danych sekwencyjnych objętych mechanizmem</w:t>
            </w:r>
          </w:p>
        </w:tc>
        <w:tc>
          <w:tcPr/>
          <w:p>
            <w:pPr>
              <w:pStyle w:val="Compact"/>
              <w:jc w:val="left"/>
            </w:pPr>
            <w:r>
              <w:t xml:space="preserve">Warunek zastosowania reżimu informacji sekwencyjnej</w:t>
            </w:r>
          </w:p>
        </w:tc>
        <w:tc>
          <w:tcPr/>
          <w:p>
            <w:pPr>
              <w:pStyle w:val="Compact"/>
              <w:jc w:val="left"/>
            </w:pPr>
            <w:r>
              <w:t xml:space="preserve">Dokumentacja badawcza, bazy danych źródłowych</w:t>
            </w:r>
          </w:p>
        </w:tc>
      </w:tr>
      <w:tr>
        <w:tc>
          <w:tcPr/>
          <w:p>
            <w:pPr>
              <w:pStyle w:val="Compact"/>
              <w:jc w:val="left"/>
            </w:pPr>
            <w:r>
              <w:t xml:space="preserve">Udział genomu gatunku współczesnego</w:t>
            </w:r>
          </w:p>
        </w:tc>
        <w:tc>
          <w:tcPr/>
          <w:p>
            <w:pPr>
              <w:pStyle w:val="Compact"/>
              <w:jc w:val="left"/>
            </w:pPr>
            <w:r>
              <w:t xml:space="preserve">Kwalifikacja taksonomiczna</w:t>
            </w:r>
          </w:p>
        </w:tc>
        <w:tc>
          <w:tcPr/>
          <w:p>
            <w:pPr>
              <w:pStyle w:val="Compact"/>
              <w:jc w:val="left"/>
            </w:pPr>
            <w:r>
              <w:t xml:space="preserve">Analiza genomowa porównawcza</w:t>
            </w:r>
          </w:p>
        </w:tc>
      </w:tr>
      <w:tr>
        <w:tc>
          <w:tcPr/>
          <w:p>
            <w:pPr>
              <w:pStyle w:val="Compact"/>
              <w:jc w:val="left"/>
            </w:pPr>
            <w:r>
              <w:t xml:space="preserve">Związek wiedzy tradycyjnej z zasobem</w:t>
            </w:r>
          </w:p>
        </w:tc>
        <w:tc>
          <w:tcPr/>
          <w:p>
            <w:pPr>
              <w:pStyle w:val="Compact"/>
              <w:jc w:val="left"/>
            </w:pPr>
            <w:r>
              <w:t xml:space="preserve">Warunek obowiązków wobec społeczności</w:t>
            </w:r>
          </w:p>
        </w:tc>
        <w:tc>
          <w:tcPr/>
          <w:p>
            <w:pPr>
              <w:pStyle w:val="Compact"/>
              <w:jc w:val="left"/>
            </w:pPr>
            <w:r>
              <w:t xml:space="preserve">Dokumentacja etnograficzna, oświadczenia społeczności</w:t>
            </w:r>
          </w:p>
        </w:tc>
      </w:tr>
      <w:tr>
        <w:tc>
          <w:tcPr/>
          <w:p>
            <w:pPr>
              <w:pStyle w:val="Compact"/>
              <w:jc w:val="left"/>
            </w:pPr>
            <w:r>
              <w:t xml:space="preserve">Historyczny zasięg gatunku i dzisiejsze granice</w:t>
            </w:r>
          </w:p>
        </w:tc>
        <w:tc>
          <w:tcPr/>
          <w:p>
            <w:pPr>
              <w:pStyle w:val="Compact"/>
              <w:jc w:val="left"/>
            </w:pPr>
            <w:r>
              <w:t xml:space="preserve">Ustalenie państwa lub państw pochodzenia</w:t>
            </w:r>
          </w:p>
        </w:tc>
        <w:tc>
          <w:tcPr/>
          <w:p>
            <w:pPr>
              <w:pStyle w:val="Compact"/>
              <w:jc w:val="left"/>
            </w:pPr>
            <w:r>
              <w:t xml:space="preserve">Dane paleontologiczne, mapy zasięgu</w:t>
            </w:r>
          </w:p>
        </w:tc>
      </w:tr>
      <w:tr>
        <w:tc>
          <w:tcPr/>
          <w:p>
            <w:pPr>
              <w:pStyle w:val="Compact"/>
              <w:jc w:val="left"/>
            </w:pPr>
            <w:r>
              <w:t xml:space="preserve">Plan reintrodukcji i ocena ryzyka</w:t>
            </w:r>
          </w:p>
        </w:tc>
        <w:tc>
          <w:tcPr/>
          <w:p>
            <w:pPr>
              <w:pStyle w:val="Compact"/>
              <w:jc w:val="left"/>
            </w:pPr>
            <w:r>
              <w:t xml:space="preserve">Podstawa oceny zgodności z zasadą ostrożności</w:t>
            </w:r>
          </w:p>
        </w:tc>
        <w:tc>
          <w:tcPr/>
          <w:p>
            <w:pPr>
              <w:pStyle w:val="Compact"/>
              <w:jc w:val="left"/>
            </w:pPr>
            <w:r>
              <w:t xml:space="preserve">Dokumentacja projektowa instytutu</w:t>
            </w:r>
          </w:p>
        </w:tc>
      </w:tr>
    </w:tbl>
    <w:bookmarkEnd w:id="58"/>
    <w:bookmarkStart w:id="59" w:name="proponowane-rozstrzygnięcie-2"/>
    <w:p>
      <w:pPr>
        <w:pStyle w:val="Heading2"/>
      </w:pPr>
      <w:r>
        <w:t xml:space="preserve">Proponowane rozstrzygnięcie</w:t>
      </w:r>
    </w:p>
    <w:p>
      <w:pPr>
        <w:pStyle w:val="FirstParagraph"/>
      </w:pPr>
      <w:r>
        <w:t xml:space="preserve">Oddalić roszczenie o udział w przychodach oparte na reżimie informacji sekwencyjnej jako przedwczesne — mechanizm ma charakter wielostronny, a jego parametry nie zostały ustalone.</w:t>
      </w:r>
    </w:p>
    <w:p>
      <w:pPr>
        <w:pStyle w:val="BodyText"/>
      </w:pPr>
      <w:r>
        <w:t xml:space="preserve">Uwzględnić roszczenie w zakresie przekroczenia zakresu umowy muzealnej: stwierdzić, że sekwencjonowanie i wykorzystanie badawczo-rozwojowe wykraczały poza cel przekazania okazu, i skierować strony do uzgodnienia warunków podziału korzyści z uwzględnieniem wkładu technologicznego Ridusu.</w:t>
      </w:r>
    </w:p>
    <w:p>
      <w:pPr>
        <w:pStyle w:val="BodyText"/>
      </w:pPr>
      <w:r>
        <w:t xml:space="preserve">Uwzględnić roszczenie o kontrolę nad reintrodukcją: stwierdzić, że wprowadzenie osobników na terytorium Anecoyonu wymaga jego uprzedniej zgody, poprzedzonej oceną ryzyka dla populacji gatunku spokrewnionego.</w:t>
      </w:r>
    </w:p>
    <w:p>
      <w:pPr>
        <w:pStyle w:val="BodyText"/>
      </w:pPr>
      <w:r>
        <w:t xml:space="preserve">Co do praw społeczności rdzennej: zobowiązać strony do przeprowadzenia konsultacji z udziałem przedstawicieli wyłonionych zgodnie z porządkiem wewnętrznym społeczności; nie orzekać o naruszeniu, dopóki nie wykazano związku wiedzy tradycyjnej z wykorzystanym zasobem.</w:t>
      </w:r>
    </w:p>
    <w:p>
      <w:pPr>
        <w:pStyle w:val="BodyText"/>
      </w:pPr>
      <w:r>
        <w:t xml:space="preserve">Zastosować wobec odtworzonego organizmu reżim ochronny gatunku spokrewnionego do czasu rozstrzygnięcia jego statusu taksonomicznego — jako rozwiązanie ostrożnościowe zapobiegające luce regulacyjnej.</w:t>
      </w:r>
    </w:p>
    <w:bookmarkEnd w:id="59"/>
    <w:bookmarkStart w:id="60" w:name="zweryfikowane-pozycje-źródłowe-k-07"/>
    <w:p>
      <w:pPr>
        <w:pStyle w:val="Heading2"/>
      </w:pPr>
      <w:r>
        <w:t xml:space="preserve">Zweryfikowane pozycje źródłowe (K-07)</w:t>
      </w:r>
    </w:p>
    <w:p>
      <w:pPr>
        <w:numPr>
          <w:ilvl w:val="0"/>
          <w:numId w:val="1005"/>
        </w:numPr>
        <w:pStyle w:val="Compact"/>
      </w:pPr>
      <w:r>
        <w:t xml:space="preserve">Decyzja 16/2 szesnastej Konferencji Stron Konwencji o różnorodności biologicznej, przyjęta 1 listopada 2024 r. w Cali — ustanowienie wielostronnego mechanizmu podziału korzyści z wykorzystania cyfrowej informacji sekwencyjnej oraz globalnego funduszu (fundusz z Cali); nawiązanie do decyzji 15/9 z 2022 r.; brak uzgodnionej definicji informacji sekwencyjnej; progi i stawki wpłat pozostawione do dalszych uzgodnień; zapowiedź przeznaczenia połowy środków na rzecz społeczności rdzennych i lokalnych.</w:t>
      </w:r>
    </w:p>
    <w:p>
      <w:pPr>
        <w:numPr>
          <w:ilvl w:val="0"/>
          <w:numId w:val="1005"/>
        </w:numPr>
        <w:pStyle w:val="Compact"/>
      </w:pPr>
      <w:r>
        <w:t xml:space="preserve">Protokół z Nagoi o dostępie do zasobów genetycznych oraz sprawiedliwym i równym podziale korzyści (2010, w mocy od 2014 r.) — konstrukcja uprzedniej świadomej zgody i wzajemnie uzgodnionych warunków, odrębne obowiązki wobec wiedzy tradycyjnej.</w:t>
      </w:r>
    </w:p>
    <w:p>
      <w:pPr>
        <w:pStyle w:val="FirstParagraph"/>
      </w:pPr>
      <w:r>
        <w:t xml:space="preserve">Nie zweryfikowano punktowo i świadomie nie przypisano numerów artykułów: definicji zasobu genetycznego i materiału genetycznego, przepisu o suwerennych prawach do zasobów, przepisu o zakresie czasowym protokołu, przepisów o wiedzy tradycyjnej oraz reguł kwalifikacji okazów w reżimie handlu gatunkami zagrożonymi. Przed użyciem zawodowym wymagają sprawdzenia w tekstach traktatów i decyzji.</w:t>
      </w:r>
    </w:p>
    <w:p>
      <w:r>
        <w:br w:type="page"/>
      </w:r>
    </w:p>
    <w:bookmarkEnd w:id="60"/>
    <w:bookmarkEnd w:id="61"/>
    <w:bookmarkStart w:id="62" w:name="nota-do-partii-2"/>
    <w:p>
      <w:pPr>
        <w:pStyle w:val="Heading1"/>
      </w:pPr>
      <w:r>
        <w:t xml:space="preserve">Nota do Partii 2</w:t>
      </w:r>
    </w:p>
    <w:p>
      <w:pPr>
        <w:pStyle w:val="FirstParagraph"/>
      </w:pPr>
      <w:r>
        <w:t xml:space="preserve">Partia 2 zamyka część międzynarodową. Dwa punkty warte odnotowania przy porównaniu z wersją skillową.</w:t>
      </w:r>
    </w:p>
    <w:p>
      <w:pPr>
        <w:pStyle w:val="BodyText"/>
      </w:pPr>
      <w:r>
        <w:rPr>
          <w:bCs/>
          <w:b/>
        </w:rPr>
        <w:t xml:space="preserve">Rozbieżność reżimów przypisania.</w:t>
      </w:r>
      <w:r>
        <w:t xml:space="preserve"> </w:t>
      </w:r>
      <w:r>
        <w:t xml:space="preserve">K-02 i K-06 wyglądają podobnie (spółka prywatna, szkoda transgraniczna, spór międzypaństwowy), ale rządzą nimi odwrotne reguły: w K-02 przypisanie wymaga wykazania kontroli nad konkretnym zachowaniem, w K-06 państwo odpowiada za działalność narodową z mocy odrębnej normy traktatowej. Rozwiązywanie ich tą samą metodą jest błędem.</w:t>
      </w:r>
    </w:p>
    <w:p>
      <w:pPr>
        <w:pStyle w:val="BodyText"/>
      </w:pPr>
      <w:r>
        <w:rPr>
          <w:bCs/>
          <w:b/>
        </w:rPr>
        <w:t xml:space="preserve">Punkty, w których weryfikacja zmieniła wynik.</w:t>
      </w:r>
      <w:r>
        <w:t xml:space="preserve"> </w:t>
      </w:r>
      <w:r>
        <w:t xml:space="preserve">W K-05 reguła temporalna regulaminu okazała się jednoznaczna i przecięła spór, który wyglądał na otwarty. W K-07 sprawdzenie statusu mechanizmu z decyzji 16/2 pokazało, że najbardziej oczywiste roszczenie Anecoyonu — o udział w przychodach — jest w istocie przedwczesne, co odwraca intuicyjny obraz sprawy.</w:t>
      </w:r>
    </w:p>
    <w:p>
      <w:pPr>
        <w:pStyle w:val="BodyText"/>
      </w:pPr>
      <w:r>
        <w:t xml:space="preserve">Kolejne partie: PL-01 – PL-04 oraz PL-05 – PL-07, z weryfikacją przepisów w rejestrze ELI.</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kazusów wieloaspektowych — arkusz odpowiedzi</dc:title>
  <dc:creator/>
  <cp:keywords/>
  <dcterms:created xsi:type="dcterms:W3CDTF">2026-09-02T19:20:57Z</dcterms:created>
  <dcterms:modified xsi:type="dcterms:W3CDTF">2026-09-02T19:20:57Z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Partia 2: K-05 – K-07 (część międzynarodowa)</vt:lpwstr>
  </property>
</Properties>
</file>