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Bank</w:t>
      </w:r>
      <w:r>
        <w:t xml:space="preserve"> </w:t>
      </w:r>
      <w:r>
        <w:t xml:space="preserve">kazusów</w:t>
      </w:r>
      <w:r>
        <w:t xml:space="preserve"> </w:t>
      </w:r>
      <w:r>
        <w:t xml:space="preserve">wieloaspektowych</w:t>
      </w:r>
      <w:r>
        <w:t xml:space="preserve"> </w:t>
      </w:r>
      <w:r>
        <w:t xml:space="preserve">—</w:t>
      </w:r>
      <w:r>
        <w:t xml:space="preserve"> </w:t>
      </w:r>
      <w:r>
        <w:t xml:space="preserve">arkusz</w:t>
      </w:r>
      <w:r>
        <w:t xml:space="preserve"> </w:t>
      </w:r>
      <w:r>
        <w:t xml:space="preserve">odpowiedzi</w:t>
      </w:r>
    </w:p>
    <w:p>
      <w:pPr>
        <w:pStyle w:val="Subtitle"/>
      </w:pPr>
      <w:r>
        <w:t xml:space="preserve">Partia</w:t>
      </w:r>
      <w:r>
        <w:t xml:space="preserve"> </w:t>
      </w:r>
      <w:r>
        <w:t xml:space="preserve">4:</w:t>
      </w:r>
      <w:r>
        <w:t xml:space="preserve"> </w:t>
      </w:r>
      <w:r>
        <w:t xml:space="preserve">PL-05</w:t>
      </w:r>
      <w:r>
        <w:t xml:space="preserve"> </w:t>
      </w:r>
      <w:r>
        <w:t xml:space="preserve">–</w:t>
      </w:r>
      <w:r>
        <w:t xml:space="preserve"> </w:t>
      </w:r>
      <w:r>
        <w:t xml:space="preserve">PL-07</w:t>
      </w:r>
      <w:r>
        <w:t xml:space="preserve"> </w:t>
      </w:r>
      <w:r>
        <w:t xml:space="preserve">(część</w:t>
      </w:r>
      <w:r>
        <w:t xml:space="preserve"> </w:t>
      </w:r>
      <w:r>
        <w:t xml:space="preserve">polska)</w:t>
      </w:r>
    </w:p>
    <w:bookmarkStart w:id="20" w:name="metryka-arkusza"/>
    <w:p>
      <w:pPr>
        <w:pStyle w:val="Heading1"/>
      </w:pPr>
      <w:r>
        <w:t xml:space="preserve">Metryka arkusza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Pozycja</w:t>
            </w:r>
          </w:p>
        </w:tc>
        <w:tc>
          <w:tcPr/>
          <w:p>
            <w:pPr>
              <w:pStyle w:val="Compact"/>
              <w:jc w:val="left"/>
            </w:pPr>
            <w:r>
              <w:t xml:space="preserve">Treść</w:t>
            </w:r>
          </w:p>
        </w:tc>
      </w:tr>
      <w:tr>
        <w:tc>
          <w:tcPr/>
          <w:p>
            <w:pPr>
              <w:pStyle w:val="Compact"/>
              <w:jc w:val="left"/>
            </w:pPr>
            <w:r>
              <w:t xml:space="preserve">Zakres partii</w:t>
            </w:r>
          </w:p>
        </w:tc>
        <w:tc>
          <w:tcPr/>
          <w:p>
            <w:pPr>
              <w:pStyle w:val="Compact"/>
              <w:jc w:val="left"/>
            </w:pPr>
            <w:r>
              <w:t xml:space="preserve">PL-05, PL-06, PL-07</w:t>
            </w:r>
          </w:p>
        </w:tc>
      </w:tr>
      <w:tr>
        <w:tc>
          <w:tcPr/>
          <w:p>
            <w:pPr>
              <w:pStyle w:val="Compact"/>
              <w:jc w:val="left"/>
            </w:pPr>
            <w:r>
              <w:t xml:space="preserve">Model</w:t>
            </w:r>
          </w:p>
        </w:tc>
        <w:tc>
          <w:tcPr/>
          <w:p>
            <w:pPr>
              <w:pStyle w:val="Compact"/>
              <w:jc w:val="left"/>
            </w:pPr>
            <w:r>
              <w:t xml:space="preserve">Claude Opus 5 (Anthropic)</w:t>
            </w:r>
          </w:p>
        </w:tc>
      </w:tr>
      <w:tr>
        <w:tc>
          <w:tcPr/>
          <w:p>
            <w:pPr>
              <w:pStyle w:val="Compact"/>
              <w:jc w:val="left"/>
            </w:pPr>
            <w:r>
              <w:t xml:space="preserve">Tryb</w:t>
            </w:r>
          </w:p>
        </w:tc>
        <w:tc>
          <w:tcPr/>
          <w:p>
            <w:pPr>
              <w:pStyle w:val="Compact"/>
              <w:jc w:val="left"/>
            </w:pPr>
            <w:r>
              <w:t xml:space="preserve">Bez skilli prawnych — nie uruchomiono routera prawnego, skilli DR-01–DR-16, modułów walidacyjnych ani kwalifikatora karnomaterialnego</w:t>
            </w:r>
          </w:p>
        </w:tc>
      </w:tr>
      <w:tr>
        <w:tc>
          <w:tcPr/>
          <w:p>
            <w:pPr>
              <w:pStyle w:val="Compact"/>
              <w:jc w:val="left"/>
            </w:pPr>
            <w:r>
              <w:t xml:space="preserve">Weryfikacja źródeł</w:t>
            </w:r>
          </w:p>
        </w:tc>
        <w:tc>
          <w:tcPr/>
          <w:p>
            <w:pPr>
              <w:pStyle w:val="Compact"/>
              <w:jc w:val="left"/>
            </w:pPr>
            <w:r>
              <w:t xml:space="preserve">Teksty ujednolicone z API ELI Sejmu, sprawdzone punktowo; akty prawa UE — wyszukiwanie internetowe. Wykaz na końcu każdego kazusu</w:t>
            </w:r>
          </w:p>
        </w:tc>
      </w:tr>
      <w:tr>
        <w:tc>
          <w:tcPr/>
          <w:p>
            <w:pPr>
              <w:pStyle w:val="Compact"/>
              <w:jc w:val="left"/>
            </w:pPr>
            <w:r>
              <w:t xml:space="preserve">Data sporządzenia</w:t>
            </w:r>
          </w:p>
        </w:tc>
        <w:tc>
          <w:tcPr/>
          <w:p>
            <w:pPr>
              <w:pStyle w:val="Compact"/>
              <w:jc w:val="left"/>
            </w:pPr>
            <w:r>
              <w:t xml:space="preserve">3 września 2026 r.</w:t>
            </w:r>
          </w:p>
        </w:tc>
      </w:tr>
      <w:tr>
        <w:tc>
          <w:tcPr/>
          <w:p>
            <w:pPr>
              <w:pStyle w:val="Compact"/>
              <w:jc w:val="left"/>
            </w:pPr>
            <w:r>
              <w:t xml:space="preserve">Uwaga</w:t>
            </w:r>
          </w:p>
        </w:tc>
        <w:tc>
          <w:tcPr/>
          <w:p>
            <w:pPr>
              <w:pStyle w:val="Compact"/>
              <w:jc w:val="left"/>
            </w:pPr>
            <w:r>
              <w:t xml:space="preserve">Partia 4 zamyka bank kazusów</w:t>
            </w:r>
          </w:p>
        </w:tc>
      </w:tr>
    </w:tbl>
    <w:bookmarkEnd w:id="20"/>
    <w:bookmarkStart w:id="33" w:name="pl-05-chmura-dla-metropolii"/>
    <w:p>
      <w:pPr>
        <w:pStyle w:val="Heading1"/>
      </w:pPr>
      <w:r>
        <w:t xml:space="preserve">PL-05 Chmura dla metropolii</w:t>
      </w:r>
    </w:p>
    <w:bookmarkStart w:id="21" w:name="teza-wstępna"/>
    <w:p>
      <w:pPr>
        <w:pStyle w:val="Heading2"/>
      </w:pPr>
      <w:r>
        <w:t xml:space="preserve">Teza wstępna</w:t>
      </w:r>
    </w:p>
    <w:p>
      <w:pPr>
        <w:pStyle w:val="FirstParagraph"/>
      </w:pPr>
      <w:r>
        <w:t xml:space="preserve">Kazus wygląda na spór o kryterium oceny ofert, a rozstrzyga się na trzech niezależnych osiach. Kryterium „suwerenności technologicznej” jest wadliwe nie dlatego, że premiuje lokalizację, lecz dlatego, że nie wyjaśnia sposobu oceny — narusza art. 240 ust. 2 Prawa zamówień publicznych, a w zależności od sformułowania również art. 241 ust. 3. Poleganie na referencji innej spółki z grupy nie jest samodzielnym walorem konsorcjum, lecz poleganiem na zasobach podmiotu trzeciego ze wszystkimi rygorami art. 118. Nowe wymagania bezpieczeństwa można wprowadzić tylko przez klauzulę przeglądową albo nie można ich wprowadzić wcale. Kolizja między ryzykiem przerwy w usługach a ryzykiem utrwalenia niezweryfikowanego łańcucha dostaw ma w ustawie własne rozwiązanie: art. 578.</w:t>
      </w:r>
    </w:p>
    <w:bookmarkEnd w:id="21"/>
    <w:bookmarkStart w:id="22" w:name="mapa-jurysdykcji-źródeł-i-kompetencji"/>
    <w:p>
      <w:pPr>
        <w:pStyle w:val="Heading2"/>
      </w:pPr>
      <w:r>
        <w:t xml:space="preserve">Mapa jurysdykcji, źródeł i kompetencji</w:t>
      </w:r>
    </w:p>
    <w:p>
      <w:pPr>
        <w:pStyle w:val="FirstParagraph"/>
      </w:pPr>
      <w:r>
        <w:t xml:space="preserve">Fora. Krajowa Izba Odwoławcza rozpoznaje odwołanie konkurenta; sąd zamówień publicznych rozpoznaje skargę na orzeczenie Izby. Prezes Urzędu Zamówień Publicznych sprawuje kontrolę następczą. Organ właściwy do spraw cyberbezpieczeństwa i organ nadzorczy ochrony danych działają równolegle i nie są związane wynikiem postępowania odwoławczego.</w:t>
      </w:r>
    </w:p>
    <w:p>
      <w:pPr>
        <w:pStyle w:val="BodyText"/>
      </w:pPr>
      <w:r>
        <w:t xml:space="preserve">Reżimy. Zamówieniowy wyznacza granice tego, co zamawiający może wymagać i kiedy. Cyberbezpieczeństwa — po nowelizacji wdrażającej dyrektywę NIS2 ustawa o krajowym systemie cyberbezpieczeństwa posługuje się kategoriami podmiotu kluczowego i podmiotu ważnego, a metropolia świadcząca usługi transportu, świadczeń i zgłoszeń może w tych kategoriach się mieścić; obowiązki obejmują wówczas także bezpieczeństwo łańcucha dostaw. Ochrony danych — powierzenie przetwarzania, bezpieczeństwo przetwarzania i przekazywanie danych do państw trzecich. Ciągłości działania — obowiązek zapewnienia nieprzerwanej realizacji zadań publicznych, mający źródło poza Prawem zamówień publicznych.</w:t>
      </w:r>
    </w:p>
    <w:p>
      <w:pPr>
        <w:pStyle w:val="BodyText"/>
      </w:pPr>
      <w:r>
        <w:t xml:space="preserve">Kolejność analizy ma znaczenie praktyczne: naruszenia zamówieniowe ocenia się według stanu z chwili dokonania czynności, a obowiązki cyberbezpieczeństwa mają charakter ciągły. Zamawiający może więc jednocześnie przegrać odwołanie i mieć rację co do potrzeby wzmocnienia wymagań.</w:t>
      </w:r>
    </w:p>
    <w:bookmarkEnd w:id="22"/>
    <w:bookmarkStart w:id="28" w:name="analiza-materialna-według-zagadnień"/>
    <w:p>
      <w:pPr>
        <w:pStyle w:val="Heading2"/>
      </w:pPr>
      <w:r>
        <w:t xml:space="preserve">Analiza materialna według zagadnień</w:t>
      </w:r>
    </w:p>
    <w:bookmarkStart w:id="23" w:name="X66d172edddc5f16e14095b672d78659dfdc71d6"/>
    <w:p>
      <w:pPr>
        <w:pStyle w:val="Heading3"/>
      </w:pPr>
      <w:r>
        <w:t xml:space="preserve">Zagadnienie 1: kryterium „suwerenności technologicznej”</w:t>
      </w:r>
    </w:p>
    <w:p>
      <w:pPr>
        <w:pStyle w:val="FirstParagraph"/>
      </w:pPr>
      <w:r>
        <w:t xml:space="preserve">Trzy testy, badane osobno.</w:t>
      </w:r>
    </w:p>
    <w:p>
      <w:pPr>
        <w:pStyle w:val="BodyText"/>
      </w:pPr>
      <w:r>
        <w:t xml:space="preserve">Test związku z przedmiotem. Art. 241 ust. 1 wymaga, aby kryteria były związane z przedmiotem zamówienia, a ust. 2 rozciąga ten związek na dowolne aspekty i etapy cyklu życia, w tym elementy procesu dostarczania. Lokalizacja centrów danych, w których przetwarzane są dane platformy, jest elementem procesu świadczenia usługi, nie właściwością zewnętrzną — test jest zatem spełniony.</w:t>
      </w:r>
    </w:p>
    <w:p>
      <w:pPr>
        <w:pStyle w:val="BodyText"/>
      </w:pPr>
      <w:r>
        <w:t xml:space="preserve">Test podmiotowości. Art. 241 ust. 3 zakazuje, aby kryteria oceny ofert dotyczyły właściwości wykonawcy. Jeżeli kryterium premiuje wykonawcę mającego centra danych w Polsce, dotyczy jego właściwości i jest niedopuszczalne. Jeżeli premiuje ofertę, w której przetwarzanie danych następuje na terytorium Polski, dotyczy przedmiotu i jest dopuszczalne. Różnica jest redakcyjna, a skutek — rozstrzygający. Kazus nie podaje brzmienia kryterium; to pierwszy brak faktyczny o znaczeniu przesądzającym.</w:t>
      </w:r>
    </w:p>
    <w:p>
      <w:pPr>
        <w:pStyle w:val="BodyText"/>
      </w:pPr>
      <w:r>
        <w:t xml:space="preserve">Test mierzalności. Art. 240 ust. 1 nakazuje opisać kryteria w sposób jednoznaczny i zrozumiały, a ust. 2 zakazuje pozostawiania zamawiającemu nieograniczonej swobody wyboru. Kryterium, które „nie wyjaśnia oceny”, narusza oba ustępy niezależnie od wyniku dwóch poprzednich testów. To zarzut najpewniejszy i najprostszy do wykazania.</w:t>
      </w:r>
    </w:p>
    <w:p>
      <w:pPr>
        <w:pStyle w:val="BodyText"/>
      </w:pPr>
      <w:r>
        <w:t xml:space="preserve">Warstwa unijna. Premiowanie lokalizacji krajowej dotyka swobody świadczenia usług i zasady równego traktowania z art. 16 pkt 1 ustawy. Obrona zamawiającego musi być funkcjonalna: nie „polskie centra danych”, lecz odporność na dostęp organów państw trzecich, jurysdykcja przetwarzania, przenoszalność danych, lokalne zarządzanie kluczami. Tak sformułowane wymaganie jest proporcjonalne i weryfikowalne; sformułowane geograficznie — dyskryminacyjne.</w:t>
      </w:r>
    </w:p>
    <w:bookmarkEnd w:id="23"/>
    <w:bookmarkStart w:id="24" w:name="zagadnienie-2-referencja-spółki-z-grupy"/>
    <w:p>
      <w:pPr>
        <w:pStyle w:val="Heading3"/>
      </w:pPr>
      <w:r>
        <w:t xml:space="preserve">Zagadnienie 2: referencja spółki z grupy</w:t>
      </w:r>
    </w:p>
    <w:p>
      <w:pPr>
        <w:pStyle w:val="FirstParagraph"/>
      </w:pPr>
      <w:r>
        <w:t xml:space="preserve">Art. 118 ust. 1 pozwala polegać na zdolnościach technicznych lub zawodowych podmiotów udostępniających zasoby, niezależnie od charakteru stosunków prawnych łączących wykonawcę z tymi podmiotami. Przynależność do jednej grupy kapitałowej nie jest wyjątkiem od tej konstrukcji, lecz jej przypadkiem: spółka siostrzana jest podmiotem trzecim.</w:t>
      </w:r>
    </w:p>
    <w:p>
      <w:pPr>
        <w:pStyle w:val="BodyText"/>
      </w:pPr>
      <w:r>
        <w:t xml:space="preserve">Konsekwencje są dwie. Po pierwsze, wymagane jest zobowiązanie do udostępnienia zasobów i wykazanie realności udostępnienia. Po drugie — i to decyduje — art. 118 ust. 2 stanowi, że w odniesieniu do doświadczenia wykonawcy mogą polegać na zdolnościach podmiotów udostępniających zasoby tylko wtedy, gdy podmioty te wykonają usługi, do realizacji których te zdolności są wymagane. Referencja spółki z grupy jest więc bezużyteczna, jeżeli spółka ta nie będzie faktycznie realizować odpowiedniej części zamówienia. Zamawiający, który przyjął taką referencję bez zbadania tej przesłanki, dokonał czynności wadliwej.</w:t>
      </w:r>
    </w:p>
    <w:p>
      <w:pPr>
        <w:pStyle w:val="BodyText"/>
      </w:pPr>
      <w:r>
        <w:t xml:space="preserve">Odrębne zagadnienie: użycie globalnej chmury oznacza udział podmiotu trzeciego w realizacji, co uruchamia obowiązki informacyjne wobec podwykonawców i — w warstwie cyberbezpieczeństwa — obowiązek oceny łańcucha dostaw.</w:t>
      </w:r>
    </w:p>
    <w:bookmarkEnd w:id="24"/>
    <w:bookmarkStart w:id="25" w:name="X782b80f28223a8f9cc4ca0049bb3eb6274596c1"/>
    <w:p>
      <w:pPr>
        <w:pStyle w:val="Heading3"/>
      </w:pPr>
      <w:r>
        <w:t xml:space="preserve">Zagadnienie 3: granice tajemnicy przedsiębiorstwa</w:t>
      </w:r>
    </w:p>
    <w:p>
      <w:pPr>
        <w:pStyle w:val="FirstParagraph"/>
      </w:pPr>
      <w:r>
        <w:t xml:space="preserve">Art. 18 ust. 1 ustanawia zasadę jawności postępowania, a ust. 2 pozwala ją ograniczyć tylko w przypadkach określonych w ustawie. Art. 18 ust. 3 dopuszcza nieujawnienie informacji stanowiących tajemnicę przedsiębiorstwa w rozumieniu ustawy o zwalczaniu nieuczciwej konkurencji, ale pod dwoma warunkami łącznymi: wykonawca musi zastrzec je wraz z przekazaniem oraz</w:t>
      </w:r>
      <w:r>
        <w:t xml:space="preserve"> </w:t>
      </w:r>
      <w:r>
        <w:rPr>
          <w:bCs/>
          <w:b/>
        </w:rPr>
        <w:t xml:space="preserve">wykazać</w:t>
      </w:r>
      <w:r>
        <w:t xml:space="preserve">, że stanowią one tajemnicę przedsiębiorstwa.</w:t>
      </w:r>
    </w:p>
    <w:p>
      <w:pPr>
        <w:pStyle w:val="BodyText"/>
      </w:pPr>
      <w:r>
        <w:t xml:space="preserve">Ciężar wykazania jest realny, nie formalny. Oświadczenie, że informacje mają wartość gospodarczą, nie jest wykazaniem; konieczne jest odniesienie do trzech przesłanek z art. 11 ust. 2 ustawy o zwalczaniu nieuczciwej konkurencji: niepowszechna znajomość, wartość gospodarcza, podjęte przy zachowaniu należytej staranności działania w celu utrzymania poufności. Zamawiający ma obowiązek ocenić skuteczność zastrzeżenia; przyjęcie go bez oceny jest samodzielnym naruszeniem art. 18 ust. 1.</w:t>
      </w:r>
    </w:p>
    <w:p>
      <w:pPr>
        <w:pStyle w:val="BodyText"/>
      </w:pPr>
      <w:r>
        <w:t xml:space="preserve">Utajnienie „znacznej części wyjaśnień” przez wykonawcę najtańszej oferty jest okolicznością wskazującą na nadużycie instytucji. Wobec Izby ograniczenie nie działa — Izba orzeka na podstawie całości akt; ograniczenie działa wyłącznie wobec konkurenta, co rodzi problem realnej możliwości sformułowania zarzutów. Właściwym rozwiązaniem jest nakazanie odtajnienia w części, w której wykonawca nie sprostał obowiązkowi wykazania, a nie rozstrzyganie sporu na materiale, którego odwołujący nie zna.</w:t>
      </w:r>
    </w:p>
    <w:bookmarkEnd w:id="25"/>
    <w:bookmarkStart w:id="26" w:name="X6c07b910fdb542eac750457bd848d534e73a83b"/>
    <w:p>
      <w:pPr>
        <w:pStyle w:val="Heading3"/>
      </w:pPr>
      <w:r>
        <w:t xml:space="preserve">Zagadnienie 4: nowe wymagania po wyborze oferty</w:t>
      </w:r>
    </w:p>
    <w:p>
      <w:pPr>
        <w:pStyle w:val="FirstParagraph"/>
      </w:pPr>
      <w:r>
        <w:t xml:space="preserve">Trzeba rozróżnić dwa momenty, bo reżimy są odmienne.</w:t>
      </w:r>
    </w:p>
    <w:p>
      <w:pPr>
        <w:pStyle w:val="BodyText"/>
      </w:pPr>
      <w:r>
        <w:t xml:space="preserve">Przed zawarciem umowy. Zmiana wymagań po terminie składania ofert jest niedopuszczalna — narusza równe traktowanie i przejrzystość z art. 16, ponieważ inni wykonawcy przygotowali oferty na innych warunkach. Zamawiający, który chce lokalnego zarządzania kluczami i prawa natychmiastowego audytu, a nie przewidział ich w dokumentach zamówienia, musi unieważnić postępowanie albo zrezygnować z wymagań.</w:t>
      </w:r>
    </w:p>
    <w:p>
      <w:pPr>
        <w:pStyle w:val="BodyText"/>
      </w:pPr>
      <w:r>
        <w:t xml:space="preserve">Po zawarciu umowy. Art. 454 ust. 1 nakazuje przeprowadzenie nowego postępowania przy istotnej zmianie umowy, a ust. 2 pkt 1 definiuje jako istotną zmianę wprowadzającą warunki, które — gdyby zastosowano je w postępowaniu — spowodowałyby udział innych wykonawców lub przyjęcie ofert innej treści. Wymóg lokalnego zarządzania kluczami zmienia architekturę rozwiązania i wpływa na cenę; przy braku klauzuli przeglądowej jest zmianą istotną.</w:t>
      </w:r>
    </w:p>
    <w:p>
      <w:pPr>
        <w:pStyle w:val="BodyText"/>
      </w:pPr>
      <w:r>
        <w:t xml:space="preserve">Wyjście jest jedno i wynika z art. 455 ust. 1 pkt 1: zmiana przewidziana w ogłoszeniu lub dokumentach zamówienia w postaci jasnych, precyzyjnych i jednoznacznych postanowień określających rodzaj i zakres zmian, warunki ich wprowadzenia i nieprzewidujących zmian modyfikujących ogólny charakter umowy. Jeżeli dokumentacja zawierała klauzulę bezpieczeństwa o takim stopniu precyzji, zmiana jest dopuszczalna bez nowego postępowania. Jeżeli nie — pozostaje rozważenie podstawy opartej na okolicznościach, których zamawiający nie mógł przewidzieć, z limitem wartościowym i z ryzykiem sporu o przewidywalność incydentu u dostawcy chmury. Argument konsorcjum o istotnej zmianie zakresu i ceny jest zatem trafny co do zasady, a jego siła zależy wyłącznie od treści dokumentów zamówienia.</w:t>
      </w:r>
    </w:p>
    <w:bookmarkEnd w:id="26"/>
    <w:bookmarkStart w:id="27" w:name="X444a45da7e9e8747fafc2454e4db5b1ef713506"/>
    <w:p>
      <w:pPr>
        <w:pStyle w:val="Heading3"/>
      </w:pPr>
      <w:r>
        <w:t xml:space="preserve">Zagadnienie 5: cyberbezpieczeństwo, dane i środek tymczasowy</w:t>
      </w:r>
    </w:p>
    <w:p>
      <w:pPr>
        <w:pStyle w:val="FirstParagraph"/>
      </w:pPr>
      <w:r>
        <w:t xml:space="preserve">Ustawa o krajowym systemie cyberbezpieczeństwa w brzmieniu wdrażającym dyrektywę NIS2 wyznacza podmioty kluczowe i ważne według załącznika do ustawy i progu wielkości przedsiębiorstwa. Jeżeli metropolia lub jej jednostka mieści się w tych kategoriach, obowiązki obejmują zarządzanie ryzykiem w łańcuchu dostaw — a to oznacza, że wymagania wobec dostawcy chmury nie są kaprysem zamawiającego, lecz realizacją własnego obowiązku ustawowego. Ten argument należy przedstawić przed Izbą, bo przenosi spór z płaszczyzny swobody zamawiającego na płaszczyznę konieczności.</w:t>
      </w:r>
    </w:p>
    <w:p>
      <w:pPr>
        <w:pStyle w:val="BodyText"/>
      </w:pPr>
      <w:r>
        <w:t xml:space="preserve">Warstwa ochrony danych. Korzystanie z globalnej chmury wymaga umowy powierzenia, oceny środków bezpieczeństwa i — jeżeli dane trafiają poza Europejski Obszar Gospodarczy — podstawy przekazania. Prawo audytu nie jest dodatkiem komercyjnym; bez niego administrator nie jest w stanie wykazać, że korzysta wyłącznie z usług dających wystarczające gwarancje.</w:t>
      </w:r>
    </w:p>
    <w:p>
      <w:pPr>
        <w:pStyle w:val="BodyText"/>
      </w:pPr>
      <w:r>
        <w:t xml:space="preserve">Środek tymczasowy. Konflikt między ryzykiem przerwy w usługach a ryzykiem utrwalenia niezweryfikowanego łańcucha dostaw jest w ustawie przewidziany. Art. 577 zakazuje zawarcia umowy do czasu ogłoszenia orzeczenia Izby. Art. 578 ust. 1 pozwala zamawiającemu złożyć wniosek o uchylenie tego zakazu, a ust. 2 pkt 1 wskazuje przesłankę: niezawarcie umowy mogłoby spowodować negatywne skutki dla interesu publicznego przewyższające korzyści związane z ochroną wszystkich interesów zagrożonych uszczerbkiem. To jest właściwe narzędzie, a nie improwizowane rozwiązania kontraktowe.</w:t>
      </w:r>
    </w:p>
    <w:p>
      <w:pPr>
        <w:pStyle w:val="BodyText"/>
      </w:pPr>
      <w:r>
        <w:t xml:space="preserve">Ocena przesłanki wypada tu niejednoznacznie i powinna zostać przedstawiona uczciwie. Za uchyleniem zakazu przemawia podatność obecnego systemu i ryzyko przerwy w usługach o charakterze publicznym. Przeciw — to, że zawarcie umowy utrwala łańcuch dostaw, którego zamawiający sam nie uznaje za zweryfikowany, a szkoda z tego tytułu byłaby trudna do odwrócenia. Przy tak rozłożonych ryzykach właściwsze jest oddalenie wniosku i rozpoznanie odwołania w trybie przyspieszonym, z równoległym wdrożeniem doraźnych zabezpieczeń obecnego systemu — te ostatnie nie wymagają zamówienia na platformę docelową.</w:t>
      </w:r>
    </w:p>
    <w:bookmarkEnd w:id="27"/>
    <w:bookmarkEnd w:id="28"/>
    <w:bookmarkStart w:id="29" w:name="macierz-argumentów"/>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odwołującego</w:t>
            </w:r>
          </w:p>
        </w:tc>
        <w:tc>
          <w:tcPr/>
          <w:p>
            <w:pPr>
              <w:pStyle w:val="Compact"/>
              <w:jc w:val="left"/>
            </w:pPr>
            <w:r>
              <w:t xml:space="preserve">Odpowiedź zamawiającego i konsorcjum</w:t>
            </w:r>
          </w:p>
        </w:tc>
      </w:tr>
      <w:tr>
        <w:tc>
          <w:tcPr/>
          <w:p>
            <w:pPr>
              <w:pStyle w:val="Compact"/>
              <w:jc w:val="left"/>
            </w:pPr>
            <w:r>
              <w:t xml:space="preserve">Kryterium suwerenności</w:t>
            </w:r>
          </w:p>
        </w:tc>
        <w:tc>
          <w:tcPr/>
          <w:p>
            <w:pPr>
              <w:pStyle w:val="Compact"/>
              <w:jc w:val="left"/>
            </w:pPr>
            <w:r>
              <w:t xml:space="preserve">Brak opisu sposobu oceny — art. 240 ust. 1 i 2; premiowanie lokalizacji narusza art. 16 pkt 1</w:t>
            </w:r>
          </w:p>
        </w:tc>
        <w:tc>
          <w:tcPr/>
          <w:p>
            <w:pPr>
              <w:pStyle w:val="Compact"/>
              <w:jc w:val="left"/>
            </w:pPr>
            <w:r>
              <w:t xml:space="preserve">Kryterium dotyczy sposobu świadczenia usługi, mieści się w art. 241 ust. 2; cel bezpieczeństwa uzasadnia zróżnicowanie</w:t>
            </w:r>
          </w:p>
        </w:tc>
      </w:tr>
      <w:tr>
        <w:tc>
          <w:tcPr/>
          <w:p>
            <w:pPr>
              <w:pStyle w:val="Compact"/>
              <w:jc w:val="left"/>
            </w:pPr>
            <w:r>
              <w:t xml:space="preserve">Charakter kryterium</w:t>
            </w:r>
          </w:p>
        </w:tc>
        <w:tc>
          <w:tcPr/>
          <w:p>
            <w:pPr>
              <w:pStyle w:val="Compact"/>
              <w:jc w:val="left"/>
            </w:pPr>
            <w:r>
              <w:t xml:space="preserve">Kryterium dotyczy właściwości wykonawcy — art. 241 ust. 3</w:t>
            </w:r>
          </w:p>
        </w:tc>
        <w:tc>
          <w:tcPr/>
          <w:p>
            <w:pPr>
              <w:pStyle w:val="Compact"/>
              <w:jc w:val="left"/>
            </w:pPr>
            <w:r>
              <w:t xml:space="preserve">Dotyczy miejsca przetwarzania danych w ramach usługi, nie cechy wykonawcy</w:t>
            </w:r>
          </w:p>
        </w:tc>
      </w:tr>
      <w:tr>
        <w:tc>
          <w:tcPr/>
          <w:p>
            <w:pPr>
              <w:pStyle w:val="Compact"/>
              <w:jc w:val="left"/>
            </w:pPr>
            <w:r>
              <w:t xml:space="preserve">Referencja grupy</w:t>
            </w:r>
          </w:p>
        </w:tc>
        <w:tc>
          <w:tcPr/>
          <w:p>
            <w:pPr>
              <w:pStyle w:val="Compact"/>
              <w:jc w:val="left"/>
            </w:pPr>
            <w:r>
              <w:t xml:space="preserve">Poleganie na zasobach podmiotu trzeciego; art. 118 ust. 2 wymaga realnego wykonania usług</w:t>
            </w:r>
          </w:p>
        </w:tc>
        <w:tc>
          <w:tcPr/>
          <w:p>
            <w:pPr>
              <w:pStyle w:val="Compact"/>
              <w:jc w:val="left"/>
            </w:pPr>
            <w:r>
              <w:t xml:space="preserve">Spółki grupy tworzą jedność gospodarczą; zasoby są faktycznie dostępne</w:t>
            </w:r>
          </w:p>
        </w:tc>
      </w:tr>
      <w:tr>
        <w:tc>
          <w:tcPr/>
          <w:p>
            <w:pPr>
              <w:pStyle w:val="Compact"/>
              <w:jc w:val="left"/>
            </w:pPr>
            <w:r>
              <w:t xml:space="preserve">Tajemnica</w:t>
            </w:r>
          </w:p>
        </w:tc>
        <w:tc>
          <w:tcPr/>
          <w:p>
            <w:pPr>
              <w:pStyle w:val="Compact"/>
              <w:jc w:val="left"/>
            </w:pPr>
            <w:r>
              <w:t xml:space="preserve">Wykonawca nie wykazał przesłanek z art. 11 ust. 2 u.z.n.k.; zamawiający nie zbadał zastrzeżenia</w:t>
            </w:r>
          </w:p>
        </w:tc>
        <w:tc>
          <w:tcPr/>
          <w:p>
            <w:pPr>
              <w:pStyle w:val="Compact"/>
              <w:jc w:val="left"/>
            </w:pPr>
            <w:r>
              <w:t xml:space="preserve">Wyjaśnienia zawierają model kosztowy i architekturę o wartości gospodarczej</w:t>
            </w:r>
          </w:p>
        </w:tc>
      </w:tr>
      <w:tr>
        <w:tc>
          <w:tcPr/>
          <w:p>
            <w:pPr>
              <w:pStyle w:val="Compact"/>
              <w:jc w:val="left"/>
            </w:pPr>
            <w:r>
              <w:t xml:space="preserve">Nowe wymagania</w:t>
            </w:r>
          </w:p>
        </w:tc>
        <w:tc>
          <w:tcPr/>
          <w:p>
            <w:pPr>
              <w:pStyle w:val="Compact"/>
              <w:jc w:val="left"/>
            </w:pPr>
            <w:r>
              <w:t xml:space="preserve">Zmiana zakresu po wyborze oferty narusza równe traktowanie</w:t>
            </w:r>
          </w:p>
        </w:tc>
        <w:tc>
          <w:tcPr/>
          <w:p>
            <w:pPr>
              <w:pStyle w:val="Compact"/>
              <w:jc w:val="left"/>
            </w:pPr>
            <w:r>
              <w:t xml:space="preserve">Wymagania wynikają z obowiązków ustawowych zamawiającego i z klauzuli przeglądowej</w:t>
            </w:r>
          </w:p>
        </w:tc>
      </w:tr>
      <w:tr>
        <w:tc>
          <w:tcPr/>
          <w:p>
            <w:pPr>
              <w:pStyle w:val="Compact"/>
              <w:jc w:val="left"/>
            </w:pPr>
            <w:r>
              <w:t xml:space="preserve">Zmiana umowy</w:t>
            </w:r>
          </w:p>
        </w:tc>
        <w:tc>
          <w:tcPr/>
          <w:p>
            <w:pPr>
              <w:pStyle w:val="Compact"/>
              <w:jc w:val="left"/>
            </w:pPr>
            <w:r>
              <w:t xml:space="preserve">Zmiana istotna w rozumieniu art. 454 ust. 2 pkt 1 — konieczne nowe postępowanie</w:t>
            </w:r>
          </w:p>
        </w:tc>
        <w:tc>
          <w:tcPr/>
          <w:p>
            <w:pPr>
              <w:pStyle w:val="Compact"/>
              <w:jc w:val="left"/>
            </w:pPr>
            <w:r>
              <w:t xml:space="preserve">Art. 455 ust. 1 pkt 1 dopuszcza zmianę przewidzianą w dokumentach zamówienia</w:t>
            </w:r>
          </w:p>
        </w:tc>
      </w:tr>
      <w:tr>
        <w:tc>
          <w:tcPr/>
          <w:p>
            <w:pPr>
              <w:pStyle w:val="Compact"/>
              <w:jc w:val="left"/>
            </w:pPr>
            <w:r>
              <w:t xml:space="preserve">Środek tymczasowy</w:t>
            </w:r>
          </w:p>
        </w:tc>
        <w:tc>
          <w:tcPr/>
          <w:p>
            <w:pPr>
              <w:pStyle w:val="Compact"/>
              <w:jc w:val="left"/>
            </w:pPr>
            <w:r>
              <w:t xml:space="preserve">Zakaz z art. 577 chroni skuteczność odwołania; utrwalenie łańcucha dostaw jest nieodwracalne</w:t>
            </w:r>
          </w:p>
        </w:tc>
        <w:tc>
          <w:tcPr/>
          <w:p>
            <w:pPr>
              <w:pStyle w:val="Compact"/>
              <w:jc w:val="left"/>
            </w:pPr>
            <w:r>
              <w:t xml:space="preserve">Art. 578 ust. 2 pkt 1 — ryzyko przerwy w usługach publicznych przeważa</w:t>
            </w:r>
          </w:p>
        </w:tc>
      </w:tr>
    </w:tbl>
    <w:bookmarkEnd w:id="29"/>
    <w:bookmarkStart w:id="30" w:name="braki-faktyczne-i-dowody-rozstrzygające"/>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Dosłowne brzmienie kryterium „suwerenności technologicznej”</w:t>
            </w:r>
          </w:p>
        </w:tc>
        <w:tc>
          <w:tcPr/>
          <w:p>
            <w:pPr>
              <w:pStyle w:val="Compact"/>
              <w:jc w:val="left"/>
            </w:pPr>
            <w:r>
              <w:t xml:space="preserve">Decyduje o zastosowaniu art. 241 ust. 3</w:t>
            </w:r>
          </w:p>
        </w:tc>
        <w:tc>
          <w:tcPr/>
          <w:p>
            <w:pPr>
              <w:pStyle w:val="Compact"/>
              <w:jc w:val="left"/>
            </w:pPr>
            <w:r>
              <w:t xml:space="preserve">Specyfikacja warunków zamówienia, ogłoszenie</w:t>
            </w:r>
          </w:p>
        </w:tc>
      </w:tr>
      <w:tr>
        <w:tc>
          <w:tcPr/>
          <w:p>
            <w:pPr>
              <w:pStyle w:val="Compact"/>
              <w:jc w:val="left"/>
            </w:pPr>
            <w:r>
              <w:t xml:space="preserve">Opis sposobu przyznawania punktów</w:t>
            </w:r>
          </w:p>
        </w:tc>
        <w:tc>
          <w:tcPr/>
          <w:p>
            <w:pPr>
              <w:pStyle w:val="Compact"/>
              <w:jc w:val="left"/>
            </w:pPr>
            <w:r>
              <w:t xml:space="preserve">Ocena naruszenia art. 240 ust. 1 i 2</w:t>
            </w:r>
          </w:p>
        </w:tc>
        <w:tc>
          <w:tcPr/>
          <w:p>
            <w:pPr>
              <w:pStyle w:val="Compact"/>
              <w:jc w:val="left"/>
            </w:pPr>
            <w:r>
              <w:t xml:space="preserve">Formularz oceny, karty indywidualne oceniających</w:t>
            </w:r>
          </w:p>
        </w:tc>
      </w:tr>
      <w:tr>
        <w:tc>
          <w:tcPr/>
          <w:p>
            <w:pPr>
              <w:pStyle w:val="Compact"/>
              <w:jc w:val="left"/>
            </w:pPr>
            <w:r>
              <w:t xml:space="preserve">Zakres usług, które wykona spółka z grupy</w:t>
            </w:r>
          </w:p>
        </w:tc>
        <w:tc>
          <w:tcPr/>
          <w:p>
            <w:pPr>
              <w:pStyle w:val="Compact"/>
              <w:jc w:val="left"/>
            </w:pPr>
            <w:r>
              <w:t xml:space="preserve">Warunek z art. 118 ust. 2</w:t>
            </w:r>
          </w:p>
        </w:tc>
        <w:tc>
          <w:tcPr/>
          <w:p>
            <w:pPr>
              <w:pStyle w:val="Compact"/>
              <w:jc w:val="left"/>
            </w:pPr>
            <w:r>
              <w:t xml:space="preserve">Zobowiązanie do udostępnienia zasobów, podział zadań w konsorcjum</w:t>
            </w:r>
          </w:p>
        </w:tc>
      </w:tr>
      <w:tr>
        <w:tc>
          <w:tcPr/>
          <w:p>
            <w:pPr>
              <w:pStyle w:val="Compact"/>
              <w:jc w:val="left"/>
            </w:pPr>
            <w:r>
              <w:t xml:space="preserve">Uzasadnienie zastrzeżenia tajemnicy</w:t>
            </w:r>
          </w:p>
        </w:tc>
        <w:tc>
          <w:tcPr/>
          <w:p>
            <w:pPr>
              <w:pStyle w:val="Compact"/>
              <w:jc w:val="left"/>
            </w:pPr>
            <w:r>
              <w:t xml:space="preserve">Warunek skuteczności zastrzeżenia z art. 18 ust. 3</w:t>
            </w:r>
          </w:p>
        </w:tc>
        <w:tc>
          <w:tcPr/>
          <w:p>
            <w:pPr>
              <w:pStyle w:val="Compact"/>
              <w:jc w:val="left"/>
            </w:pPr>
            <w:r>
              <w:t xml:space="preserve">Pismo wykonawcy wraz z uzasadnieniem, ocena zamawiającego</w:t>
            </w:r>
          </w:p>
        </w:tc>
      </w:tr>
      <w:tr>
        <w:tc>
          <w:tcPr/>
          <w:p>
            <w:pPr>
              <w:pStyle w:val="Compact"/>
              <w:jc w:val="left"/>
            </w:pPr>
            <w:r>
              <w:t xml:space="preserve">Treść klauzul przeglądowych w projekcie umowy</w:t>
            </w:r>
          </w:p>
        </w:tc>
        <w:tc>
          <w:tcPr/>
          <w:p>
            <w:pPr>
              <w:pStyle w:val="Compact"/>
              <w:jc w:val="left"/>
            </w:pPr>
            <w:r>
              <w:t xml:space="preserve">Przesądza o dopuszczalności zmian z art. 455 ust. 1 pkt 1</w:t>
            </w:r>
          </w:p>
        </w:tc>
        <w:tc>
          <w:tcPr/>
          <w:p>
            <w:pPr>
              <w:pStyle w:val="Compact"/>
              <w:jc w:val="left"/>
            </w:pPr>
            <w:r>
              <w:t xml:space="preserve">Wzór umowy, załączniki</w:t>
            </w:r>
          </w:p>
        </w:tc>
      </w:tr>
      <w:tr>
        <w:tc>
          <w:tcPr/>
          <w:p>
            <w:pPr>
              <w:pStyle w:val="Compact"/>
              <w:jc w:val="left"/>
            </w:pPr>
            <w:r>
              <w:t xml:space="preserve">Zakres i skutki incydentu u dostawcy chmury</w:t>
            </w:r>
          </w:p>
        </w:tc>
        <w:tc>
          <w:tcPr/>
          <w:p>
            <w:pPr>
              <w:pStyle w:val="Compact"/>
              <w:jc w:val="left"/>
            </w:pPr>
            <w:r>
              <w:t xml:space="preserve">Ocena przewidywalności i proporcjonalności nowych wymagań</w:t>
            </w:r>
          </w:p>
        </w:tc>
        <w:tc>
          <w:tcPr/>
          <w:p>
            <w:pPr>
              <w:pStyle w:val="Compact"/>
              <w:jc w:val="left"/>
            </w:pPr>
            <w:r>
              <w:t xml:space="preserve">Raport incydentu, komunikaty dostawcy, korespondencja</w:t>
            </w:r>
          </w:p>
        </w:tc>
      </w:tr>
      <w:tr>
        <w:tc>
          <w:tcPr/>
          <w:p>
            <w:pPr>
              <w:pStyle w:val="Compact"/>
              <w:jc w:val="left"/>
            </w:pPr>
            <w:r>
              <w:t xml:space="preserve">Czy zamawiający jest podmiotem kluczowym lub ważnym</w:t>
            </w:r>
          </w:p>
        </w:tc>
        <w:tc>
          <w:tcPr/>
          <w:p>
            <w:pPr>
              <w:pStyle w:val="Compact"/>
              <w:jc w:val="left"/>
            </w:pPr>
            <w:r>
              <w:t xml:space="preserve">Przesądza o istnieniu ustawowego obowiązku wobec łańcucha dostaw</w:t>
            </w:r>
          </w:p>
        </w:tc>
        <w:tc>
          <w:tcPr/>
          <w:p>
            <w:pPr>
              <w:pStyle w:val="Compact"/>
              <w:jc w:val="left"/>
            </w:pPr>
            <w:r>
              <w:t xml:space="preserve">Klasyfikacja podmiotu, dokumentacja zgłoszeniowa</w:t>
            </w:r>
          </w:p>
        </w:tc>
      </w:tr>
      <w:tr>
        <w:tc>
          <w:tcPr/>
          <w:p>
            <w:pPr>
              <w:pStyle w:val="Compact"/>
              <w:jc w:val="left"/>
            </w:pPr>
            <w:r>
              <w:t xml:space="preserve">Lokalizacja przetwarzania i podstawa przekazania danych</w:t>
            </w:r>
          </w:p>
        </w:tc>
        <w:tc>
          <w:tcPr/>
          <w:p>
            <w:pPr>
              <w:pStyle w:val="Compact"/>
              <w:jc w:val="left"/>
            </w:pPr>
            <w:r>
              <w:t xml:space="preserve">Ocena zgodności z reżimem ochrony danych</w:t>
            </w:r>
          </w:p>
        </w:tc>
        <w:tc>
          <w:tcPr/>
          <w:p>
            <w:pPr>
              <w:pStyle w:val="Compact"/>
              <w:jc w:val="left"/>
            </w:pPr>
            <w:r>
              <w:t xml:space="preserve">Umowa powierzenia, rejestr podprocesorów, analiza transferu</w:t>
            </w:r>
          </w:p>
        </w:tc>
      </w:tr>
      <w:tr>
        <w:tc>
          <w:tcPr/>
          <w:p>
            <w:pPr>
              <w:pStyle w:val="Compact"/>
              <w:jc w:val="left"/>
            </w:pPr>
            <w:r>
              <w:t xml:space="preserve">Stan podatności obecnego systemu</w:t>
            </w:r>
          </w:p>
        </w:tc>
        <w:tc>
          <w:tcPr/>
          <w:p>
            <w:pPr>
              <w:pStyle w:val="Compact"/>
              <w:jc w:val="left"/>
            </w:pPr>
            <w:r>
              <w:t xml:space="preserve">Ocena przesłanki z art. 578 ust. 2 pkt 1</w:t>
            </w:r>
          </w:p>
        </w:tc>
        <w:tc>
          <w:tcPr/>
          <w:p>
            <w:pPr>
              <w:pStyle w:val="Compact"/>
              <w:jc w:val="left"/>
            </w:pPr>
            <w:r>
              <w:t xml:space="preserve">Raport z testów bezpieczeństwa, plan doraźnych zabezpieczeń</w:t>
            </w:r>
          </w:p>
        </w:tc>
      </w:tr>
    </w:tbl>
    <w:bookmarkEnd w:id="30"/>
    <w:bookmarkStart w:id="31" w:name="proponowane-rozstrzygnięcie"/>
    <w:p>
      <w:pPr>
        <w:pStyle w:val="Heading2"/>
      </w:pPr>
      <w:r>
        <w:t xml:space="preserve">Proponowane rozstrzygnięcie</w:t>
      </w:r>
    </w:p>
    <w:p>
      <w:pPr>
        <w:pStyle w:val="FirstParagraph"/>
      </w:pPr>
      <w:r>
        <w:t xml:space="preserve">Uwzględnić odwołanie w części dotyczącej kryterium oceny ofert i nakazać unieważnienie czynności wyboru oferty najkorzystniejszej oraz powtórzenie badania i oceny ofert — z uwagi na naruszenie art. 240 ust. 1 i 2 przez pozostawienie sposobu oceny niewyjaśnionym.</w:t>
      </w:r>
    </w:p>
    <w:p>
      <w:pPr>
        <w:pStyle w:val="BodyText"/>
      </w:pPr>
      <w:r>
        <w:t xml:space="preserve">Nakazać zamawiającemu dokonanie oceny skuteczności zastrzeżenia tajemnicy przedsiębiorstwa i odtajnienie wyjaśnień w zakresie, w jakim wykonawca nie wykazał przesłanek z art. 11 ust. 2 ustawy o zwalczaniu nieuczciwej konkurencji.</w:t>
      </w:r>
    </w:p>
    <w:p>
      <w:pPr>
        <w:pStyle w:val="BodyText"/>
      </w:pPr>
      <w:r>
        <w:t xml:space="preserve">Nakazać zbadanie, czy podmiot udostępniający zasoby wykona usługi, do realizacji których wymagane jest doświadczenie objęte referencją (art. 118 ust. 2); w razie negatywnego ustalenia — wezwać do uzupełnienia albo wykluczyć.</w:t>
      </w:r>
    </w:p>
    <w:p>
      <w:pPr>
        <w:pStyle w:val="BodyText"/>
      </w:pPr>
      <w:r>
        <w:t xml:space="preserve">Oddalić wniosek zamawiającego z art. 578 ust. 1; zamiast tego rozpoznać odwołanie w możliwie najkrótszym terminie i wskazać, że doraźne zabezpieczenie obecnego systemu nie wymaga zawarcia umowy na platformę docelową.</w:t>
      </w:r>
    </w:p>
    <w:p>
      <w:pPr>
        <w:pStyle w:val="BodyText"/>
      </w:pPr>
      <w:r>
        <w:t xml:space="preserve">Nie rozstrzygać o dopuszczalności nowych wymagań bezpieczeństwa — kwestia ta stanie się aktualna dopiero na etapie umowy i podlega ocenie według art. 454–455.</w:t>
      </w:r>
    </w:p>
    <w:bookmarkEnd w:id="31"/>
    <w:bookmarkStart w:id="32" w:name="zweryfikowane-pozycje-źródłowe-pl-05"/>
    <w:p>
      <w:pPr>
        <w:pStyle w:val="Heading2"/>
      </w:pPr>
      <w:r>
        <w:t xml:space="preserve">Zweryfikowane pozycje źródłowe (PL-05)</w:t>
      </w:r>
    </w:p>
    <w:p>
      <w:pPr>
        <w:numPr>
          <w:ilvl w:val="0"/>
          <w:numId w:val="1001"/>
        </w:numPr>
        <w:pStyle w:val="Compact"/>
      </w:pPr>
      <w:r>
        <w:t xml:space="preserve">Ustawa z dnia 11 września 2019 r. — Prawo zamówień publicznych, Dz.U. 2019 poz. 2019 — sprawdzono art. 16 pkt 1–3, art. 18 ust. 1–4, art. 118 ust. 1–2, art. 239 ust. 1–2, art. 240 ust. 1–2, art. 241 ust. 1–3, art. 454 ust. 1–2, art. 455 ust. 1 pkt 1–2, art. 577, art. 578 ust. 1–2.</w:t>
      </w:r>
    </w:p>
    <w:p>
      <w:pPr>
        <w:numPr>
          <w:ilvl w:val="0"/>
          <w:numId w:val="1001"/>
        </w:numPr>
        <w:pStyle w:val="Compact"/>
      </w:pPr>
      <w:r>
        <w:t xml:space="preserve">Ustawa z dnia 16 kwietnia 1993 r. o zwalczaniu nieuczciwej konkurencji, Dz.U. 1993 nr 47 poz. 211 — sprawdzono art. 11 ust. 2.</w:t>
      </w:r>
    </w:p>
    <w:p>
      <w:pPr>
        <w:numPr>
          <w:ilvl w:val="0"/>
          <w:numId w:val="1001"/>
        </w:numPr>
        <w:pStyle w:val="Compact"/>
      </w:pPr>
      <w:r>
        <w:t xml:space="preserve">Ustawa z dnia 5 lipca 2018 r. o krajowym systemie cyberbezpieczeństwa, Dz.U. 2018 poz. 1560 — sprawdzono, że tekst ujednolicony posługuje się kategoriami podmiotu kluczowego i podmiotu ważnego oraz odsyła do załącznika nr 1 i do progów z rozporządzenia 651/2014/UE (art. 5 ust. 1). Szczegółowe obowiązki w zakresie łańcucha dostaw opisano bez przypisania jednostkom redakcyjnym.</w:t>
      </w:r>
    </w:p>
    <w:p>
      <w:pPr>
        <w:pStyle w:val="FirstParagraph"/>
      </w:pPr>
      <w:r>
        <w:t xml:space="preserve">Nie przypisano numerom przepisów: obowiązków wynikających z ogólnego rozporządzenia o ochronie danych w zakresie powierzenia, bezpieczeństwa przetwarzania i przekazywania do państw trzecich; linii orzeczniczej Izby dotyczącej wykazywania tajemnicy przedsiębiorstwa; zasad oceny proporcjonalności wymagań lokalizacyjnych w prawie unijnym. Wymagają samodzielnego potwierdzenia.</w:t>
      </w:r>
    </w:p>
    <w:bookmarkEnd w:id="32"/>
    <w:bookmarkEnd w:id="33"/>
    <w:bookmarkStart w:id="46" w:name="Xbbf03a33c818f6d316ce00251573649075e105d"/>
    <w:p>
      <w:pPr>
        <w:pStyle w:val="Heading1"/>
      </w:pPr>
      <w:r>
        <w:t xml:space="preserve">PL-06 Karuzela, faktoring i milczący zarząd</w:t>
      </w:r>
    </w:p>
    <w:bookmarkStart w:id="34" w:name="teza-wstępna-1"/>
    <w:p>
      <w:pPr>
        <w:pStyle w:val="Heading2"/>
      </w:pPr>
      <w:r>
        <w:t xml:space="preserve">Teza wstępna</w:t>
      </w:r>
    </w:p>
    <w:p>
      <w:pPr>
        <w:pStyle w:val="FirstParagraph"/>
      </w:pPr>
      <w:r>
        <w:t xml:space="preserve">Sprawa rozpada się na pięć postępowań o różnych standardach dowodowych i różnych adresatach, a najczęstszy błąd polega na przenoszeniu ustaleń między nimi. Ustalenie w decyzji wymiarowej, że spółka „powinna była wiedzieć”, nie przesądza umyślności w postępowaniu karnoskarbowym; przypisanie wiedzy spółce nie jest przypisaniem zamiaru prezesowi. Rekomendowana konkluzja: pozycja spółki w wymiarze podatkowym jest słaba, pozycja prezesa w wymiarze karnoskarbowym jest zła, pozycja dyrektora finansowego jest obronna, a spór z faktorem rozstrzyga się poza tymi reżimami, na gruncie umowy.</w:t>
      </w:r>
    </w:p>
    <w:bookmarkEnd w:id="34"/>
    <w:bookmarkStart w:id="35" w:name="mapa-jurysdykcji-źródeł-i-kompetencji-1"/>
    <w:p>
      <w:pPr>
        <w:pStyle w:val="Heading2"/>
      </w:pPr>
      <w:r>
        <w:t xml:space="preserve">Mapa jurysdykcji, źródeł i kompetencji</w:t>
      </w:r>
    </w:p>
    <w:p>
      <w:pPr>
        <w:pStyle w:val="FirstParagraph"/>
      </w:pPr>
      <w:r>
        <w:t xml:space="preserve">Pięć wymiarów i pięć standardów.</w:t>
      </w:r>
    </w:p>
    <w:p>
      <w:pPr>
        <w:numPr>
          <w:ilvl w:val="0"/>
          <w:numId w:val="1002"/>
        </w:numPr>
        <w:pStyle w:val="Compact"/>
      </w:pPr>
      <w:r>
        <w:t xml:space="preserve">Podatkowy. Organy Krajowej Administracji Skarbowej; standard oparty na ocenie dowodów w postępowaniu podatkowym; kryterium materialne — czy podatnik wiedział lub przy zachowaniu należytej staranności powinien był wiedzieć, że uczestniczy w transakcji stanowiącej nadużycie. Zabezpieczenie zobowiązania przed terminem płatności następuje na podstawie art. 33 § 1 Ordynacji podatkowej, przy uzasadnionej obawie niewykonania zobowiązania.</w:t>
      </w:r>
    </w:p>
    <w:p>
      <w:pPr>
        <w:numPr>
          <w:ilvl w:val="0"/>
          <w:numId w:val="1002"/>
        </w:numPr>
        <w:pStyle w:val="Compact"/>
      </w:pPr>
      <w:r>
        <w:t xml:space="preserve">Karnoskarbowy. Standard najwyższy; wymagana umyślność. Podmiot odpowiedzialności wyznacza art. 9 § 3 Kodeksu karnego skarbowego.</w:t>
      </w:r>
    </w:p>
    <w:p>
      <w:pPr>
        <w:numPr>
          <w:ilvl w:val="0"/>
          <w:numId w:val="1002"/>
        </w:numPr>
        <w:pStyle w:val="Compact"/>
      </w:pPr>
      <w:r>
        <w:t xml:space="preserve">Przeciwdziałania praniu pieniędzy. Adresatami obowiązków są bank i faktor jako instytucje obowiązane, nie spółka. Spółka jest tu przedmiotem, nie podmiotem obowiązków.</w:t>
      </w:r>
    </w:p>
    <w:p>
      <w:pPr>
        <w:numPr>
          <w:ilvl w:val="0"/>
          <w:numId w:val="1002"/>
        </w:numPr>
        <w:pStyle w:val="Compact"/>
      </w:pPr>
      <w:r>
        <w:t xml:space="preserve">Korporacyjny. Odpowiedzialność członków zarządu wobec spółki; art. 483 Kodeksu spółek handlowych.</w:t>
      </w:r>
    </w:p>
    <w:p>
      <w:pPr>
        <w:numPr>
          <w:ilvl w:val="0"/>
          <w:numId w:val="1002"/>
        </w:numPr>
        <w:pStyle w:val="Compact"/>
      </w:pPr>
      <w:r>
        <w:t xml:space="preserve">Kontraktowy. Faktoring — wypowiedzenie i żądanie wykupu wierzytelności oceniane wyłącznie według umowy i przepisów ogólnych.</w:t>
      </w:r>
    </w:p>
    <w:p>
      <w:pPr>
        <w:pStyle w:val="FirstParagraph"/>
      </w:pPr>
      <w:r>
        <w:t xml:space="preserve">Zasada porządkująca: żaden z tych reżimów nie tworzy prejudykatu dla pozostałych. Postępowanie karnoskarbowe może zostać zawieszone do czasu rozstrzygnięcia sprawy podatkowej, ale rozstrzygnięcie podatkowe nie zastępuje ustalenia znamion.</w:t>
      </w:r>
    </w:p>
    <w:bookmarkEnd w:id="35"/>
    <w:bookmarkStart w:id="41" w:name="analiza-materialna-według-zagadnień-1"/>
    <w:p>
      <w:pPr>
        <w:pStyle w:val="Heading2"/>
      </w:pPr>
      <w:r>
        <w:t xml:space="preserve">Analiza materialna według zagadnień</w:t>
      </w:r>
    </w:p>
    <w:bookmarkStart w:id="36" w:name="X92480e3f22a586ac2cbf820ac825bb80f481a7f"/>
    <w:p>
      <w:pPr>
        <w:pStyle w:val="Heading3"/>
      </w:pPr>
      <w:r>
        <w:t xml:space="preserve">Zagadnienie 1: prawo do odliczenia i należyta staranność</w:t>
      </w:r>
    </w:p>
    <w:p>
      <w:pPr>
        <w:pStyle w:val="FirstParagraph"/>
      </w:pPr>
      <w:r>
        <w:t xml:space="preserve">Podstawa odliczenia to art. 86 ust. 1 ustawy o podatku od towarów i usług — w zakresie, w jakim towary są wykorzystywane do czynności opodatkowanych. Wyłączenie odliczenia następuje między innymi na podstawie art. 88 ust. 3a, obejmującego faktury wystawione przez podmiot nieistniejący oraz faktury stwierdzające czynności, które nie zostały dokonane.</w:t>
      </w:r>
    </w:p>
    <w:p>
      <w:pPr>
        <w:pStyle w:val="BodyText"/>
      </w:pPr>
      <w:r>
        <w:t xml:space="preserve">Rozstrzygające jest jednak kryterium wypracowane w orzecznictwie Trybunału Sprawiedliwości i przyjęte w praktyce krajowej: podatnik traci prawo do odliczenia, jeżeli wiedział lub powinien był wiedzieć, że transakcja wiąże się z oszustwem popełnionym przez inny podmiot w łańcuchu. Standard nie jest standardem gwarancyjnym — organ nie może wymagać weryfikacji nieproporcjonalnej — ale też nie jest formalny.</w:t>
      </w:r>
    </w:p>
    <w:p>
      <w:pPr>
        <w:pStyle w:val="BodyText"/>
      </w:pPr>
      <w:r>
        <w:t xml:space="preserve">Czerwone flagi w kazusie tworzą obraz, którego trudno bronić: nowi dostawcy przy gwałtownym wzroście obrotu, brak magazynu dostawcy, powtarzające się numery dokumentów transportowych, częste zmiany rachunków bankowych, płatności przez pośrednika finansowego. Każda z tych okoliczności z osobna bywa neutralna; ich kumulacja neutralna nie jest.</w:t>
      </w:r>
    </w:p>
    <w:p>
      <w:pPr>
        <w:pStyle w:val="BodyText"/>
      </w:pPr>
      <w:r>
        <w:t xml:space="preserve">Decydujące jest jednak co innego. Dyrektor finansowy zgłosił dwie z tych okoliczności, prezes zlecił „krótki przegląd”, a spółka kontynuowała handel. Powstaje w ten sposób dowód wewnętrzny, że spółka miała wiedzę o sygnałach i podjęła decyzję o ich zignorowaniu. To najsilniejszy materiał organu i jednocześnie najtrudniejszy do neutralizacji: nie da się twierdzić, że sygnały były niedostrzegalne, skoro zostały dostrzeżone i zapisane.</w:t>
      </w:r>
    </w:p>
    <w:p>
      <w:pPr>
        <w:pStyle w:val="BodyText"/>
      </w:pPr>
      <w:r>
        <w:t xml:space="preserve">Linia obrony spółki musi zatem przebiegać nie przez zaprzeczenie wiedzy o sygnałach, lecz przez wykazanie, że przegląd był rzetelny w zakresie dostępnym spółce i że jego negatywny wynik nie był oczywisty. Wymaga to przedstawienia zakresu przeglądu, zastosowanych narzędzi weryfikacji kontrahenta i podjętych środków zaradczych. Jeżeli przegląd sprowadzał się do potwierdzenia rejestracji kontrahentów, obrona upada.</w:t>
      </w:r>
    </w:p>
    <w:p>
      <w:pPr>
        <w:pStyle w:val="BodyText"/>
      </w:pPr>
      <w:r>
        <w:t xml:space="preserve">Odrębnie: art. 108 ust. 1 ustawy o podatku od towarów i usług nakłada obowiązek zapłaty podatku wykazanego na fakturze przez każdego, kto ją wystawił. Przy kwestionowaniu dostaw dokonanych przez spółkę ryzyko dotyczy nie tylko odmowy odliczenia, ale i obowiązku zapłaty z faktur wystawionych.</w:t>
      </w:r>
    </w:p>
    <w:bookmarkEnd w:id="36"/>
    <w:bookmarkStart w:id="37" w:name="zagadnienie-2-przypisanie-indywidualne"/>
    <w:p>
      <w:pPr>
        <w:pStyle w:val="Heading3"/>
      </w:pPr>
      <w:r>
        <w:t xml:space="preserve">Zagadnienie 2: przypisanie indywidualne</w:t>
      </w:r>
    </w:p>
    <w:p>
      <w:pPr>
        <w:pStyle w:val="FirstParagraph"/>
      </w:pPr>
      <w:r>
        <w:t xml:space="preserve">Art. 9 § 3 Kodeksu karnego skarbowego rozszerza odpowiedzialność jak sprawcy na tego, kto na podstawie przepisu prawa, decyzji organu, umowy lub faktycznego wykonywania zajmuje się sprawami gospodarczymi, w szczególności finansowymi, osoby prawnej. Przepis obejmuje więc zarówno prezesa, jak i dyrektora finansowego — samo zajmowanie stanowiska nie różnicuje odpowiedzialności.</w:t>
      </w:r>
    </w:p>
    <w:p>
      <w:pPr>
        <w:pStyle w:val="BodyText"/>
      </w:pPr>
      <w:r>
        <w:t xml:space="preserve">Różnicuje ją strona podmiotowa. Czyn z art. 56 § 1 Kodeksu karnego skarbowego — podanie nieprawdy w deklaracji narażające podatek na uszczuplenie — jest przestępstwem umyślnym. Czyn z art. 62 § 2 — wystawienie faktury w sposób nierzetelny albo posługiwanie się takim dokumentem — również wymaga umyślności, a jego zagrożenie jest surowe.</w:t>
      </w:r>
    </w:p>
    <w:p>
      <w:pPr>
        <w:pStyle w:val="BodyText"/>
      </w:pPr>
      <w:r>
        <w:t xml:space="preserve">Rozkład jest wobec tego następujący. Prezes: otrzymał sygnał, zlecił przegląd o ograniczonym zakresie i podjął decyzję o kontynuowaniu handlu — konstrukcja zamiaru ewentualnego jest realna, bo przewidywał możliwość nierzetelności i się na nią godził. Dyrektor finansowy: zgłosił nieprawidłowości, co jest okolicznością przemawiającą przeciw umyślności; jego rozważana współpraca z organami ma sens procesowy właśnie dlatego, że jego pozycja dowodowa jest lepsza. Członkowie zarządu, którzy o sygnałach nie wiedzieli, wymagają odrębnej oceny — brak wiedzy wyklucza umyślność, a nieumyślność w tych typach nie jest karalna.</w:t>
      </w:r>
    </w:p>
    <w:p>
      <w:pPr>
        <w:pStyle w:val="BodyText"/>
      </w:pPr>
      <w:r>
        <w:t xml:space="preserve">Możliwy jest zbieg z przepisami Kodeksu karnego dotyczącymi fałszu faktur; reguły zbiegu przewiduje Kodeks karny skarbowy i wymagają one odrębnego przeprowadzenia — sygnalizuję je bez rozstrzygania, ponieważ kwalifikacja karnomaterialna wykracza poza zakres tej wersji arkusza.</w:t>
      </w:r>
    </w:p>
    <w:bookmarkEnd w:id="37"/>
    <w:bookmarkStart w:id="38" w:name="X5221b060783493b776c5e8564f17bb9e6e30205"/>
    <w:p>
      <w:pPr>
        <w:pStyle w:val="Heading3"/>
      </w:pPr>
      <w:r>
        <w:t xml:space="preserve">Zagadnienie 3: bank, faktor i tajemnica analizy</w:t>
      </w:r>
    </w:p>
    <w:p>
      <w:pPr>
        <w:pStyle w:val="FirstParagraph"/>
      </w:pPr>
      <w:r>
        <w:t xml:space="preserve">Bank i faktor są instytucjami obowiązanymi. Art. 33 ust. 1–3 ustawy o przeciwdziałaniu praniu pieniędzy oraz finansowaniu terroryzmu nakazuje stosowanie środków bezpieczeństwa finansowego oraz rozpoznawanie, ocenianie i dokumentowanie ryzyka. Art. 43 ust. 1 nakazuje stosowanie środków wzmożonych w przypadkach wyższego ryzyka, a ust. 2 wylicza okoliczności o tym świadczące. Art. 74 ust. 1–2 nakazuje zawiadomienie Generalnego Inspektora Informacji Finansowej niezwłocznie, nie później niż w terminie dwóch dni roboczych od potwierdzenia podejrzenia.</w:t>
      </w:r>
    </w:p>
    <w:p>
      <w:pPr>
        <w:pStyle w:val="BodyText"/>
      </w:pPr>
      <w:r>
        <w:t xml:space="preserve">Zamknięcie alertów po wyjaśnieniu udzielonym przez faktora, a więc przez podmiot uczestniczący w tym samym łańcuchu płatności, jest posunięciem wątpliwym: wyjaśnienie pochodzi od strony zainteresowanej. Ocena, czy bank dochował art. 43, zależy od tego, jakie środki wzmożone zastosował poza przyjęciem wyjaśnienia. Późniejsze złożenie zawiadomienia dopiero po kontroli jest okolicznością wskazującą, że potwierdzenie podejrzenia nastąpiło z opóźnieniem.</w:t>
      </w:r>
    </w:p>
    <w:p>
      <w:pPr>
        <w:pStyle w:val="BodyText"/>
      </w:pPr>
      <w:r>
        <w:t xml:space="preserve">Spółka nie uzyska dostępu do analizy AML. Art. 54 ust. 1 nakazuje instytucjom obowiązanym zachowanie w tajemnicy faktu przekazania informacji Generalnemu Inspektorowi oraz informacji o planowaniu i prowadzeniu analizy. Żądanie ujawnienia tych materiałów w procesie cywilnym z faktorem jest bezprzedmiotowe; próbę taką należy zastąpić wnioskiem o dokumenty wytworzone w relacji umownej.</w:t>
      </w:r>
    </w:p>
    <w:p>
      <w:pPr>
        <w:pStyle w:val="BodyText"/>
      </w:pPr>
      <w:r>
        <w:t xml:space="preserve">Faktor: wypowiedzenie umowy i żądanie wykupu wierzytelności oceniane są według treści umowy — typowo faktoring z regresem przewiduje takie uprawnienie przy zakwestionowaniu wierzytelności. Zarzut spółki, że faktor sam uczestniczył w schemacie i sam udzielał bankowi wyjaśnień, może uzasadniać zarzut przyczynienia lub nadużycia prawa, ale nie unicestwia roszczenia o wykup.</w:t>
      </w:r>
    </w:p>
    <w:bookmarkEnd w:id="38"/>
    <w:bookmarkStart w:id="39" w:name="Xd7598e1b855fd5fd03ec1b76de902a98f95dd32"/>
    <w:p>
      <w:pPr>
        <w:pStyle w:val="Heading3"/>
      </w:pPr>
      <w:r>
        <w:t xml:space="preserve">Zagadnienie 4: tajemnica zawodowa i dowody cyfrowe</w:t>
      </w:r>
    </w:p>
    <w:p>
      <w:pPr>
        <w:pStyle w:val="FirstParagraph"/>
      </w:pPr>
      <w:r>
        <w:t xml:space="preserve">Zabezpieczenie poczty obejmujące korespondencję z prawnikami wymaga rozróżnienia. Art. 225 § 1 Kodeksu postępowania karnego ustanawia tryb ochronny: przy oświadczeniu, że dokument zawiera wiadomości objęte tajemnicą zawodową, organ przekazuje go bez odczytania prokuratorowi lub sądowi w opieczętowanym opakowaniu. Ochrona bezwzględna dotyczy jednak wyłącznie pism obrończych; korespondencja z prawnikiem niebędącym obrońcą podlega reżimowi zwolnienia z tajemnicy zawodowej przez sąd. Praktyczny wniosek dla spółki: zorganizowanie obsługi prawnej tak, aby materiał wrażliwy powstawał w relacji obrończej, jest środkiem legalnym i skutecznym — ale działa tylko na przyszłość.</w:t>
      </w:r>
    </w:p>
    <w:p>
      <w:pPr>
        <w:pStyle w:val="BodyText"/>
      </w:pPr>
      <w:r>
        <w:t xml:space="preserve">Automatyczne usuwanie wiadomości w sytuacji, gdy postępowanie było przewidywalne, obraca się przeciw spółce. W postępowaniu podatkowym brak dokumentów obciąża podatnika, na którym spoczywa ciężar wykazania prawa do odliczenia. W ewentualnym procesie cywilnym zastosowanie znajdzie art. 233 § 2 Kodeksu postępowania cywilnego, pozwalający ocenić znaczenie przeszkód stawianych w przeprowadzeniu dowodu. Natychmiastowe wstrzymanie automatycznej retencji jest czynnością pilną o najwyższym priorytecie.</w:t>
      </w:r>
    </w:p>
    <w:bookmarkEnd w:id="39"/>
    <w:bookmarkStart w:id="40" w:name="Xd445d96f5de6ca7b521cf799d4b531cd1b86dd5"/>
    <w:p>
      <w:pPr>
        <w:pStyle w:val="Heading3"/>
      </w:pPr>
      <w:r>
        <w:t xml:space="preserve">Zagadnienie 5: płynność, zarząd i akcjonariusze</w:t>
      </w:r>
    </w:p>
    <w:p>
      <w:pPr>
        <w:pStyle w:val="FirstParagraph"/>
      </w:pPr>
      <w:r>
        <w:t xml:space="preserve">Zabezpieczenie rachunków na podstawie art. 33 Ordynacji podatkowej uderza bezpośrednio w płynność. Reakcja powinna być dwutorowa: zaskarżenie decyzji o zabezpieczeniu z argumentacją co do braku uzasadnionej obawy oraz — równolegle — ocena, czy nie powstał już stan niewypłacalności rodzący obowiązki po stronie zarządu. Zwlekanie z tą oceną przenosi ryzyko na członków zarządu osobiście.</w:t>
      </w:r>
    </w:p>
    <w:p>
      <w:pPr>
        <w:pStyle w:val="BodyText"/>
      </w:pPr>
      <w:r>
        <w:t xml:space="preserve">Wobec spółki: art. 483 § 1 Kodeksu spółek handlowych ustanawia odpowiedzialność członka zarządu za szkodę wyrządzoną działaniem lub zaniechaniem sprzecznym z prawem lub statutem, chyba że nie ponosi winy. Art. 483 § 3 wprowadza ochronę: nie narusza obowiązku staranności ten, kto postępując lojalnie działa w granicach uzasadnionego ryzyka gospodarczego, w tym na podstawie informacji, analiz i opinii, które powinny być w danych okolicznościach uwzględnione przy dokonywaniu starannej oceny.</w:t>
      </w:r>
    </w:p>
    <w:p>
      <w:pPr>
        <w:pStyle w:val="BodyText"/>
      </w:pPr>
      <w:r>
        <w:t xml:space="preserve">Klauzula ta jest dla prezesa jednocześnie tarczą i pułapką. Powołanie się na nią wymaga wykazania, że zlecony przegląd był analizą, którą „powinno się było uwzględnić przy starannej ocenie” — a więc adekwatną do skali sygnałów. Przegląd krótki, przeprowadzony po zgłoszeniu poważnych nieprawidłowości i zakończony decyzją o kontynuowaniu handlu, prawdopodobnie tego progu nie osiąga. Zarzut akcjonariuszy o braku systemu compliance zyskuje wtedy podstawę: nie chodzi o brak procedury jako taki, lecz o to, że sygnał został przetworzony w sposób nieadekwatny.</w:t>
      </w:r>
    </w:p>
    <w:bookmarkEnd w:id="40"/>
    <w:bookmarkEnd w:id="41"/>
    <w:bookmarkStart w:id="42" w:name="macierz-argumentów-1"/>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organów i przeciwników</w:t>
            </w:r>
          </w:p>
        </w:tc>
        <w:tc>
          <w:tcPr/>
          <w:p>
            <w:pPr>
              <w:pStyle w:val="Compact"/>
              <w:jc w:val="left"/>
            </w:pPr>
            <w:r>
              <w:t xml:space="preserve">Odpowiedź spółki i zarządu</w:t>
            </w:r>
          </w:p>
        </w:tc>
      </w:tr>
      <w:tr>
        <w:tc>
          <w:tcPr/>
          <w:p>
            <w:pPr>
              <w:pStyle w:val="Compact"/>
              <w:jc w:val="left"/>
            </w:pPr>
            <w:r>
              <w:t xml:space="preserve">Odliczenie</w:t>
            </w:r>
          </w:p>
        </w:tc>
        <w:tc>
          <w:tcPr/>
          <w:p>
            <w:pPr>
              <w:pStyle w:val="Compact"/>
              <w:jc w:val="left"/>
            </w:pPr>
            <w:r>
              <w:t xml:space="preserve">Kumulacja czerwonych flag; spółka wiedziała lub powinna była wiedzieć</w:t>
            </w:r>
          </w:p>
        </w:tc>
        <w:tc>
          <w:tcPr/>
          <w:p>
            <w:pPr>
              <w:pStyle w:val="Compact"/>
              <w:jc w:val="left"/>
            </w:pPr>
            <w:r>
              <w:t xml:space="preserve">Transakcje faktycznie zrealizowano; weryfikacja kontrahentów odpowiadała standardowi rynkowemu</w:t>
            </w:r>
          </w:p>
        </w:tc>
      </w:tr>
      <w:tr>
        <w:tc>
          <w:tcPr/>
          <w:p>
            <w:pPr>
              <w:pStyle w:val="Compact"/>
              <w:jc w:val="left"/>
            </w:pPr>
            <w:r>
              <w:t xml:space="preserve">Zgłoszenie dyrektora finansowego</w:t>
            </w:r>
          </w:p>
        </w:tc>
        <w:tc>
          <w:tcPr/>
          <w:p>
            <w:pPr>
              <w:pStyle w:val="Compact"/>
              <w:jc w:val="left"/>
            </w:pPr>
            <w:r>
              <w:t xml:space="preserve">Dowód wewnętrzny na wiedzę spółki o sygnałach</w:t>
            </w:r>
          </w:p>
        </w:tc>
        <w:tc>
          <w:tcPr/>
          <w:p>
            <w:pPr>
              <w:pStyle w:val="Compact"/>
              <w:jc w:val="left"/>
            </w:pPr>
            <w:r>
              <w:t xml:space="preserve">Zgłoszenie dowodzi działania systemu kontroli, nie wiedzy o oszustwie</w:t>
            </w:r>
          </w:p>
        </w:tc>
      </w:tr>
      <w:tr>
        <w:tc>
          <w:tcPr/>
          <w:p>
            <w:pPr>
              <w:pStyle w:val="Compact"/>
              <w:jc w:val="left"/>
            </w:pPr>
            <w:r>
              <w:t xml:space="preserve">Umyślność prezesa</w:t>
            </w:r>
          </w:p>
        </w:tc>
        <w:tc>
          <w:tcPr/>
          <w:p>
            <w:pPr>
              <w:pStyle w:val="Compact"/>
              <w:jc w:val="left"/>
            </w:pPr>
            <w:r>
              <w:t xml:space="preserve">Zlecił przegląd, poznał wynik i kontynuował handel — zamiar ewentualny</w:t>
            </w:r>
          </w:p>
        </w:tc>
        <w:tc>
          <w:tcPr/>
          <w:p>
            <w:pPr>
              <w:pStyle w:val="Compact"/>
              <w:jc w:val="left"/>
            </w:pPr>
            <w:r>
              <w:t xml:space="preserve">Przegląd nie wykazał nieprawidłowości; kontynuacja była decyzją gospodarczą, nie godzeniem się na czyn</w:t>
            </w:r>
          </w:p>
        </w:tc>
      </w:tr>
      <w:tr>
        <w:tc>
          <w:tcPr/>
          <w:p>
            <w:pPr>
              <w:pStyle w:val="Compact"/>
              <w:jc w:val="left"/>
            </w:pPr>
            <w:r>
              <w:t xml:space="preserve">Rola faktora</w:t>
            </w:r>
          </w:p>
        </w:tc>
        <w:tc>
          <w:tcPr/>
          <w:p>
            <w:pPr>
              <w:pStyle w:val="Compact"/>
              <w:jc w:val="left"/>
            </w:pPr>
            <w:r>
              <w:t xml:space="preserve">Płatności przez pośrednika maskowały przepływy</w:t>
            </w:r>
          </w:p>
        </w:tc>
        <w:tc>
          <w:tcPr/>
          <w:p>
            <w:pPr>
              <w:pStyle w:val="Compact"/>
              <w:jc w:val="left"/>
            </w:pPr>
            <w:r>
              <w:t xml:space="preserve">Faktoring jest standardowym instrumentem finansowania obrotu</w:t>
            </w:r>
          </w:p>
        </w:tc>
      </w:tr>
      <w:tr>
        <w:tc>
          <w:tcPr/>
          <w:p>
            <w:pPr>
              <w:pStyle w:val="Compact"/>
              <w:jc w:val="left"/>
            </w:pPr>
            <w:r>
              <w:t xml:space="preserve">Działania banku</w:t>
            </w:r>
          </w:p>
        </w:tc>
        <w:tc>
          <w:tcPr/>
          <w:p>
            <w:pPr>
              <w:pStyle w:val="Compact"/>
              <w:jc w:val="left"/>
            </w:pPr>
            <w:r>
              <w:t xml:space="preserve">Zamknięcie alertów na podstawie wyjaśnienia strony zainteresowanej narusza art. 43 ustawy AML</w:t>
            </w:r>
          </w:p>
        </w:tc>
        <w:tc>
          <w:tcPr/>
          <w:p>
            <w:pPr>
              <w:pStyle w:val="Compact"/>
              <w:jc w:val="left"/>
            </w:pPr>
            <w:r>
              <w:t xml:space="preserve">Ocena ryzyka mieściła się w granicach uznania instytucji obowiązanej</w:t>
            </w:r>
          </w:p>
        </w:tc>
      </w:tr>
      <w:tr>
        <w:tc>
          <w:tcPr/>
          <w:p>
            <w:pPr>
              <w:pStyle w:val="Compact"/>
              <w:jc w:val="left"/>
            </w:pPr>
            <w:r>
              <w:t xml:space="preserve">Dostęp do analizy AML</w:t>
            </w:r>
          </w:p>
        </w:tc>
        <w:tc>
          <w:tcPr/>
          <w:p>
            <w:pPr>
              <w:pStyle w:val="Compact"/>
              <w:jc w:val="left"/>
            </w:pPr>
            <w:r>
              <w:t xml:space="preserve">Art. 54 ust. 1 wyłącza ujawnienie</w:t>
            </w:r>
          </w:p>
        </w:tc>
        <w:tc>
          <w:tcPr/>
          <w:p>
            <w:pPr>
              <w:pStyle w:val="Compact"/>
              <w:jc w:val="left"/>
            </w:pPr>
            <w:r>
              <w:t xml:space="preserve">Bez dostępu spółka nie może bronić się przed zarzutem świadomości</w:t>
            </w:r>
          </w:p>
        </w:tc>
      </w:tr>
      <w:tr>
        <w:tc>
          <w:tcPr/>
          <w:p>
            <w:pPr>
              <w:pStyle w:val="Compact"/>
              <w:jc w:val="left"/>
            </w:pPr>
            <w:r>
              <w:t xml:space="preserve">Usunięte wiadomości</w:t>
            </w:r>
          </w:p>
        </w:tc>
        <w:tc>
          <w:tcPr/>
          <w:p>
            <w:pPr>
              <w:pStyle w:val="Compact"/>
              <w:jc w:val="left"/>
            </w:pPr>
            <w:r>
              <w:t xml:space="preserve">Utrata dowodów przy przewidywalnym sporze obciąża spółkę</w:t>
            </w:r>
          </w:p>
        </w:tc>
        <w:tc>
          <w:tcPr/>
          <w:p>
            <w:pPr>
              <w:pStyle w:val="Compact"/>
              <w:jc w:val="left"/>
            </w:pPr>
            <w:r>
              <w:t xml:space="preserve">Retencja wynikała z polityki wdrożonej przed sporem i stosowanej jednolicie</w:t>
            </w:r>
          </w:p>
        </w:tc>
      </w:tr>
      <w:tr>
        <w:tc>
          <w:tcPr/>
          <w:p>
            <w:pPr>
              <w:pStyle w:val="Compact"/>
              <w:jc w:val="left"/>
            </w:pPr>
            <w:r>
              <w:t xml:space="preserve">Odpowiedzialność zarządu</w:t>
            </w:r>
          </w:p>
        </w:tc>
        <w:tc>
          <w:tcPr/>
          <w:p>
            <w:pPr>
              <w:pStyle w:val="Compact"/>
              <w:jc w:val="left"/>
            </w:pPr>
            <w:r>
              <w:t xml:space="preserve">Nieadekwatna reakcja na sygnał; brak systemu compliance</w:t>
            </w:r>
          </w:p>
        </w:tc>
        <w:tc>
          <w:tcPr/>
          <w:p>
            <w:pPr>
              <w:pStyle w:val="Compact"/>
              <w:jc w:val="left"/>
            </w:pPr>
            <w:r>
              <w:t xml:space="preserve">Art. 483 § 3 k.s.h. — działanie w granicach uzasadnionego ryzyka na podstawie zleconej analizy</w:t>
            </w:r>
          </w:p>
        </w:tc>
      </w:tr>
    </w:tbl>
    <w:bookmarkEnd w:id="42"/>
    <w:bookmarkStart w:id="43" w:name="X8bc04c07aebed062da02ad98c612cd839788097"/>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Zakres i wynik przeglądu zleconego przez prezesa</w:t>
            </w:r>
          </w:p>
        </w:tc>
        <w:tc>
          <w:tcPr/>
          <w:p>
            <w:pPr>
              <w:pStyle w:val="Compact"/>
              <w:jc w:val="left"/>
            </w:pPr>
            <w:r>
              <w:t xml:space="preserve">Rdzeń oceny należytej staranności i art. 483 § 3 k.s.h.</w:t>
            </w:r>
          </w:p>
        </w:tc>
        <w:tc>
          <w:tcPr/>
          <w:p>
            <w:pPr>
              <w:pStyle w:val="Compact"/>
              <w:jc w:val="left"/>
            </w:pPr>
            <w:r>
              <w:t xml:space="preserve">Zlecenie, raport, korespondencja, faktura za usługę</w:t>
            </w:r>
          </w:p>
        </w:tc>
      </w:tr>
      <w:tr>
        <w:tc>
          <w:tcPr/>
          <w:p>
            <w:pPr>
              <w:pStyle w:val="Compact"/>
              <w:jc w:val="left"/>
            </w:pPr>
            <w:r>
              <w:t xml:space="preserve">Treść zgłoszenia dyrektora finansowego i reakcja na nie</w:t>
            </w:r>
          </w:p>
        </w:tc>
        <w:tc>
          <w:tcPr/>
          <w:p>
            <w:pPr>
              <w:pStyle w:val="Compact"/>
              <w:jc w:val="left"/>
            </w:pPr>
            <w:r>
              <w:t xml:space="preserve">Ustala moment powzięcia wiedzy przez organ spółki</w:t>
            </w:r>
          </w:p>
        </w:tc>
        <w:tc>
          <w:tcPr/>
          <w:p>
            <w:pPr>
              <w:pStyle w:val="Compact"/>
              <w:jc w:val="left"/>
            </w:pPr>
            <w:r>
              <w:t xml:space="preserve">Wiadomość, protokół posiedzenia zarządu, notatki</w:t>
            </w:r>
          </w:p>
        </w:tc>
      </w:tr>
      <w:tr>
        <w:tc>
          <w:tcPr/>
          <w:p>
            <w:pPr>
              <w:pStyle w:val="Compact"/>
              <w:jc w:val="left"/>
            </w:pPr>
            <w:r>
              <w:t xml:space="preserve">Czy towar fizycznie istniał i został przemieszczony</w:t>
            </w:r>
          </w:p>
        </w:tc>
        <w:tc>
          <w:tcPr/>
          <w:p>
            <w:pPr>
              <w:pStyle w:val="Compact"/>
              <w:jc w:val="left"/>
            </w:pPr>
            <w:r>
              <w:t xml:space="preserve">Odróżnia transakcje pozorne od rzeczywistych z wadliwym łańcuchem</w:t>
            </w:r>
          </w:p>
        </w:tc>
        <w:tc>
          <w:tcPr/>
          <w:p>
            <w:pPr>
              <w:pStyle w:val="Compact"/>
              <w:jc w:val="left"/>
            </w:pPr>
            <w:r>
              <w:t xml:space="preserve">Dokumenty transportowe, ewidencje magazynowe, dane telematyczne</w:t>
            </w:r>
          </w:p>
        </w:tc>
      </w:tr>
      <w:tr>
        <w:tc>
          <w:tcPr/>
          <w:p>
            <w:pPr>
              <w:pStyle w:val="Compact"/>
              <w:jc w:val="left"/>
            </w:pPr>
            <w:r>
              <w:t xml:space="preserve">Data potwierdzenia podejrzenia przez bank</w:t>
            </w:r>
          </w:p>
        </w:tc>
        <w:tc>
          <w:tcPr/>
          <w:p>
            <w:pPr>
              <w:pStyle w:val="Compact"/>
              <w:jc w:val="left"/>
            </w:pPr>
            <w:r>
              <w:t xml:space="preserve">Bieg terminu z art. 74 ust. 2 ustawy AML</w:t>
            </w:r>
          </w:p>
        </w:tc>
        <w:tc>
          <w:tcPr/>
          <w:p>
            <w:pPr>
              <w:pStyle w:val="Compact"/>
              <w:jc w:val="left"/>
            </w:pPr>
            <w:r>
              <w:t xml:space="preserve">Rejestr alertów, dokumentacja analizy, korespondencja wewnętrzna</w:t>
            </w:r>
          </w:p>
        </w:tc>
      </w:tr>
      <w:tr>
        <w:tc>
          <w:tcPr/>
          <w:p>
            <w:pPr>
              <w:pStyle w:val="Compact"/>
              <w:jc w:val="left"/>
            </w:pPr>
            <w:r>
              <w:t xml:space="preserve">Zastosowane przez bank środki wzmożone</w:t>
            </w:r>
          </w:p>
        </w:tc>
        <w:tc>
          <w:tcPr/>
          <w:p>
            <w:pPr>
              <w:pStyle w:val="Compact"/>
              <w:jc w:val="left"/>
            </w:pPr>
            <w:r>
              <w:t xml:space="preserve">Ocena dochowania art. 43 ust. 1 ustawy AML</w:t>
            </w:r>
          </w:p>
        </w:tc>
        <w:tc>
          <w:tcPr/>
          <w:p>
            <w:pPr>
              <w:pStyle w:val="Compact"/>
              <w:jc w:val="left"/>
            </w:pPr>
            <w:r>
              <w:t xml:space="preserve">Dokumentacja środków bezpieczeństwa finansowego</w:t>
            </w:r>
          </w:p>
        </w:tc>
      </w:tr>
      <w:tr>
        <w:tc>
          <w:tcPr/>
          <w:p>
            <w:pPr>
              <w:pStyle w:val="Compact"/>
              <w:jc w:val="left"/>
            </w:pPr>
            <w:r>
              <w:t xml:space="preserve">Treść umowy faktoringowej w zakresie regresu</w:t>
            </w:r>
          </w:p>
        </w:tc>
        <w:tc>
          <w:tcPr/>
          <w:p>
            <w:pPr>
              <w:pStyle w:val="Compact"/>
              <w:jc w:val="left"/>
            </w:pPr>
            <w:r>
              <w:t xml:space="preserve">Przesądza o zasadności żądania wykupu</w:t>
            </w:r>
          </w:p>
        </w:tc>
        <w:tc>
          <w:tcPr/>
          <w:p>
            <w:pPr>
              <w:pStyle w:val="Compact"/>
              <w:jc w:val="left"/>
            </w:pPr>
            <w:r>
              <w:t xml:space="preserve">Umowa, ogólne warunki, aneksy</w:t>
            </w:r>
          </w:p>
        </w:tc>
      </w:tr>
      <w:tr>
        <w:tc>
          <w:tcPr/>
          <w:p>
            <w:pPr>
              <w:pStyle w:val="Compact"/>
              <w:jc w:val="left"/>
            </w:pPr>
            <w:r>
              <w:t xml:space="preserve">Polityka retencji i data jej wdrożenia</w:t>
            </w:r>
          </w:p>
        </w:tc>
        <w:tc>
          <w:tcPr/>
          <w:p>
            <w:pPr>
              <w:pStyle w:val="Compact"/>
              <w:jc w:val="left"/>
            </w:pPr>
            <w:r>
              <w:t xml:space="preserve">Odróżnia rutynę od zacierania śladów</w:t>
            </w:r>
          </w:p>
        </w:tc>
        <w:tc>
          <w:tcPr/>
          <w:p>
            <w:pPr>
              <w:pStyle w:val="Compact"/>
              <w:jc w:val="left"/>
            </w:pPr>
            <w:r>
              <w:t xml:space="preserve">Dokument polityki, logi konfiguracji, komunikaty do pracowników</w:t>
            </w:r>
          </w:p>
        </w:tc>
      </w:tr>
      <w:tr>
        <w:tc>
          <w:tcPr/>
          <w:p>
            <w:pPr>
              <w:pStyle w:val="Compact"/>
              <w:jc w:val="left"/>
            </w:pPr>
            <w:r>
              <w:t xml:space="preserve">Status prawny korespondencji z prawnikami</w:t>
            </w:r>
          </w:p>
        </w:tc>
        <w:tc>
          <w:tcPr/>
          <w:p>
            <w:pPr>
              <w:pStyle w:val="Compact"/>
              <w:jc w:val="left"/>
            </w:pPr>
            <w:r>
              <w:t xml:space="preserve">Zakres ochrony z art. 225 k.p.k.</w:t>
            </w:r>
          </w:p>
        </w:tc>
        <w:tc>
          <w:tcPr/>
          <w:p>
            <w:pPr>
              <w:pStyle w:val="Compact"/>
              <w:jc w:val="left"/>
            </w:pPr>
            <w:r>
              <w:t xml:space="preserve">Pełnomocnictwa, upoważnienia obrończe</w:t>
            </w:r>
          </w:p>
        </w:tc>
      </w:tr>
      <w:tr>
        <w:tc>
          <w:tcPr/>
          <w:p>
            <w:pPr>
              <w:pStyle w:val="Compact"/>
              <w:jc w:val="left"/>
            </w:pPr>
            <w:r>
              <w:t xml:space="preserve">Sytuacja finansowa spółki po zabezpieczeniu rachunków</w:t>
            </w:r>
          </w:p>
        </w:tc>
        <w:tc>
          <w:tcPr/>
          <w:p>
            <w:pPr>
              <w:pStyle w:val="Compact"/>
              <w:jc w:val="left"/>
            </w:pPr>
            <w:r>
              <w:t xml:space="preserve">Ustala moment powstania obowiązków zarządu</w:t>
            </w:r>
          </w:p>
        </w:tc>
        <w:tc>
          <w:tcPr/>
          <w:p>
            <w:pPr>
              <w:pStyle w:val="Compact"/>
              <w:jc w:val="left"/>
            </w:pPr>
            <w:r>
              <w:t xml:space="preserve">Sprawozdania, zestawienia zobowiązań wymagalnych</w:t>
            </w:r>
          </w:p>
        </w:tc>
      </w:tr>
    </w:tbl>
    <w:bookmarkEnd w:id="43"/>
    <w:bookmarkStart w:id="44" w:name="proponowane-rozstrzygnięcie-1"/>
    <w:p>
      <w:pPr>
        <w:pStyle w:val="Heading2"/>
      </w:pPr>
      <w:r>
        <w:t xml:space="preserve">Proponowane rozstrzygnięcie</w:t>
      </w:r>
    </w:p>
    <w:p>
      <w:pPr>
        <w:pStyle w:val="FirstParagraph"/>
      </w:pPr>
      <w:r>
        <w:t xml:space="preserve">W wymiarze podatkowym: przyjąć, że kumulacja okoliczności i wewnętrzne zgłoszenie nieprawidłowości uzasadniają zakwestionowanie odliczenia, chyba że spółka wykaże adekwatny zakres przeglądu i podjęte środki zaradcze. Ciężar wykazania spoczywa na spółce.</w:t>
      </w:r>
    </w:p>
    <w:p>
      <w:pPr>
        <w:pStyle w:val="BodyText"/>
      </w:pPr>
      <w:r>
        <w:t xml:space="preserve">W wymiarze karnoskarbowym: prowadzić postępowanie wobec prezesa z rozważeniem zamiaru ewentualnego przy czynach z art. 56 § 1 i art. 62 § 2 Kodeksu karnego skarbowego, na podstawie art. 9 § 3 tego kodeksu; wobec dyrektora finansowego rozważyć instytucje umożliwiające współpracę z organami; wobec pozostałych członków zarządu nie stawiać zarzutów bez ustalenia stanu wiedzy. Nie przeprowadzać w tej wersji arkusza pełnej kwalifikacji karnomaterialnej ani analizy zbiegu przepisów — wymaga to odrębnego narzędzia.</w:t>
      </w:r>
    </w:p>
    <w:p>
      <w:pPr>
        <w:pStyle w:val="BodyText"/>
      </w:pPr>
      <w:r>
        <w:t xml:space="preserve">W wymiarze AML: nie uwzględniać żądania spółki o ujawnienie analizy (art. 54 ust. 1 ustawy); skierować odrębne badanie prawidłowości działania banku pod kątem art. 43 i art. 74 ustawy.</w:t>
      </w:r>
    </w:p>
    <w:p>
      <w:pPr>
        <w:pStyle w:val="BodyText"/>
      </w:pPr>
      <w:r>
        <w:t xml:space="preserve">W wymiarze kontraktowym: uwzględnić roszczenie faktora o wykup wierzytelności w zakresie wynikającym z umowy; nie uzależniać go od wyniku postępowania podatkowego.</w:t>
      </w:r>
    </w:p>
    <w:p>
      <w:pPr>
        <w:pStyle w:val="BodyText"/>
      </w:pPr>
      <w:r>
        <w:t xml:space="preserve">W wymiarze korporacyjnym: dopuścić roszczenie wobec prezesa, wskazując, że powołanie się na art. 483 § 3 k.s.h. wymaga wykazania adekwatności zleconej analizy do skali sygnałów.</w:t>
      </w:r>
    </w:p>
    <w:p>
      <w:pPr>
        <w:pStyle w:val="BodyText"/>
      </w:pPr>
      <w:r>
        <w:t xml:space="preserve">Czynności pilne dla spółki: wstrzymanie automatycznego usuwania wiadomości, uporządkowanie statusu korespondencji prawnej, zaskarżenie zabezpieczenia i równoległa ocena przesłanek niewypłacalności.</w:t>
      </w:r>
    </w:p>
    <w:bookmarkEnd w:id="44"/>
    <w:bookmarkStart w:id="45" w:name="zweryfikowane-pozycje-źródłowe-pl-06"/>
    <w:p>
      <w:pPr>
        <w:pStyle w:val="Heading2"/>
      </w:pPr>
      <w:r>
        <w:t xml:space="preserve">Zweryfikowane pozycje źródłowe (PL-06)</w:t>
      </w:r>
    </w:p>
    <w:p>
      <w:pPr>
        <w:numPr>
          <w:ilvl w:val="0"/>
          <w:numId w:val="1003"/>
        </w:numPr>
        <w:pStyle w:val="Compact"/>
      </w:pPr>
      <w:r>
        <w:t xml:space="preserve">Ustawa z dnia 11 marca 2004 r. o podatku od towarów i usług, Dz.U. 2004 nr 54 poz. 535 — sprawdzono art. 88 ust. 1 i ust. 3a (w tym faktury wystawione przez podmiot nieistniejący) oraz art. 108 ust. 1–2.</w:t>
      </w:r>
    </w:p>
    <w:p>
      <w:pPr>
        <w:numPr>
          <w:ilvl w:val="0"/>
          <w:numId w:val="1003"/>
        </w:numPr>
        <w:pStyle w:val="Compact"/>
      </w:pPr>
      <w:r>
        <w:t xml:space="preserve">Ustawa z dnia 10 września 1999 r. — Kodeks karny skarbowy, Dz.U. 1999 nr 83 poz. 930 — sprawdzono art. 9 § 1–3 (odpowiedzialność zajmującego się sprawami gospodarczymi, w szczególności finansowymi), art. 56 § 1–3, art. 62 § 1, § 2 i § 2a.</w:t>
      </w:r>
    </w:p>
    <w:p>
      <w:pPr>
        <w:numPr>
          <w:ilvl w:val="0"/>
          <w:numId w:val="1003"/>
        </w:numPr>
        <w:pStyle w:val="Compact"/>
      </w:pPr>
      <w:r>
        <w:t xml:space="preserve">Ustawa z dnia 1 marca 2018 r. o przeciwdziałaniu praniu pieniędzy oraz finansowaniu terroryzmu, Dz.U. 2018 poz. 723 — sprawdzono art. 33 ust. 1–3, art. 43 ust. 1–2, art. 54 ust. 1–2, art. 74 ust. 1–3.</w:t>
      </w:r>
    </w:p>
    <w:p>
      <w:pPr>
        <w:numPr>
          <w:ilvl w:val="0"/>
          <w:numId w:val="1003"/>
        </w:numPr>
        <w:pStyle w:val="Compact"/>
      </w:pPr>
      <w:r>
        <w:t xml:space="preserve">Ustawa z dnia 15 września 2000 r. — Kodeks spółek handlowych, Dz.U. 2000 nr 94 poz. 1037 — sprawdzono art. 483 § 1 i § 3 (§ 2 uchylony).</w:t>
      </w:r>
    </w:p>
    <w:p>
      <w:pPr>
        <w:numPr>
          <w:ilvl w:val="0"/>
          <w:numId w:val="1003"/>
        </w:numPr>
        <w:pStyle w:val="Compact"/>
      </w:pPr>
      <w:r>
        <w:t xml:space="preserve">Ustawa z dnia 29 sierpnia 1997 r. — Ordynacja podatkowa, Dz.U. 1997 nr 137 poz. 926 — sprawdzono art. 33 § 1–2.</w:t>
      </w:r>
    </w:p>
    <w:p>
      <w:pPr>
        <w:numPr>
          <w:ilvl w:val="0"/>
          <w:numId w:val="1003"/>
        </w:numPr>
        <w:pStyle w:val="Compact"/>
      </w:pPr>
      <w:r>
        <w:t xml:space="preserve">Ustawa z dnia 6 czerwca 1997 r. — Kodeks postępowania karnego, Dz.U. 1997 nr 89 poz. 555 — sprawdzono art. 225 § 1–2.</w:t>
      </w:r>
    </w:p>
    <w:p>
      <w:pPr>
        <w:numPr>
          <w:ilvl w:val="0"/>
          <w:numId w:val="1003"/>
        </w:numPr>
        <w:pStyle w:val="Compact"/>
      </w:pPr>
      <w:r>
        <w:t xml:space="preserve">Ustawa z dnia 17 listopada 1964 r. — Kodeks postępowania cywilnego — sprawdzono art. 233 § 2.</w:t>
      </w:r>
    </w:p>
    <w:p>
      <w:pPr>
        <w:pStyle w:val="FirstParagraph"/>
      </w:pPr>
      <w:r>
        <w:t xml:space="preserve">Nie przypisano sygnaturom i przedstawiono jako standard doktrynalny: linię orzeczniczą Trybunału Sprawiedliwości dotyczącą wiedzy lub powinności wiedzy podatnika o nadużyciu w łańcuchu dostaw, resortową metodykę oceny należytej staranności, przesłanki i skutki zbiegu przepisów Kodeksu karnego skarbowego z przepisami Kodeksu karnego o fałszu faktur oraz przepisy o obowiązku złożenia wniosku o ogłoszenie upadłości. Wymagają samodzielnego potwierdzenia.</w:t>
      </w:r>
    </w:p>
    <w:bookmarkEnd w:id="45"/>
    <w:bookmarkEnd w:id="46"/>
    <w:bookmarkStart w:id="59" w:name="pl-07-deepfake-w-wyborach-samorządowych"/>
    <w:p>
      <w:pPr>
        <w:pStyle w:val="Heading1"/>
      </w:pPr>
      <w:r>
        <w:t xml:space="preserve">PL-07 Deepfake w wyborach samorządowych</w:t>
      </w:r>
    </w:p>
    <w:bookmarkStart w:id="47" w:name="teza-wstępna-2"/>
    <w:p>
      <w:pPr>
        <w:pStyle w:val="Heading2"/>
      </w:pPr>
      <w:r>
        <w:t xml:space="preserve">Teza wstępna</w:t>
      </w:r>
    </w:p>
    <w:p>
      <w:pPr>
        <w:pStyle w:val="FirstParagraph"/>
      </w:pPr>
      <w:r>
        <w:t xml:space="preserve">Trzy dni przed głosowaniem realnie dostępny jest jeden środek — tryb z art. 111 Kodeksu wyborczego, rozpoznawany w ciągu dwudziestu czterech godzin. Wszystko inne (dobra osobiste, prawo autorskie, obowiązki platformy, finansowanie kampanii) działa wolniej i służy innym celom. Wniosek powinien być więc skonstruowany tak, aby wygrać na rozkładzie ciężaru wykazania prawdziwości, a nie na dowodzie syntezy — bo opinii biegłego w dobę się nie przeprowadzi. Ustalenie porządkujące: film nie jest „materiałem wyborczym” w rozumieniu art. 109 § 1 Kodeksu wyborczego, ponieważ nie pochodzi od komitetu wyborczego, ale mimo to mieści się w zakresie art. 111 § 1, który obejmuje także wypowiedzi i inne formy prowadzonej agitacji wyborczej.</w:t>
      </w:r>
    </w:p>
    <w:bookmarkEnd w:id="47"/>
    <w:bookmarkStart w:id="48" w:name="mapa-jurysdykcji-źródeł-i-kompetencji-2"/>
    <w:p>
      <w:pPr>
        <w:pStyle w:val="Heading2"/>
      </w:pPr>
      <w:r>
        <w:t xml:space="preserve">Mapa jurysdykcji, źródeł i kompetencji</w:t>
      </w:r>
    </w:p>
    <w:p>
      <w:pPr>
        <w:pStyle w:val="FirstParagraph"/>
      </w:pPr>
      <w:r>
        <w:t xml:space="preserve">Fora i tempo.</w:t>
      </w:r>
    </w:p>
    <w:p>
      <w:pPr>
        <w:numPr>
          <w:ilvl w:val="0"/>
          <w:numId w:val="1004"/>
        </w:numPr>
        <w:pStyle w:val="Compact"/>
      </w:pPr>
      <w:r>
        <w:t xml:space="preserve">Sąd okręgowy w trybie wyborczym — art. 111 § 2 Kodeksu wyborczego: rozpoznanie w ciągu dwudziestu czterech godzin w postępowaniu nieprocesowym; art. 111 § 3 — zażalenie w ciągu dwudziestu czterech godzin, rozpoznawane w ciągu dwudziestu czterech godzin.</w:t>
      </w:r>
    </w:p>
    <w:p>
      <w:pPr>
        <w:numPr>
          <w:ilvl w:val="0"/>
          <w:numId w:val="1004"/>
        </w:numPr>
        <w:pStyle w:val="Compact"/>
      </w:pPr>
      <w:r>
        <w:t xml:space="preserve">Sąd cywilny — ochrona dóbr osobistych (art. 23 i 24 k.c., art. 448 k.c.) oraz ochrona wizerunku (art. 81 prawa autorskiego); tempo zwykłe, z możliwością zabezpieczenia.</w:t>
      </w:r>
    </w:p>
    <w:p>
      <w:pPr>
        <w:numPr>
          <w:ilvl w:val="0"/>
          <w:numId w:val="1004"/>
        </w:numPr>
        <w:pStyle w:val="Compact"/>
      </w:pPr>
      <w:r>
        <w:t xml:space="preserve">Państwowa Komisja Wyborcza i tryb sprawozdawczy — kontrola finansowania kampanii; skutki odroczone, ale dotkliwe.</w:t>
      </w:r>
    </w:p>
    <w:p>
      <w:pPr>
        <w:numPr>
          <w:ilvl w:val="0"/>
          <w:numId w:val="1004"/>
        </w:numPr>
        <w:pStyle w:val="Compact"/>
      </w:pPr>
      <w:r>
        <w:t xml:space="preserve">Organ nadzoru nad usługami cyfrowymi oraz mechanizmy własne platformy — obowiązki wynikające z aktu o usługach cyfrowych oraz z rozporządzenia o przejrzystości i targetowaniu reklamy politycznej.</w:t>
      </w:r>
    </w:p>
    <w:p>
      <w:pPr>
        <w:pStyle w:val="FirstParagraph"/>
      </w:pPr>
      <w:r>
        <w:t xml:space="preserve">Kwalifikacja przedmiotowa. Art. 105 § 1 Kodeksu wyborczego definiuje agitację wyborczą jako publiczne nakłanianie lub zachęcanie do głosowania w określony sposób, a art. 106 § 1 stanowi, że agitację może prowadzić każdy komitet wyborczy i każdy wyborca. Sponsorowany film przedstawiający kandydatkę w kompromitującej sytuacji, rozpowszechniany na trzy dni przed głosowaniem, jest formą agitacji. Art. 111 § 1 obejmuje rozpowszechniane materiały wyborcze „a także wypowiedzi lub inne formy prowadzonej agitacji wyborczej” zawierające informacje nieprawdziwe — a więc obejmuje ten film niezależnie od tego, że nie pochodzi od komitetu.</w:t>
      </w:r>
    </w:p>
    <w:bookmarkEnd w:id="48"/>
    <w:bookmarkStart w:id="54" w:name="analiza-materialna-według-zagadnień-2"/>
    <w:p>
      <w:pPr>
        <w:pStyle w:val="Heading2"/>
      </w:pPr>
      <w:r>
        <w:t xml:space="preserve">Analiza materialna według zagadnień</w:t>
      </w:r>
    </w:p>
    <w:bookmarkStart w:id="49" w:name="Xd29395e5588df1d93d95b1c40c91361e88a71fd"/>
    <w:p>
      <w:pPr>
        <w:pStyle w:val="Heading3"/>
      </w:pPr>
      <w:r>
        <w:t xml:space="preserve">Zagadnienie 1: tryb wyborczy — zakres i adresaci</w:t>
      </w:r>
    </w:p>
    <w:p>
      <w:pPr>
        <w:pStyle w:val="FirstParagraph"/>
      </w:pPr>
      <w:r>
        <w:t xml:space="preserve">Art. 111 § 1 przyznaje legitymację czynną kandydatowi lub pełnomocnikowi wyborczemu zainteresowanego komitetu. Katalog żądań jest zamknięty i obejmuje: zakaz rozpowszechniania informacji, przepadek materiałów wyborczych, nakazanie sprostowania, nakazanie publikacji odpowiedzi na stwierdzenia naruszające dobra osobiste, nakazanie przeproszenia oraz nakazanie wpłacenia kwoty do 100 000 złotych na rzecz organizacji pożytku publicznego.</w:t>
      </w:r>
    </w:p>
    <w:p>
      <w:pPr>
        <w:pStyle w:val="BodyText"/>
      </w:pPr>
      <w:r>
        <w:t xml:space="preserve">Legitymacja bierna wymaga rozdzielenia trzech pozycji.</w:t>
      </w:r>
    </w:p>
    <w:p>
      <w:pPr>
        <w:pStyle w:val="BodyText"/>
      </w:pPr>
      <w:r>
        <w:t xml:space="preserve">Kontrkandydat, który udostępnił film z komentarzem — rozpowszechnia w rozumieniu przepisu. Komentarz „mieszkańcy mają prawo wiedzieć” nie jest dystansowaniem się od treści; przeciwnie, wzmacnia przekaz jako wiarygodny. Pozycja najsłabsza dla broniącego się.</w:t>
      </w:r>
    </w:p>
    <w:p>
      <w:pPr>
        <w:pStyle w:val="BodyText"/>
      </w:pPr>
      <w:r>
        <w:t xml:space="preserve">Fundacja jako sponsor — rozpowszechnia przez zlecenie i finansowanie dystrybucji. Trudność polega na ustaleniu podmiotu, bo dane sponsora w bibliotece reklam są niepełne.</w:t>
      </w:r>
    </w:p>
    <w:p>
      <w:pPr>
        <w:pStyle w:val="BodyText"/>
      </w:pPr>
      <w:r>
        <w:t xml:space="preserve">Platforma — nie prowadzi agitacji i nie jest naturalnym adresatem art. 111. Żądania wobec niej należy formułować w reżimie usług cyfrowych, a nie w trybie wyborczym; próba objęcia platformy wnioskiem z art. 111 grozi oddaleniem w części i utratą czasu.</w:t>
      </w:r>
    </w:p>
    <w:p>
      <w:pPr>
        <w:pStyle w:val="BodyText"/>
      </w:pPr>
      <w:r>
        <w:t xml:space="preserve">Przepadek materiałów wyborczych jest w tej konfiguracji instytucją częściowo pustą — kopie krążą w komunikatorach, a orzeczenie nie sięgnie do prywatnych urządzeń. Realną wartość mają zakaz rozpowszechniania, sprostowanie i przeproszenie.</w:t>
      </w:r>
    </w:p>
    <w:bookmarkEnd w:id="49"/>
    <w:bookmarkStart w:id="50" w:name="Xf1190df4f6e1f51027c8087444e0a22f4d0314d"/>
    <w:p>
      <w:pPr>
        <w:pStyle w:val="Heading3"/>
      </w:pPr>
      <w:r>
        <w:t xml:space="preserve">Zagadnienie 2: standard dowodu w dwadzieścia cztery godziny</w:t>
      </w:r>
    </w:p>
    <w:p>
      <w:pPr>
        <w:pStyle w:val="FirstParagraph"/>
      </w:pPr>
      <w:r>
        <w:t xml:space="preserve">To rdzeń praktyczny sprawy. Prywatny ekspert wykrył ślady syntezy, ale nie dysponuje plikiem źródłowym; drugi wskazuje na artefakty kompresji. Opinia sporządzona na zlecenie strony jest dokumentem prywatnym i stanowi dowód tego, że osoba ją podpisująca złożyła zawarte w niej oświadczenie — nie zastępuje opinii biegłego. W ciągu doby sąd opinii biegłego nie przeprowadzi.</w:t>
      </w:r>
    </w:p>
    <w:p>
      <w:pPr>
        <w:pStyle w:val="BodyText"/>
      </w:pPr>
      <w:r>
        <w:t xml:space="preserve">Wniosek strategiczny: nie budować wniosku na twierdzeniu „udowodnimy, że film jest wygenerowany”, lecz na tym, że rozpowszechniana informacja o obietnicy zmiany planu w zamian za finansowanie kampanii jest nieprawdziwa, a uczestnik postępowania nie jest w stanie wykazać jej prawdziwości. Rozstrzygnięcie oparte na braku wykazania prawdziwości mieści się w konstrukcji art. 111 § 1 i jest osiągalne w dobę; rozstrzygnięcie oparte na dowodzie syntezy — nie jest.</w:t>
      </w:r>
    </w:p>
    <w:p>
      <w:pPr>
        <w:pStyle w:val="BodyText"/>
      </w:pPr>
      <w:r>
        <w:t xml:space="preserve">Materiał wspierający, możliwy do przedstawienia natychmiast: oświadczenie kandydatki, kalendarz i dokumentacja wykazujące niemożność odbycia rozmowy, materiał źródłowy prawdziwego wywiadu pozwalający wykazać, że fragment został przemontowany, oraz obie opinie prywatne jako uprawdopodobnienie. Równolegle należy złożyć wniosek o zobowiązanie platformy do wydania pliku i danych sponsora — z tym, że jego realizacja nastąpi po wyborach i posłuży postępowaniu cywilnemu, nie wyborczemu.</w:t>
      </w:r>
    </w:p>
    <w:p>
      <w:pPr>
        <w:pStyle w:val="BodyText"/>
      </w:pPr>
      <w:r>
        <w:t xml:space="preserve">Odrębnie: do ciszy wyborczej pozostają godziny. Art. 107 § 1 zakazuje agitacji w dniu głosowania i na dwadzieścia cztery godziny przed nim. Naruszenie ciszy przez dalsze rozpowszechnianie jest samodzielnym zdarzeniem, które warto objąć wnioskiem.</w:t>
      </w:r>
    </w:p>
    <w:bookmarkEnd w:id="50"/>
    <w:bookmarkStart w:id="51" w:name="zagadnienie-3-koordynacja-i-finansowanie"/>
    <w:p>
      <w:pPr>
        <w:pStyle w:val="Heading3"/>
      </w:pPr>
      <w:r>
        <w:t xml:space="preserve">Zagadnienie 3: koordynacja i finansowanie</w:t>
      </w:r>
    </w:p>
    <w:p>
      <w:pPr>
        <w:pStyle w:val="FirstParagraph"/>
      </w:pPr>
      <w:r>
        <w:t xml:space="preserve">Fundacja jest formalnie niezależna od kontrkandydata, ale oba podmioty obsługuje ta sama agencja i ten sam panel reklamowy. To nie jest dowód koordynacji, lecz punkt wyjścia do jej wykazania.</w:t>
      </w:r>
    </w:p>
    <w:p>
      <w:pPr>
        <w:pStyle w:val="BodyText"/>
      </w:pPr>
      <w:r>
        <w:t xml:space="preserve">Znaczenie prawne jest poważne. Art. 132 § 3 Kodeksu wyborczego stanowi, że środki finansowe komitetu wyborczego organizacji oraz komitetu wyborczego wyborców mogą pochodzić wyłącznie z wpłat obywateli polskich mających miejsce stałego zamieszkania na terytorium Rzeczypospolitej Polskiej oraz z kredytów bankowych zaciąganych na cele związane z wyborami. Jeżeli fundacja finansowała przekaz działający na korzyść komitetu w porozumieniu z nim, mamy do czynienia z korzyścią majątkową przekazaną komitetowi przez osobę prawną — a więc z naruszeniem tej zasady.</w:t>
      </w:r>
    </w:p>
    <w:p>
      <w:pPr>
        <w:pStyle w:val="BodyText"/>
      </w:pPr>
      <w:r>
        <w:t xml:space="preserve">Sankcja jest realna: art. 149 § 1 Kodeksu wyborczego przewiduje przepadek na rzecz Skarbu Państwa korzyści majątkowych przyjętych przez komitet z naruszeniem przepisów kodeksu, a jeżeli korzyść zużyto lub utracono — przepadek jej równowartości. Art. 149 § 2 obejmuje przepadkiem także wartość czynności skutkującej zmniejszeniem zobowiązań komitetu przez osobę nieuprawnioną.</w:t>
      </w:r>
    </w:p>
    <w:p>
      <w:pPr>
        <w:pStyle w:val="BodyText"/>
      </w:pPr>
      <w:r>
        <w:t xml:space="preserve">Dowody koordynacji, o które warto wystąpić: umowy i rozliczenia agencji z oboma podmiotami, konfiguracja kont reklamowych i wspólnych identyfikatorów śledzących, harmonogramy publikacji, dane z repozytorium reklam. Ich uzyskanie wykracza poza tryb wyborczy i należy do postępowania sprawozdawczego oraz ewentualnego postępowania cywilnego.</w:t>
      </w:r>
    </w:p>
    <w:bookmarkEnd w:id="51"/>
    <w:bookmarkStart w:id="52" w:name="Xb1e55d7aadb91e95d11c1960790900e719bf42f"/>
    <w:p>
      <w:pPr>
        <w:pStyle w:val="Heading3"/>
      </w:pPr>
      <w:r>
        <w:t xml:space="preserve">Zagadnienie 4: dobra osobiste, wizerunek i utwór</w:t>
      </w:r>
    </w:p>
    <w:p>
      <w:pPr>
        <w:pStyle w:val="FirstParagraph"/>
      </w:pPr>
      <w:r>
        <w:t xml:space="preserve">Cztery odrębne przedmioty ochrony, których nie należy zlewać.</w:t>
      </w:r>
    </w:p>
    <w:p>
      <w:pPr>
        <w:pStyle w:val="BodyText"/>
      </w:pPr>
      <w:r>
        <w:t xml:space="preserve">Cześć i dobre imię — art. 23 i 24 k.c.; roszczenia o zaniechanie, usunięcie skutków i zadośćuczynienie na podstawie art. 448 § 1 k.c., który pozwala przyznać zadośćuczynienie albo zasądzić sumę na wskazany cel społeczny, niezależnie od innych środków potrzebnych do usunięcia skutków naruszenia.</w:t>
      </w:r>
    </w:p>
    <w:p>
      <w:pPr>
        <w:pStyle w:val="BodyText"/>
      </w:pPr>
      <w:r>
        <w:t xml:space="preserve">Wizerunek — art. 81 ust. 1 prawa autorskiego wymaga zezwolenia na rozpowszechnianie. Wyjątek z art. 81 ust. 2 pkt 1 dotyczy osoby powszechnie znanej, jeżeli wizerunek wykonano w związku z pełnieniem przez nią funkcji publicznych. Wyjątek ten nie obejmuje wizerunku spreparowanego: syntetyczna scena nie jest wizerunkiem „wykonanym w związku z pełnieniem funkcji”, lecz wytworzonym. Zarzut naruszenia art. 81 ust. 1 jest więc mocny i nie jest neutralizowany statusem kandydatki.</w:t>
      </w:r>
    </w:p>
    <w:p>
      <w:pPr>
        <w:pStyle w:val="BodyText"/>
      </w:pPr>
      <w:r>
        <w:t xml:space="preserve">Głos — chroniony jako dobro osobiste na zasadach ogólnych, przy braku wyraźnej regulacji szczególnej; jego syntetyczne odtworzenie stanowi samodzielne naruszenie.</w:t>
      </w:r>
    </w:p>
    <w:p>
      <w:pPr>
        <w:pStyle w:val="BodyText"/>
      </w:pPr>
      <w:r>
        <w:t xml:space="preserve">Utwór — prawdziwy wywiad jest przedmiotem praw przysługujących jego twórcom i producentowi, nie kandydatce. Roszczenia z art. 79 prawa autorskiego przysługują więc uprawnionemu z tytułu praw do wywiadu; kandydatka może z nich skorzystać tylko wtedy, gdy sama jest współtwórcą lub uzyska cesję. Włączenie tego wątku do wniosku kandydatki bez ustalenia legitymacji jest błędem, który osłabia całość.</w:t>
      </w:r>
    </w:p>
    <w:bookmarkEnd w:id="52"/>
    <w:bookmarkStart w:id="53" w:name="X542766ef278395590e28b32befd686c9aec815f"/>
    <w:p>
      <w:pPr>
        <w:pStyle w:val="Heading3"/>
      </w:pPr>
      <w:r>
        <w:t xml:space="preserve">Zagadnienie 5: obowiązki platformy i reżim reklamy politycznej</w:t>
      </w:r>
    </w:p>
    <w:p>
      <w:pPr>
        <w:pStyle w:val="FirstParagraph"/>
      </w:pPr>
      <w:r>
        <w:t xml:space="preserve">Akt o usługach cyfrowych. Oznaczenie treści jako spornej nie jest równoznaczne z reakcją wymaganą po otrzymaniu zgłoszenia. Wyłączenie odpowiedzialności dostawcy hostingu jest warunkowe i ustaje wobec treści, co do której dostawca uzyskał wiarygodną wiadomość o bezprawności. Zgłoszenie złożone w mechanizmie zgłaszania i działania, wskazujące na sfabrykowany materiał dotyczący kandydatki na trzy dni przed głosowaniem, taką wiadomość tworzy. Bardzo duże platformy mają nadto obowiązki dotyczące oceny i ograniczania ryzyk systemowych, wśród których wprost wymienia się ryzyka dla procesów wyborczych, oraz obowiązek prowadzenia repozytorium reklam.</w:t>
      </w:r>
    </w:p>
    <w:p>
      <w:pPr>
        <w:pStyle w:val="BodyText"/>
      </w:pPr>
      <w:r>
        <w:t xml:space="preserve">Reżim reklamy politycznej. Rozporządzenie (UE) 2024/900 w sprawie przejrzystości i targetowania reklamy politycznej jest stosowane bezpośrednio od 10 października 2025 r. Nakłada obowiązek oznakowania politycznego materiału reklamowego oraz dołączenia ogłoszenia o przejrzystości wskazującego między innymi tożsamość sponsora i sposób finansowania. Niepełne dane sponsora w bibliotece reklam wskazują na naruszenie tych obowiązków przez wydawcę reklamy. Brak polskiej ustawy wykonawczej nie wyłącza bezpośredniego stosowania rozporządzenia — wpływa jedynie na wskazanie organu krajowego właściwego do egzekwowania.</w:t>
      </w:r>
    </w:p>
    <w:p>
      <w:pPr>
        <w:pStyle w:val="BodyText"/>
      </w:pPr>
      <w:r>
        <w:t xml:space="preserve">Akt w sprawie sztucznej inteligencji. Obowiązki przejrzystości z art. 50, obejmujące ujawnianie treści stanowiących deepfake, są stosowane od 2 sierpnia 2026 r. i nie zostały objęte przesunięciem terminów wprowadzonym rozporządzeniem 2026/1744. Na dzień zdarzenia stanowią zatem obowiązującą podstawę zarzutu wobec podmiotu, który wygenerował i rozpowszechnił materiał — w odróżnieniu od obowiązków dla systemów wysokiego ryzyka, które jeszcze nie działają.</w:t>
      </w:r>
    </w:p>
    <w:p>
      <w:pPr>
        <w:pStyle w:val="BodyText"/>
      </w:pPr>
      <w:r>
        <w:t xml:space="preserve">Praktyczne wnioski wobec platformy: zgłoszenie w mechanizmie zgłaszania i działania z wnioskiem o usunięcie, wniosek o zabezpieczenie danych dotyczących reklamy i sponsora, oraz zawiadomienie organu nadzoru. Żądanie natychmiastowego usunięcia w trybie art. 111 Kodeksu wyborczego nie jest właściwą drogą.</w:t>
      </w:r>
    </w:p>
    <w:bookmarkEnd w:id="53"/>
    <w:bookmarkEnd w:id="54"/>
    <w:bookmarkStart w:id="55" w:name="macierz-argumentów-2"/>
    <w:p>
      <w:pPr>
        <w:pStyle w:val="Heading2"/>
      </w:pPr>
      <w:r>
        <w:t xml:space="preserve">Macierz argumentów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Zagadnienie</w:t>
            </w:r>
          </w:p>
        </w:tc>
        <w:tc>
          <w:tcPr/>
          <w:p>
            <w:pPr>
              <w:pStyle w:val="Compact"/>
              <w:jc w:val="left"/>
            </w:pPr>
            <w:r>
              <w:t xml:space="preserve">Argument komitetu Leny Wilk</w:t>
            </w:r>
          </w:p>
        </w:tc>
        <w:tc>
          <w:tcPr/>
          <w:p>
            <w:pPr>
              <w:pStyle w:val="Compact"/>
              <w:jc w:val="left"/>
            </w:pPr>
            <w:r>
              <w:t xml:space="preserve">Odpowiedź kontrkandydata, fundacji i platformy</w:t>
            </w:r>
          </w:p>
        </w:tc>
      </w:tr>
      <w:tr>
        <w:tc>
          <w:tcPr/>
          <w:p>
            <w:pPr>
              <w:pStyle w:val="Compact"/>
              <w:jc w:val="left"/>
            </w:pPr>
            <w:r>
              <w:t xml:space="preserve">Zakres art. 111</w:t>
            </w:r>
          </w:p>
        </w:tc>
        <w:tc>
          <w:tcPr/>
          <w:p>
            <w:pPr>
              <w:pStyle w:val="Compact"/>
              <w:jc w:val="left"/>
            </w:pPr>
            <w:r>
              <w:t xml:space="preserve">Film jest formą prowadzonej agitacji wyborczej, objętą art. 111 § 1</w:t>
            </w:r>
          </w:p>
        </w:tc>
        <w:tc>
          <w:tcPr/>
          <w:p>
            <w:pPr>
              <w:pStyle w:val="Compact"/>
              <w:jc w:val="left"/>
            </w:pPr>
            <w:r>
              <w:t xml:space="preserve">Nie jest materiałem wyborczym w rozumieniu art. 109 § 1, bo nie pochodzi od komitetu</w:t>
            </w:r>
          </w:p>
        </w:tc>
      </w:tr>
      <w:tr>
        <w:tc>
          <w:tcPr/>
          <w:p>
            <w:pPr>
              <w:pStyle w:val="Compact"/>
              <w:jc w:val="left"/>
            </w:pPr>
            <w:r>
              <w:t xml:space="preserve">Udostępnienie</w:t>
            </w:r>
          </w:p>
        </w:tc>
        <w:tc>
          <w:tcPr/>
          <w:p>
            <w:pPr>
              <w:pStyle w:val="Compact"/>
              <w:jc w:val="left"/>
            </w:pPr>
            <w:r>
              <w:t xml:space="preserve">Udostępnienie z komentarzem uwiarygadniającym jest rozpowszechnianiem</w:t>
            </w:r>
          </w:p>
        </w:tc>
        <w:tc>
          <w:tcPr/>
          <w:p>
            <w:pPr>
              <w:pStyle w:val="Compact"/>
              <w:jc w:val="left"/>
            </w:pPr>
            <w:r>
              <w:t xml:space="preserve">Komentarz sygnalizował informowanie, nie potwierdzenie prawdziwości</w:t>
            </w:r>
          </w:p>
        </w:tc>
      </w:tr>
      <w:tr>
        <w:tc>
          <w:tcPr/>
          <w:p>
            <w:pPr>
              <w:pStyle w:val="Compact"/>
              <w:jc w:val="left"/>
            </w:pPr>
            <w:r>
              <w:t xml:space="preserve">Dowód</w:t>
            </w:r>
          </w:p>
        </w:tc>
        <w:tc>
          <w:tcPr/>
          <w:p>
            <w:pPr>
              <w:pStyle w:val="Compact"/>
              <w:jc w:val="left"/>
            </w:pPr>
            <w:r>
              <w:t xml:space="preserve">Uczestnik nie wykazał prawdziwości informacji o obietnicy</w:t>
            </w:r>
          </w:p>
        </w:tc>
        <w:tc>
          <w:tcPr/>
          <w:p>
            <w:pPr>
              <w:pStyle w:val="Compact"/>
              <w:jc w:val="left"/>
            </w:pPr>
            <w:r>
              <w:t xml:space="preserve">Wnioskodawca nie wykazał, że materiał jest syntetyczny; opinie prywatne są rozbieżne</w:t>
            </w:r>
          </w:p>
        </w:tc>
      </w:tr>
      <w:tr>
        <w:tc>
          <w:tcPr/>
          <w:p>
            <w:pPr>
              <w:pStyle w:val="Compact"/>
              <w:jc w:val="left"/>
            </w:pPr>
            <w:r>
              <w:t xml:space="preserve">Wizerunek</w:t>
            </w:r>
          </w:p>
        </w:tc>
        <w:tc>
          <w:tcPr/>
          <w:p>
            <w:pPr>
              <w:pStyle w:val="Compact"/>
              <w:jc w:val="left"/>
            </w:pPr>
            <w:r>
              <w:t xml:space="preserve">Art. 81 ust. 1 pr. aut.; wyjątek z ust. 2 pkt 1 nie obejmuje wizerunku wytworzonego</w:t>
            </w:r>
          </w:p>
        </w:tc>
        <w:tc>
          <w:tcPr/>
          <w:p>
            <w:pPr>
              <w:pStyle w:val="Compact"/>
              <w:jc w:val="left"/>
            </w:pPr>
            <w:r>
              <w:t xml:space="preserve">Kandydatka jest osobą publiczną, a materiał dotyczy sprawy publicznej</w:t>
            </w:r>
          </w:p>
        </w:tc>
      </w:tr>
      <w:tr>
        <w:tc>
          <w:tcPr/>
          <w:p>
            <w:pPr>
              <w:pStyle w:val="Compact"/>
              <w:jc w:val="left"/>
            </w:pPr>
            <w:r>
              <w:t xml:space="preserve">Utwór</w:t>
            </w:r>
          </w:p>
        </w:tc>
        <w:tc>
          <w:tcPr/>
          <w:p>
            <w:pPr>
              <w:pStyle w:val="Compact"/>
              <w:jc w:val="left"/>
            </w:pPr>
            <w:r>
              <w:t xml:space="preserve">Zmontowanie prawdziwego wywiadu narusza prawa do niego</w:t>
            </w:r>
          </w:p>
        </w:tc>
        <w:tc>
          <w:tcPr/>
          <w:p>
            <w:pPr>
              <w:pStyle w:val="Compact"/>
              <w:jc w:val="left"/>
            </w:pPr>
            <w:r>
              <w:t xml:space="preserve">Kandydatka nie jest uprawniona z tytułu praw do wywiadu — brak legitymacji</w:t>
            </w:r>
          </w:p>
        </w:tc>
      </w:tr>
      <w:tr>
        <w:tc>
          <w:tcPr/>
          <w:p>
            <w:pPr>
              <w:pStyle w:val="Compact"/>
              <w:jc w:val="left"/>
            </w:pPr>
            <w:r>
              <w:t xml:space="preserve">Koordynacja</w:t>
            </w:r>
          </w:p>
        </w:tc>
        <w:tc>
          <w:tcPr/>
          <w:p>
            <w:pPr>
              <w:pStyle w:val="Compact"/>
              <w:jc w:val="left"/>
            </w:pPr>
            <w:r>
              <w:t xml:space="preserve">Wspólna agencja i wspólny panel reklamowy wskazują na porozumienie</w:t>
            </w:r>
          </w:p>
        </w:tc>
        <w:tc>
          <w:tcPr/>
          <w:p>
            <w:pPr>
              <w:pStyle w:val="Compact"/>
              <w:jc w:val="left"/>
            </w:pPr>
            <w:r>
              <w:t xml:space="preserve">Zbieżność dostawcy usług nie dowodzi koordynacji; fundacja działa samodzielnie</w:t>
            </w:r>
          </w:p>
        </w:tc>
      </w:tr>
      <w:tr>
        <w:tc>
          <w:tcPr/>
          <w:p>
            <w:pPr>
              <w:pStyle w:val="Compact"/>
              <w:jc w:val="left"/>
            </w:pPr>
            <w:r>
              <w:t xml:space="preserve">Finansowanie</w:t>
            </w:r>
          </w:p>
        </w:tc>
        <w:tc>
          <w:tcPr/>
          <w:p>
            <w:pPr>
              <w:pStyle w:val="Compact"/>
              <w:jc w:val="left"/>
            </w:pPr>
            <w:r>
              <w:t xml:space="preserve">Korzyść majątkowa od osoby prawnej — art. 132 § 3 i sankcja z art. 149</w:t>
            </w:r>
          </w:p>
        </w:tc>
        <w:tc>
          <w:tcPr/>
          <w:p>
            <w:pPr>
              <w:pStyle w:val="Compact"/>
              <w:jc w:val="left"/>
            </w:pPr>
            <w:r>
              <w:t xml:space="preserve">Wydatki poniosła fundacja we własnym imieniu i na własny rachunek</w:t>
            </w:r>
          </w:p>
        </w:tc>
      </w:tr>
      <w:tr>
        <w:tc>
          <w:tcPr/>
          <w:p>
            <w:pPr>
              <w:pStyle w:val="Compact"/>
              <w:jc w:val="left"/>
            </w:pPr>
            <w:r>
              <w:t xml:space="preserve">Platforma</w:t>
            </w:r>
          </w:p>
        </w:tc>
        <w:tc>
          <w:tcPr/>
          <w:p>
            <w:pPr>
              <w:pStyle w:val="Compact"/>
              <w:jc w:val="left"/>
            </w:pPr>
            <w:r>
              <w:t xml:space="preserve">Zgłoszenie stworzyło wiarygodną wiadomość; oznaczenie nie zastępuje działania</w:t>
            </w:r>
          </w:p>
        </w:tc>
        <w:tc>
          <w:tcPr/>
          <w:p>
            <w:pPr>
              <w:pStyle w:val="Compact"/>
              <w:jc w:val="left"/>
            </w:pPr>
            <w:r>
              <w:t xml:space="preserve">Zastosowano środek proporcjonalny; usunięcie treści politycznej przed wyborami rodzi własne ryzyka</w:t>
            </w:r>
          </w:p>
        </w:tc>
      </w:tr>
      <w:tr>
        <w:tc>
          <w:tcPr/>
          <w:p>
            <w:pPr>
              <w:pStyle w:val="Compact"/>
              <w:jc w:val="left"/>
            </w:pPr>
            <w:r>
              <w:t xml:space="preserve">Reklama polityczna</w:t>
            </w:r>
          </w:p>
        </w:tc>
        <w:tc>
          <w:tcPr/>
          <w:p>
            <w:pPr>
              <w:pStyle w:val="Compact"/>
              <w:jc w:val="left"/>
            </w:pPr>
            <w:r>
              <w:t xml:space="preserve">Niepełne dane sponsora naruszają rozporządzenie 2024/900</w:t>
            </w:r>
          </w:p>
        </w:tc>
        <w:tc>
          <w:tcPr/>
          <w:p>
            <w:pPr>
              <w:pStyle w:val="Compact"/>
              <w:jc w:val="left"/>
            </w:pPr>
            <w:r>
              <w:t xml:space="preserve">Obowiązki wykonano w zakresie danych przekazanych przez zamawiającego reklamę</w:t>
            </w:r>
          </w:p>
        </w:tc>
      </w:tr>
    </w:tbl>
    <w:bookmarkEnd w:id="55"/>
    <w:bookmarkStart w:id="56" w:name="X253b8615953e73ec82a6253eaeb2911a05d1ee5"/>
    <w:p>
      <w:pPr>
        <w:pStyle w:val="Heading2"/>
      </w:pPr>
      <w:r>
        <w:t xml:space="preserve">Braki faktyczne i dowody rozstrzygające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Brak</w:t>
            </w:r>
          </w:p>
        </w:tc>
        <w:tc>
          <w:tcPr/>
          <w:p>
            <w:pPr>
              <w:pStyle w:val="Compact"/>
              <w:jc w:val="left"/>
            </w:pPr>
            <w:r>
              <w:t xml:space="preserve">Dlaczego rozstrzyga</w:t>
            </w:r>
          </w:p>
        </w:tc>
        <w:tc>
          <w:tcPr/>
          <w:p>
            <w:pPr>
              <w:pStyle w:val="Compact"/>
              <w:jc w:val="left"/>
            </w:pPr>
            <w:r>
              <w:t xml:space="preserve">Dowód, który go usuwa</w:t>
            </w:r>
          </w:p>
        </w:tc>
      </w:tr>
      <w:tr>
        <w:tc>
          <w:tcPr/>
          <w:p>
            <w:pPr>
              <w:pStyle w:val="Compact"/>
              <w:jc w:val="left"/>
            </w:pPr>
            <w:r>
              <w:t xml:space="preserve">Czy komitet złożył zgłoszenie do platformy i o której godzinie</w:t>
            </w:r>
          </w:p>
        </w:tc>
        <w:tc>
          <w:tcPr/>
          <w:p>
            <w:pPr>
              <w:pStyle w:val="Compact"/>
              <w:jc w:val="left"/>
            </w:pPr>
            <w:r>
              <w:t xml:space="preserve">Wyznacza moment uzyskania wiarygodnej wiadomości</w:t>
            </w:r>
          </w:p>
        </w:tc>
        <w:tc>
          <w:tcPr/>
          <w:p>
            <w:pPr>
              <w:pStyle w:val="Compact"/>
              <w:jc w:val="left"/>
            </w:pPr>
            <w:r>
              <w:t xml:space="preserve">Potwierdzenie zgłoszenia, korespondencja z platformą</w:t>
            </w:r>
          </w:p>
        </w:tc>
      </w:tr>
      <w:tr>
        <w:tc>
          <w:tcPr/>
          <w:p>
            <w:pPr>
              <w:pStyle w:val="Compact"/>
              <w:jc w:val="left"/>
            </w:pPr>
            <w:r>
              <w:t xml:space="preserve">Plik źródłowy filmu i metadane</w:t>
            </w:r>
          </w:p>
        </w:tc>
        <w:tc>
          <w:tcPr/>
          <w:p>
            <w:pPr>
              <w:pStyle w:val="Compact"/>
              <w:jc w:val="left"/>
            </w:pPr>
            <w:r>
              <w:t xml:space="preserve">Jedyny materiał pozwalający na rzetelną analizę syntezy</w:t>
            </w:r>
          </w:p>
        </w:tc>
        <w:tc>
          <w:tcPr/>
          <w:p>
            <w:pPr>
              <w:pStyle w:val="Compact"/>
              <w:jc w:val="left"/>
            </w:pPr>
            <w:r>
              <w:t xml:space="preserve">Zabezpieczenie od platformy lub od sponsora</w:t>
            </w:r>
          </w:p>
        </w:tc>
      </w:tr>
      <w:tr>
        <w:tc>
          <w:tcPr/>
          <w:p>
            <w:pPr>
              <w:pStyle w:val="Compact"/>
              <w:jc w:val="left"/>
            </w:pPr>
            <w:r>
              <w:t xml:space="preserve">Pełne dane sponsora i rozliczenie kampanii</w:t>
            </w:r>
          </w:p>
        </w:tc>
        <w:tc>
          <w:tcPr/>
          <w:p>
            <w:pPr>
              <w:pStyle w:val="Compact"/>
              <w:jc w:val="left"/>
            </w:pPr>
            <w:r>
              <w:t xml:space="preserve">Ustalenie podmiotu i wykazanie koordynacji</w:t>
            </w:r>
          </w:p>
        </w:tc>
        <w:tc>
          <w:tcPr/>
          <w:p>
            <w:pPr>
              <w:pStyle w:val="Compact"/>
              <w:jc w:val="left"/>
            </w:pPr>
            <w:r>
              <w:t xml:space="preserve">Repozytorium reklam, faktury agencji, umowy</w:t>
            </w:r>
          </w:p>
        </w:tc>
      </w:tr>
      <w:tr>
        <w:tc>
          <w:tcPr/>
          <w:p>
            <w:pPr>
              <w:pStyle w:val="Compact"/>
              <w:jc w:val="left"/>
            </w:pPr>
            <w:r>
              <w:t xml:space="preserve">Powiązania agencji z komitetem kontrkandydata</w:t>
            </w:r>
          </w:p>
        </w:tc>
        <w:tc>
          <w:tcPr/>
          <w:p>
            <w:pPr>
              <w:pStyle w:val="Compact"/>
              <w:jc w:val="left"/>
            </w:pPr>
            <w:r>
              <w:t xml:space="preserve">Warunek zastosowania art. 132 § 3 i art. 149</w:t>
            </w:r>
          </w:p>
        </w:tc>
        <w:tc>
          <w:tcPr/>
          <w:p>
            <w:pPr>
              <w:pStyle w:val="Compact"/>
              <w:jc w:val="left"/>
            </w:pPr>
            <w:r>
              <w:t xml:space="preserve">Umowy, konfiguracja kont reklamowych, wspólne identyfikatory</w:t>
            </w:r>
          </w:p>
        </w:tc>
      </w:tr>
      <w:tr>
        <w:tc>
          <w:tcPr/>
          <w:p>
            <w:pPr>
              <w:pStyle w:val="Compact"/>
              <w:jc w:val="left"/>
            </w:pPr>
            <w:r>
              <w:t xml:space="preserve">Materiał źródłowy prawdziwego wywiadu</w:t>
            </w:r>
          </w:p>
        </w:tc>
        <w:tc>
          <w:tcPr/>
          <w:p>
            <w:pPr>
              <w:pStyle w:val="Compact"/>
              <w:jc w:val="left"/>
            </w:pPr>
            <w:r>
              <w:t xml:space="preserve">Pozwala wykazać przemontowanie bez analizy syntezy</w:t>
            </w:r>
          </w:p>
        </w:tc>
        <w:tc>
          <w:tcPr/>
          <w:p>
            <w:pPr>
              <w:pStyle w:val="Compact"/>
              <w:jc w:val="left"/>
            </w:pPr>
            <w:r>
              <w:t xml:space="preserve">Nagranie od nadawcy, zgoda producenta</w:t>
            </w:r>
          </w:p>
        </w:tc>
      </w:tr>
      <w:tr>
        <w:tc>
          <w:tcPr/>
          <w:p>
            <w:pPr>
              <w:pStyle w:val="Compact"/>
              <w:jc w:val="left"/>
            </w:pPr>
            <w:r>
              <w:t xml:space="preserve">Czy kandydatka ma prawa do wywiadu</w:t>
            </w:r>
          </w:p>
        </w:tc>
        <w:tc>
          <w:tcPr/>
          <w:p>
            <w:pPr>
              <w:pStyle w:val="Compact"/>
              <w:jc w:val="left"/>
            </w:pPr>
            <w:r>
              <w:t xml:space="preserve">Warunek legitymacji z art. 79 pr. aut.</w:t>
            </w:r>
          </w:p>
        </w:tc>
        <w:tc>
          <w:tcPr/>
          <w:p>
            <w:pPr>
              <w:pStyle w:val="Compact"/>
              <w:jc w:val="left"/>
            </w:pPr>
            <w:r>
              <w:t xml:space="preserve">Umowa z nadawcą, oświadczenie producenta</w:t>
            </w:r>
          </w:p>
        </w:tc>
      </w:tr>
      <w:tr>
        <w:tc>
          <w:tcPr/>
          <w:p>
            <w:pPr>
              <w:pStyle w:val="Compact"/>
              <w:jc w:val="left"/>
            </w:pPr>
            <w:r>
              <w:t xml:space="preserve">Zasięg dystrybucji i parametry targetowania</w:t>
            </w:r>
          </w:p>
        </w:tc>
        <w:tc>
          <w:tcPr/>
          <w:p>
            <w:pPr>
              <w:pStyle w:val="Compact"/>
              <w:jc w:val="left"/>
            </w:pPr>
            <w:r>
              <w:t xml:space="preserve">Ocena skali naruszenia i podstawy roszczeń</w:t>
            </w:r>
          </w:p>
        </w:tc>
        <w:tc>
          <w:tcPr/>
          <w:p>
            <w:pPr>
              <w:pStyle w:val="Compact"/>
              <w:jc w:val="left"/>
            </w:pPr>
            <w:r>
              <w:t xml:space="preserve">Statystyki kampanii, dane z panelu reklamowego</w:t>
            </w:r>
          </w:p>
        </w:tc>
      </w:tr>
      <w:tr>
        <w:tc>
          <w:tcPr/>
          <w:p>
            <w:pPr>
              <w:pStyle w:val="Compact"/>
              <w:jc w:val="left"/>
            </w:pPr>
            <w:r>
              <w:t xml:space="preserve">Godzina rozpoczęcia ciszy wyborczej wobec kolejnych udostępnień</w:t>
            </w:r>
          </w:p>
        </w:tc>
        <w:tc>
          <w:tcPr/>
          <w:p>
            <w:pPr>
              <w:pStyle w:val="Compact"/>
              <w:jc w:val="left"/>
            </w:pPr>
            <w:r>
              <w:t xml:space="preserve">Odrębny zarzut naruszenia art. 107 § 1</w:t>
            </w:r>
          </w:p>
        </w:tc>
        <w:tc>
          <w:tcPr/>
          <w:p>
            <w:pPr>
              <w:pStyle w:val="Compact"/>
              <w:jc w:val="left"/>
            </w:pPr>
            <w:r>
              <w:t xml:space="preserve">Zrzuty ekranu z sygnaturami czasu, logi platformy</w:t>
            </w:r>
          </w:p>
        </w:tc>
      </w:tr>
    </w:tbl>
    <w:bookmarkEnd w:id="56"/>
    <w:bookmarkStart w:id="57" w:name="proponowane-rozstrzygnięcie-2"/>
    <w:p>
      <w:pPr>
        <w:pStyle w:val="Heading2"/>
      </w:pPr>
      <w:r>
        <w:t xml:space="preserve">Proponowane rozstrzygnięcie</w:t>
      </w:r>
    </w:p>
    <w:p>
      <w:pPr>
        <w:pStyle w:val="FirstParagraph"/>
      </w:pPr>
      <w:r>
        <w:t xml:space="preserve">W trybie art. 111 Kodeksu wyborczego: uwzględnić wniosek wobec kontrkandydata i fundacji przez orzeczenie zakazu rozpowszechniania informacji o rzekomej obietnicy zmiany planu w zamian za finansowanie kampanii oraz nakazanie sprostowania i przeproszenia w tych samych kanałach i o tym samym zasięgu. Oprzeć rozstrzygnięcie na niewykazaniu prawdziwości informacji, nie na dowodzie syntezy. Orzec o wpłacie na rzecz organizacji pożytku publicznego w wysokości uwzględniającej zasięg i moment publikacji.</w:t>
      </w:r>
    </w:p>
    <w:p>
      <w:pPr>
        <w:pStyle w:val="BodyText"/>
      </w:pPr>
      <w:r>
        <w:t xml:space="preserve">Oddalić wniosek w części skierowanej przeciwko platformie jako podmiotowi nieprowadzącemu agitacji; wskazać właściwą drogę w reżimie usług cyfrowych.</w:t>
      </w:r>
    </w:p>
    <w:p>
      <w:pPr>
        <w:pStyle w:val="BodyText"/>
      </w:pPr>
      <w:r>
        <w:t xml:space="preserve">Oddalić żądania oparte na prawie autorskim do wywiadu wobec niewykazania legitymacji wnioskodawczyni; nie przesądza to o losie roszczeń uprawnionego z tych praw.</w:t>
      </w:r>
    </w:p>
    <w:p>
      <w:pPr>
        <w:pStyle w:val="BodyText"/>
      </w:pPr>
      <w:r>
        <w:t xml:space="preserve">Zabezpieczyć dowody na potrzeby postępowań następczych: zobowiązać platformę do zachowania i wydania pliku źródłowego, danych reklamy i danych sponsora.</w:t>
      </w:r>
    </w:p>
    <w:p>
      <w:pPr>
        <w:pStyle w:val="BodyText"/>
      </w:pPr>
      <w:r>
        <w:t xml:space="preserve">Skierować zawiadomienia: do organu wyborczego w zakresie finansowania kampanii, do organu nadzoru nad usługami cyfrowymi w zakresie obowiązków platformy oraz w zakresie obowiązków wynikających z rozporządzenia o przejrzystości reklamy politycznej.</w:t>
      </w:r>
    </w:p>
    <w:p>
      <w:pPr>
        <w:pStyle w:val="BodyText"/>
      </w:pPr>
      <w:r>
        <w:t xml:space="preserve">Roszczenia z tytułu naruszenia dóbr osobistych i wizerunku rozpoznać w trybie zwykłym — tryb wyborczy nie zastępuje ochrony cywilnej i nie wyczerpuje jej skutków.</w:t>
      </w:r>
    </w:p>
    <w:bookmarkEnd w:id="57"/>
    <w:bookmarkStart w:id="58" w:name="zweryfikowane-pozycje-źródłowe-pl-07"/>
    <w:p>
      <w:pPr>
        <w:pStyle w:val="Heading2"/>
      </w:pPr>
      <w:r>
        <w:t xml:space="preserve">Zweryfikowane pozycje źródłowe (PL-07)</w:t>
      </w:r>
    </w:p>
    <w:p>
      <w:pPr>
        <w:numPr>
          <w:ilvl w:val="0"/>
          <w:numId w:val="1005"/>
        </w:numPr>
        <w:pStyle w:val="Compact"/>
      </w:pPr>
      <w:r>
        <w:t xml:space="preserve">Ustawa z dnia 5 stycznia 2011 r. — Kodeks wyborczy, Dz.U. 2011 nr 21 poz. 112 — sprawdzono art. 105 § 1–2, art. 106 § 1, art. 107 § 1, art. 109 § 1–3, art. 111 § 1–3 (katalog żądań, termin dwudziestu czterech godzin, zażalenie), art. 132 § 1–4, art. 149 § 1–4.</w:t>
      </w:r>
    </w:p>
    <w:p>
      <w:pPr>
        <w:numPr>
          <w:ilvl w:val="0"/>
          <w:numId w:val="1005"/>
        </w:numPr>
        <w:pStyle w:val="Compact"/>
      </w:pPr>
      <w:r>
        <w:t xml:space="preserve">Ustawa z dnia 4 lutego 1994 r. o prawie autorskim i prawach pokrewnych, Dz.U. 1994 nr 24 poz. 83 — sprawdzono art. 81 ust. 1 i ust. 2 pkt 1–2.</w:t>
      </w:r>
    </w:p>
    <w:p>
      <w:pPr>
        <w:numPr>
          <w:ilvl w:val="0"/>
          <w:numId w:val="1005"/>
        </w:numPr>
        <w:pStyle w:val="Compact"/>
      </w:pPr>
      <w:r>
        <w:t xml:space="preserve">Ustawa z dnia 23 kwietnia 1964 r. — Kodeks cywilny, Dz.U. 1964 nr 16 poz. 93 — sprawdzono art. 448 § 1 w brzmieniu obowiązującym.</w:t>
      </w:r>
    </w:p>
    <w:p>
      <w:pPr>
        <w:numPr>
          <w:ilvl w:val="0"/>
          <w:numId w:val="1005"/>
        </w:numPr>
        <w:pStyle w:val="Compact"/>
      </w:pPr>
      <w:r>
        <w:t xml:space="preserve">Rozporządzenie (UE) 2024/900 w sprawie przejrzystości i targetowania reklamy politycznej — potwierdzono bezpośrednie stosowanie większości obowiązków od 10 października 2025 r., obowiązek oznakowania i ogłoszenia o przejrzystości obejmującego tożsamość sponsora i sposób finansowania oraz to, że pełne wdrożenie w Polsce wymaga ustawy krajowej wyznaczającej organ.</w:t>
      </w:r>
    </w:p>
    <w:p>
      <w:pPr>
        <w:numPr>
          <w:ilvl w:val="0"/>
          <w:numId w:val="1005"/>
        </w:numPr>
        <w:pStyle w:val="Compact"/>
      </w:pPr>
      <w:r>
        <w:t xml:space="preserve">Akt w sprawie sztucznej inteligencji, rozporządzenie (UE) 2024/1689, wraz z rozporządzeniem (UE) 2026/1744 — potwierdzono, że obowiązki przejrzystości z art. 50, obejmujące ujawnianie treści typu deepfake, są stosowane od 2 sierpnia 2026 r. i nie zostały objęte przesunięciem terminów.</w:t>
      </w:r>
    </w:p>
    <w:p>
      <w:pPr>
        <w:pStyle w:val="FirstParagraph"/>
      </w:pPr>
      <w:r>
        <w:t xml:space="preserve">Nie przypisano numerom przepisów i przedstawiono jako standard doktrynalny: przepisy aktu o usługach cyfrowych dotyczące mechanizmu zgłaszania i działania, warunkowego wyłączenia odpowiedzialności hostingodawcy, ryzyk systemowych i repozytorium reklam; ochronę głosu jako dobra osobistego; zasady oceny mocy dowodowej opinii prywatnej. Wymagają samodzielnego potwierdzenia w tekstach źródłowych i w orzecznictwie.</w:t>
      </w:r>
    </w:p>
    <w:bookmarkEnd w:id="58"/>
    <w:bookmarkEnd w:id="59"/>
    <w:bookmarkStart w:id="60" w:name="nota-końcowa-do-banku-kazusów"/>
    <w:p>
      <w:pPr>
        <w:pStyle w:val="Heading1"/>
      </w:pPr>
      <w:r>
        <w:t xml:space="preserve">Nota końcowa do banku kazusów</w:t>
      </w:r>
    </w:p>
    <w:p>
      <w:pPr>
        <w:pStyle w:val="FirstParagraph"/>
      </w:pPr>
      <w:r>
        <w:t xml:space="preserve">Partia 4 zamyka czternaście kazusów. Trzy obserwacje warte odnotowania przy porównaniu z wersją generowaną przy użyciu skilli prawnych.</w:t>
      </w:r>
    </w:p>
    <w:p>
      <w:pPr>
        <w:pStyle w:val="BodyText"/>
      </w:pPr>
      <w:r>
        <w:t xml:space="preserve">Rozbieżność między intuicją a tekstem. W części polskiej weryfikacja zmieniła wynik w siedmiu punktach na siedem kazusów. Najbardziej pouczające są te, w których przepis okazał się węższy, niż sugeruje jego funkcja: katalog dziedzin w ustawie o sygnalistach, wymóg istnienia okoliczności w dniu wydania decyzji przy wznowieniu, brak fundacji rodzinnej w wyliczeniu podmiotów o zdolności upadłościowej, zakaz odnoszenia kryteriów oceny ofert do właściwości wykonawcy. Żadnego z tych ograniczeń nie da się odtworzyć z ogólnej znajomości instytucji.</w:t>
      </w:r>
    </w:p>
    <w:p>
      <w:pPr>
        <w:pStyle w:val="BodyText"/>
      </w:pPr>
      <w:r>
        <w:t xml:space="preserve">Ryzyko czasowe jako odrębna kategoria błędu. Trzy kazusy — PL-01, PL-04 i PL-07 — dotykają aktu w sprawie sztucznej inteligencji, a odpowiedź jest w każdym inna, bo różne przepisy tego samego rozporządzenia są stosowane od różnych dat, a rozporządzenie 2026/1744 część z nich przesunęło. Rozwiązanie oparte na „AI Act obowiązuje” byłoby w PL-01 i PL-04 błędne, a w PL-07 trafne. Jest to rodzaj wady, którego kontrola wewnętrznej spójności wywodu nie wykrywa — wykrywa go wyłącznie sprawdzenie daty stosowania.</w:t>
      </w:r>
    </w:p>
    <w:p>
      <w:pPr>
        <w:pStyle w:val="BodyText"/>
      </w:pPr>
      <w:r>
        <w:t xml:space="preserve">Struktura rozstrzygnięcia a struktura kazusu. W czterech z siedmiu kazusów polskich najmocniejszy zarzut nie pokrywa się z tym, wokół którego zbudowano stan faktyczny. W PL-02 sprawa wygląda na spór o powódź, a rozstrzyga się na podziale przedsięwzięcia. W PL-03 wygląda na spór o zachowek, a rozstrzyga się na art. 37 Kodeksu rodzinnego i opiekuńczego. W PL-05 wygląda na spór o kryterium, a rozstrzyga się na jego mierzalności. W PL-07 wygląda na spór o deepfake, a rozstrzyga się na rozkładzie ciężaru wykazania prawdziwości. Rozpoznanie tej rozbieżności jest właściwą treścią ćwiczenia.</w:t>
      </w:r>
    </w:p>
    <w:p>
      <w:pPr>
        <w:pStyle w:val="BodyText"/>
      </w:pPr>
      <w:r>
        <w:t xml:space="preserve">Czego nie zrobiono w całym cyklu. Nie uruchomiono routera prawnego ani skilli dziedzinowych, nie przeprowadzono walidacji hybrydowej dokumentu, nie zastosowano kwalifikatora karnomaterialnego przy K-04 i PL-06, nie sięgnięto do Dziennika Urzędowego Unii Europejskiej. Weryfikacja krajowa objęła teksty ujednolicone w rejestrze ELI i była punktowa: sprawdzono brzmienie przepisów przywołanych z numerem, natomiast twierdzenia opisane jako standard doktrynalny pozostawiono bez przypisania. Rozróżnienie to jest zamierzone i stanowi materiał do porównania z wersją skillową.</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kazusów wieloaspektowych — arkusz odpowiedzi</dc:title>
  <dc:creator/>
  <dc:language>pl-PL</dc:language>
  <cp:keywords/>
  <dcterms:created xsi:type="dcterms:W3CDTF">2026-09-03T06:57:48Z</dcterms:created>
  <dcterms:modified xsi:type="dcterms:W3CDTF">2026-09-03T06:57:48Z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Partia 4: PL-05 – PL-07 (część polska)</vt:lpwstr>
  </property>
</Properties>
</file>