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ARKUSZ ODPOWIEDZI — BANK KAZUSÓW WIELOASPEKTOWYCH</w:t>
      </w:r>
    </w:p>
    <w:p>
      <w:pPr>
        <w:spacing w:after="120"/>
        <w:jc w:val="left"/>
      </w:pPr>
      <w:r>
        <w:rPr>
          <w:b/>
          <w:bCs/>
          <w:i w:val="false"/>
          <w:iCs w:val="false"/>
          <w:sz w:val="22"/>
          <w:szCs w:val="22"/>
        </w:rPr>
        <w:t xml:space="preserve">Partia P4 — kazusy PL-04 i PL-05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E8E8" w:val="clear"/>
          </w:tcPr>
          <w:p>
            <w:pPr>
              <w:spacing w:after="40"/>
            </w:pPr>
            <w:r>
              <w:rPr>
                <w:b/>
                <w:bCs/>
                <w:sz w:val="20"/>
                <w:szCs w:val="20"/>
              </w:rPr>
              <w:t xml:space="preserve">Pole</w:t>
            </w:r>
          </w:p>
        </w:tc>
        <w:tc>
          <w:tcPr>
            <w:tcW w:type="dxa" w:w="6400"/>
            <w:shd w:fill="E8E8E8" w:val="clear"/>
          </w:tcPr>
          <w:p>
            <w:pPr>
              <w:spacing w:after="40"/>
            </w:pPr>
            <w:r>
              <w:rPr>
                <w:b/>
                <w:bCs/>
                <w:sz w:val="20"/>
                <w:szCs w:val="20"/>
              </w:rPr>
              <w:t xml:space="preserve">Wartość</w:t>
            </w:r>
          </w:p>
        </w:tc>
      </w:tr>
      <w:tr>
        <w:tc>
          <w:tcPr>
            <w:tcW w:type="dxa" w:w="2600"/>
          </w:tcPr>
          <w:p>
            <w:pPr>
              <w:spacing w:after="40"/>
            </w:pPr>
            <w:r>
              <w:rPr>
                <w:b w:val="false"/>
                <w:bCs w:val="false"/>
                <w:sz w:val="20"/>
                <w:szCs w:val="20"/>
              </w:rPr>
              <w:t xml:space="preserve">Narzędzie</w:t>
            </w:r>
          </w:p>
        </w:tc>
        <w:tc>
          <w:tcPr>
            <w:tcW w:type="dxa" w:w="6400"/>
          </w:tcPr>
          <w:p>
            <w:pPr>
              <w:spacing w:after="40"/>
            </w:pPr>
            <w:r>
              <w:rPr>
                <w:b w:val="false"/>
                <w:bCs w:val="false"/>
                <w:sz w:val="20"/>
                <w:szCs w:val="20"/>
              </w:rPr>
              <w:t xml:space="preserve">Claude Opus 5 (Anthropic), tryb high</w:t>
            </w:r>
          </w:p>
        </w:tc>
      </w:tr>
      <w:tr>
        <w:tc>
          <w:tcPr>
            <w:tcW w:type="dxa" w:w="2600"/>
          </w:tcPr>
          <w:p>
            <w:pPr>
              <w:spacing w:after="40"/>
            </w:pPr>
            <w:r>
              <w:rPr>
                <w:b w:val="false"/>
                <w:bCs w:val="false"/>
                <w:sz w:val="20"/>
                <w:szCs w:val="20"/>
              </w:rPr>
              <w:t xml:space="preserve">System</w:t>
            </w:r>
          </w:p>
        </w:tc>
        <w:tc>
          <w:tcPr>
            <w:tcW w:type="dxa" w:w="6400"/>
          </w:tcPr>
          <w:p>
            <w:pPr>
              <w:spacing w:after="40"/>
            </w:pPr>
            <w:r>
              <w:rPr>
                <w:b w:val="false"/>
                <w:bCs w:val="false"/>
                <w:sz w:val="20"/>
                <w:szCs w:val="20"/>
              </w:rPr>
              <w:t xml:space="preserve">prawny-router-v3 v3.37 (Lex Machina)</w:t>
            </w:r>
          </w:p>
        </w:tc>
      </w:tr>
      <w:tr>
        <w:tc>
          <w:tcPr>
            <w:tcW w:type="dxa" w:w="2600"/>
          </w:tcPr>
          <w:p>
            <w:pPr>
              <w:spacing w:after="40"/>
            </w:pPr>
            <w:r>
              <w:rPr>
                <w:b w:val="false"/>
                <w:bCs w:val="false"/>
                <w:sz w:val="20"/>
                <w:szCs w:val="20"/>
              </w:rPr>
              <w:t xml:space="preserve">Data opracowania</w:t>
            </w:r>
          </w:p>
        </w:tc>
        <w:tc>
          <w:tcPr>
            <w:tcW w:type="dxa" w:w="6400"/>
          </w:tcPr>
          <w:p>
            <w:pPr>
              <w:spacing w:after="40"/>
            </w:pPr>
            <w:r>
              <w:rPr>
                <w:b w:val="false"/>
                <w:bCs w:val="false"/>
                <w:sz w:val="20"/>
                <w:szCs w:val="20"/>
              </w:rPr>
              <w:t xml:space="preserve">2026-09-02</w:t>
            </w:r>
          </w:p>
        </w:tc>
      </w:tr>
      <w:tr>
        <w:tc>
          <w:tcPr>
            <w:tcW w:type="dxa" w:w="2600"/>
          </w:tcPr>
          <w:p>
            <w:pPr>
              <w:spacing w:after="40"/>
            </w:pPr>
            <w:r>
              <w:rPr>
                <w:b w:val="false"/>
                <w:bCs w:val="false"/>
                <w:sz w:val="20"/>
                <w:szCs w:val="20"/>
              </w:rPr>
              <w:t xml:space="preserve">Materiał źródłowy</w:t>
            </w:r>
          </w:p>
        </w:tc>
        <w:tc>
          <w:tcPr>
            <w:tcW w:type="dxa" w:w="6400"/>
          </w:tcPr>
          <w:p>
            <w:pPr>
              <w:spacing w:after="40"/>
            </w:pPr>
            <w:r>
              <w:rPr>
                <w:b w:val="false"/>
                <w:bCs w:val="false"/>
                <w:sz w:val="20"/>
                <w:szCs w:val="20"/>
              </w:rPr>
              <w:t xml:space="preserve">Baza_kazusow_wieloaspektowych.docx (14 kazusów)</w:t>
            </w:r>
          </w:p>
        </w:tc>
      </w:tr>
      <w:tr>
        <w:tc>
          <w:tcPr>
            <w:tcW w:type="dxa" w:w="2600"/>
          </w:tcPr>
          <w:p>
            <w:pPr>
              <w:spacing w:after="40"/>
            </w:pPr>
            <w:r>
              <w:rPr>
                <w:b w:val="false"/>
                <w:bCs w:val="false"/>
                <w:sz w:val="20"/>
                <w:szCs w:val="20"/>
              </w:rPr>
              <w:t xml:space="preserve">Zakres tego pliku</w:t>
            </w:r>
          </w:p>
        </w:tc>
        <w:tc>
          <w:tcPr>
            <w:tcW w:type="dxa" w:w="6400"/>
          </w:tcPr>
          <w:p>
            <w:pPr>
              <w:spacing w:after="40"/>
            </w:pPr>
            <w:r>
              <w:rPr>
                <w:b w:val="false"/>
                <w:bCs w:val="false"/>
                <w:sz w:val="20"/>
                <w:szCs w:val="20"/>
              </w:rPr>
              <w:t xml:space="preserve">PL-04 „Szpital podpowiada diagnozę", PL-05 „Chmura dla metropolii"</w:t>
            </w:r>
          </w:p>
        </w:tc>
      </w:tr>
      <w:tr>
        <w:tc>
          <w:tcPr>
            <w:tcW w:type="dxa" w:w="2600"/>
          </w:tcPr>
          <w:p>
            <w:pPr>
              <w:spacing w:after="40"/>
            </w:pPr>
            <w:r>
              <w:rPr>
                <w:b w:val="false"/>
                <w:bCs w:val="false"/>
                <w:sz w:val="20"/>
                <w:szCs w:val="20"/>
              </w:rPr>
              <w:t xml:space="preserve">Reżim weryfikacji</w:t>
            </w:r>
          </w:p>
        </w:tc>
        <w:tc>
          <w:tcPr>
            <w:tcW w:type="dxa" w:w="6400"/>
          </w:tcPr>
          <w:p>
            <w:pPr>
              <w:spacing w:after="40"/>
            </w:pPr>
            <w:r>
              <w:rPr>
                <w:b w:val="false"/>
                <w:bCs w:val="false"/>
                <w:sz w:val="20"/>
                <w:szCs w:val="20"/>
              </w:rPr>
              <w:t xml:space="preserve">HARD GATE aktywny; teksty jednolite pobrane z api.sejm.gov.pl (ELI) — RZĄD 1</w:t>
            </w:r>
          </w:p>
        </w:tc>
      </w:tr>
      <w:tr>
        <w:tc>
          <w:tcPr>
            <w:tcW w:type="dxa" w:w="2600"/>
          </w:tcPr>
          <w:p>
            <w:pPr>
              <w:spacing w:after="40"/>
            </w:pPr>
            <w:r>
              <w:rPr>
                <w:b w:val="false"/>
                <w:bCs w:val="false"/>
                <w:sz w:val="20"/>
                <w:szCs w:val="20"/>
              </w:rPr>
              <w:t xml:space="preserve">Tryb</w:t>
            </w:r>
          </w:p>
        </w:tc>
        <w:tc>
          <w:tcPr>
            <w:tcW w:type="dxa" w:w="6400"/>
          </w:tcPr>
          <w:p>
            <w:pPr>
              <w:spacing w:after="40"/>
            </w:pPr>
            <w:r>
              <w:rPr>
                <w:b w:val="false"/>
                <w:bCs w:val="false"/>
                <w:sz w:val="20"/>
                <w:szCs w:val="20"/>
              </w:rPr>
              <w:t xml:space="preserve">PRAWNIK; PRIMARY: analiza-sadowa-v6</w:t>
            </w:r>
          </w:p>
        </w:tc>
      </w:tr>
    </w:tbl>
    <w:p>
      <w:pPr>
        <w:spacing w:after="120"/>
        <w:jc w:val="left"/>
      </w:pPr>
      <w:r>
        <w:rPr>
          <w:b w:val="false"/>
          <w:bCs w:val="false"/>
          <w:i w:val="false"/>
          <w:iCs w:val="false"/>
          <w:sz w:val="22"/>
          <w:szCs w:val="22"/>
        </w:rPr>
        <w:t xml:space="preserve"/>
      </w:r>
    </w:p>
    <w:p>
      <w:pPr>
        <w:pStyle w:val="Heading2"/>
        <w:spacing w:after="100" w:before="240"/>
      </w:pPr>
      <w:r>
        <w:t xml:space="preserve">Stan pokrycia banku kazusów (rejestr RPK)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2800"/>
        <w:gridCol w:w="900"/>
      </w:tblGrid>
      <w:tr>
        <w:tc>
          <w:tcPr>
            <w:tcW w:type="dxa" w:w="900"/>
            <w:shd w:fill="E8E8E8" w:val="clear"/>
          </w:tcPr>
          <w:p>
            <w:pPr>
              <w:spacing w:after="40"/>
            </w:pPr>
            <w:r>
              <w:rPr>
                <w:b/>
                <w:bCs/>
                <w:sz w:val="20"/>
                <w:szCs w:val="20"/>
              </w:rPr>
              <w:t xml:space="preserve">Kod</w:t>
            </w:r>
          </w:p>
        </w:tc>
        <w:tc>
          <w:tcPr>
            <w:tcW w:type="dxa" w:w="3900"/>
            <w:shd w:fill="E8E8E8" w:val="clear"/>
          </w:tcPr>
          <w:p>
            <w:pPr>
              <w:spacing w:after="40"/>
            </w:pPr>
            <w:r>
              <w:rPr>
                <w:b/>
                <w:bCs/>
                <w:sz w:val="20"/>
                <w:szCs w:val="20"/>
              </w:rPr>
              <w:t xml:space="preserve">Kazus</w:t>
            </w:r>
          </w:p>
        </w:tc>
        <w:tc>
          <w:tcPr>
            <w:tcW w:type="dxa" w:w="2800"/>
            <w:shd w:fill="E8E8E8" w:val="clear"/>
          </w:tcPr>
          <w:p>
            <w:pPr>
              <w:spacing w:after="40"/>
            </w:pPr>
            <w:r>
              <w:rPr>
                <w:b/>
                <w:bCs/>
                <w:sz w:val="20"/>
                <w:szCs w:val="20"/>
              </w:rPr>
              <w:t xml:space="preserve">Status</w:t>
            </w:r>
          </w:p>
        </w:tc>
        <w:tc>
          <w:tcPr>
            <w:tcW w:type="dxa" w:w="900"/>
            <w:shd w:fill="E8E8E8" w:val="clear"/>
          </w:tcPr>
          <w:p>
            <w:pPr>
              <w:spacing w:after="40"/>
            </w:pPr>
            <w:r>
              <w:rPr>
                <w:b/>
                <w:bCs/>
                <w:sz w:val="20"/>
                <w:szCs w:val="20"/>
              </w:rPr>
              <w:t xml:space="preserve">Partia</w:t>
            </w:r>
          </w:p>
        </w:tc>
      </w:tr>
      <w:tr>
        <w:tc>
          <w:tcPr>
            <w:tcW w:type="dxa" w:w="900"/>
          </w:tcPr>
          <w:p>
            <w:pPr>
              <w:spacing w:after="40"/>
            </w:pPr>
            <w:r>
              <w:rPr>
                <w:b w:val="false"/>
                <w:bCs w:val="false"/>
                <w:sz w:val="20"/>
                <w:szCs w:val="20"/>
              </w:rPr>
              <w:t xml:space="preserve">K-01</w:t>
            </w:r>
          </w:p>
        </w:tc>
        <w:tc>
          <w:tcPr>
            <w:tcW w:type="dxa" w:w="3900"/>
          </w:tcPr>
          <w:p>
            <w:pPr>
              <w:spacing w:after="40"/>
            </w:pPr>
            <w:r>
              <w:rPr>
                <w:b w:val="false"/>
                <w:bCs w:val="false"/>
                <w:sz w:val="20"/>
                <w:szCs w:val="20"/>
              </w:rPr>
              <w:t xml:space="preserve">Heliox p. Królestwu Solarii</w:t>
            </w:r>
          </w:p>
        </w:tc>
        <w:tc>
          <w:tcPr>
            <w:tcW w:type="dxa" w:w="2800"/>
          </w:tcPr>
          <w:p>
            <w:pPr>
              <w:spacing w:after="40"/>
            </w:pPr>
            <w:r>
              <w:rPr>
                <w:b w:val="false"/>
                <w:bCs w:val="false"/>
                <w:sz w:val="20"/>
                <w:szCs w:val="20"/>
              </w:rPr>
              <w:t xml:space="preserve">ZWERYFIKOWANE</w:t>
            </w:r>
          </w:p>
        </w:tc>
        <w:tc>
          <w:tcPr>
            <w:tcW w:type="dxa" w:w="900"/>
          </w:tcPr>
          <w:p>
            <w:pPr>
              <w:spacing w:after="40"/>
            </w:pPr>
            <w:r>
              <w:rPr>
                <w:b w:val="false"/>
                <w:bCs w:val="false"/>
                <w:sz w:val="20"/>
                <w:szCs w:val="20"/>
              </w:rPr>
              <w:t xml:space="preserve">P1</w:t>
            </w:r>
          </w:p>
        </w:tc>
      </w:tr>
      <w:tr>
        <w:tc>
          <w:tcPr>
            <w:tcW w:type="dxa" w:w="900"/>
          </w:tcPr>
          <w:p>
            <w:pPr>
              <w:spacing w:after="40"/>
            </w:pPr>
            <w:r>
              <w:rPr>
                <w:b w:val="false"/>
                <w:bCs w:val="false"/>
                <w:sz w:val="20"/>
                <w:szCs w:val="20"/>
              </w:rPr>
              <w:t xml:space="preserve">K-02</w:t>
            </w:r>
          </w:p>
        </w:tc>
        <w:tc>
          <w:tcPr>
            <w:tcW w:type="dxa" w:w="3900"/>
          </w:tcPr>
          <w:p>
            <w:pPr>
              <w:spacing w:after="40"/>
            </w:pPr>
            <w:r>
              <w:rPr>
                <w:b w:val="false"/>
                <w:bCs w:val="false"/>
                <w:sz w:val="20"/>
                <w:szCs w:val="20"/>
              </w:rPr>
              <w:t xml:space="preserve">Spór o Wąwóz Gordyjski</w:t>
            </w:r>
          </w:p>
        </w:tc>
        <w:tc>
          <w:tcPr>
            <w:tcW w:type="dxa" w:w="2800"/>
          </w:tcPr>
          <w:p>
            <w:pPr>
              <w:spacing w:after="40"/>
            </w:pPr>
            <w:r>
              <w:rPr>
                <w:b w:val="false"/>
                <w:bCs w:val="false"/>
                <w:sz w:val="20"/>
                <w:szCs w:val="20"/>
              </w:rPr>
              <w:t xml:space="preserve">ZWERYFIKOWANE</w:t>
            </w:r>
          </w:p>
        </w:tc>
        <w:tc>
          <w:tcPr>
            <w:tcW w:type="dxa" w:w="900"/>
          </w:tcPr>
          <w:p>
            <w:pPr>
              <w:spacing w:after="40"/>
            </w:pPr>
            <w:r>
              <w:rPr>
                <w:b w:val="false"/>
                <w:bCs w:val="false"/>
                <w:sz w:val="20"/>
                <w:szCs w:val="20"/>
              </w:rPr>
              <w:t xml:space="preserve">P1</w:t>
            </w:r>
          </w:p>
        </w:tc>
      </w:tr>
      <w:tr>
        <w:tc>
          <w:tcPr>
            <w:tcW w:type="dxa" w:w="900"/>
          </w:tcPr>
          <w:p>
            <w:pPr>
              <w:spacing w:after="40"/>
            </w:pPr>
            <w:r>
              <w:rPr>
                <w:b w:val="false"/>
                <w:bCs w:val="false"/>
                <w:sz w:val="20"/>
                <w:szCs w:val="20"/>
              </w:rPr>
              <w:t xml:space="preserve">K-03</w:t>
            </w:r>
          </w:p>
        </w:tc>
        <w:tc>
          <w:tcPr>
            <w:tcW w:type="dxa" w:w="3900"/>
          </w:tcPr>
          <w:p>
            <w:pPr>
              <w:spacing w:after="40"/>
            </w:pPr>
            <w:r>
              <w:rPr>
                <w:b w:val="false"/>
                <w:bCs w:val="false"/>
                <w:sz w:val="20"/>
                <w:szCs w:val="20"/>
              </w:rPr>
              <w:t xml:space="preserve">Vitoria i Graviola p. Uxi</w:t>
            </w:r>
          </w:p>
        </w:tc>
        <w:tc>
          <w:tcPr>
            <w:tcW w:type="dxa" w:w="2800"/>
          </w:tcPr>
          <w:p>
            <w:pPr>
              <w:spacing w:after="40"/>
            </w:pPr>
            <w:r>
              <w:rPr>
                <w:b w:val="false"/>
                <w:bCs w:val="false"/>
                <w:sz w:val="20"/>
                <w:szCs w:val="20"/>
              </w:rPr>
              <w:t xml:space="preserve">ZWERYFIKOWANE</w:t>
            </w:r>
          </w:p>
        </w:tc>
        <w:tc>
          <w:tcPr>
            <w:tcW w:type="dxa" w:w="900"/>
          </w:tcPr>
          <w:p>
            <w:pPr>
              <w:spacing w:after="40"/>
            </w:pPr>
            <w:r>
              <w:rPr>
                <w:b w:val="false"/>
                <w:bCs w:val="false"/>
                <w:sz w:val="20"/>
                <w:szCs w:val="20"/>
              </w:rPr>
              <w:t xml:space="preserve">P1</w:t>
            </w:r>
          </w:p>
        </w:tc>
      </w:tr>
      <w:tr>
        <w:tc>
          <w:tcPr>
            <w:tcW w:type="dxa" w:w="900"/>
          </w:tcPr>
          <w:p>
            <w:pPr>
              <w:spacing w:after="40"/>
            </w:pPr>
            <w:r>
              <w:rPr>
                <w:b w:val="false"/>
                <w:bCs w:val="false"/>
                <w:sz w:val="20"/>
                <w:szCs w:val="20"/>
              </w:rPr>
              <w:t xml:space="preserve">K-04</w:t>
            </w:r>
          </w:p>
        </w:tc>
        <w:tc>
          <w:tcPr>
            <w:tcW w:type="dxa" w:w="3900"/>
          </w:tcPr>
          <w:p>
            <w:pPr>
              <w:spacing w:after="40"/>
            </w:pPr>
            <w:r>
              <w:rPr>
                <w:b w:val="false"/>
                <w:bCs w:val="false"/>
                <w:sz w:val="20"/>
                <w:szCs w:val="20"/>
              </w:rPr>
              <w:t xml:space="preserve">Prokurator p. Drogannie Syrax</w:t>
            </w:r>
          </w:p>
        </w:tc>
        <w:tc>
          <w:tcPr>
            <w:tcW w:type="dxa" w:w="2800"/>
          </w:tcPr>
          <w:p>
            <w:pPr>
              <w:spacing w:after="40"/>
            </w:pPr>
            <w:r>
              <w:rPr>
                <w:b w:val="false"/>
                <w:bCs w:val="false"/>
                <w:sz w:val="20"/>
                <w:szCs w:val="20"/>
              </w:rPr>
              <w:t xml:space="preserve">ZWERYFIKOWANE</w:t>
            </w:r>
          </w:p>
        </w:tc>
        <w:tc>
          <w:tcPr>
            <w:tcW w:type="dxa" w:w="900"/>
          </w:tcPr>
          <w:p>
            <w:pPr>
              <w:spacing w:after="40"/>
            </w:pPr>
            <w:r>
              <w:rPr>
                <w:b w:val="false"/>
                <w:bCs w:val="false"/>
                <w:sz w:val="20"/>
                <w:szCs w:val="20"/>
              </w:rPr>
              <w:t xml:space="preserve">P2</w:t>
            </w:r>
          </w:p>
        </w:tc>
      </w:tr>
      <w:tr>
        <w:tc>
          <w:tcPr>
            <w:tcW w:type="dxa" w:w="900"/>
          </w:tcPr>
          <w:p>
            <w:pPr>
              <w:spacing w:after="40"/>
            </w:pPr>
            <w:r>
              <w:rPr>
                <w:b w:val="false"/>
                <w:bCs w:val="false"/>
                <w:sz w:val="20"/>
                <w:szCs w:val="20"/>
              </w:rPr>
              <w:t xml:space="preserve">K-05</w:t>
            </w:r>
          </w:p>
        </w:tc>
        <w:tc>
          <w:tcPr>
            <w:tcW w:type="dxa" w:w="3900"/>
          </w:tcPr>
          <w:p>
            <w:pPr>
              <w:spacing w:after="40"/>
            </w:pPr>
            <w:r>
              <w:rPr>
                <w:b w:val="false"/>
                <w:bCs w:val="false"/>
                <w:sz w:val="20"/>
                <w:szCs w:val="20"/>
              </w:rPr>
              <w:t xml:space="preserve">Orchis Worldwide p. Darwin Natural Food</w:t>
            </w:r>
          </w:p>
        </w:tc>
        <w:tc>
          <w:tcPr>
            <w:tcW w:type="dxa" w:w="2800"/>
          </w:tcPr>
          <w:p>
            <w:pPr>
              <w:spacing w:after="40"/>
            </w:pPr>
            <w:r>
              <w:rPr>
                <w:b w:val="false"/>
                <w:bCs w:val="false"/>
                <w:sz w:val="20"/>
                <w:szCs w:val="20"/>
              </w:rPr>
              <w:t xml:space="preserve">ZWERYFIKOWANE</w:t>
            </w:r>
          </w:p>
        </w:tc>
        <w:tc>
          <w:tcPr>
            <w:tcW w:type="dxa" w:w="900"/>
          </w:tcPr>
          <w:p>
            <w:pPr>
              <w:spacing w:after="40"/>
            </w:pPr>
            <w:r>
              <w:rPr>
                <w:b w:val="false"/>
                <w:bCs w:val="false"/>
                <w:sz w:val="20"/>
                <w:szCs w:val="20"/>
              </w:rPr>
              <w:t xml:space="preserve">P2</w:t>
            </w:r>
          </w:p>
        </w:tc>
      </w:tr>
      <w:tr>
        <w:tc>
          <w:tcPr>
            <w:tcW w:type="dxa" w:w="900"/>
          </w:tcPr>
          <w:p>
            <w:pPr>
              <w:spacing w:after="40"/>
            </w:pPr>
            <w:r>
              <w:rPr>
                <w:b w:val="false"/>
                <w:bCs w:val="false"/>
                <w:sz w:val="20"/>
                <w:szCs w:val="20"/>
              </w:rPr>
              <w:t xml:space="preserve">K-06</w:t>
            </w:r>
          </w:p>
        </w:tc>
        <w:tc>
          <w:tcPr>
            <w:tcW w:type="dxa" w:w="3900"/>
          </w:tcPr>
          <w:p>
            <w:pPr>
              <w:spacing w:after="40"/>
            </w:pPr>
            <w:r>
              <w:rPr>
                <w:b w:val="false"/>
                <w:bCs w:val="false"/>
                <w:sz w:val="20"/>
                <w:szCs w:val="20"/>
              </w:rPr>
              <w:t xml:space="preserve">Inkaton p. Accadii</w:t>
            </w:r>
          </w:p>
        </w:tc>
        <w:tc>
          <w:tcPr>
            <w:tcW w:type="dxa" w:w="2800"/>
          </w:tcPr>
          <w:p>
            <w:pPr>
              <w:spacing w:after="40"/>
            </w:pPr>
            <w:r>
              <w:rPr>
                <w:b w:val="false"/>
                <w:bCs w:val="false"/>
                <w:sz w:val="20"/>
                <w:szCs w:val="20"/>
              </w:rPr>
              <w:t xml:space="preserve">ZWERYFIKOWANE</w:t>
            </w:r>
          </w:p>
        </w:tc>
        <w:tc>
          <w:tcPr>
            <w:tcW w:type="dxa" w:w="900"/>
          </w:tcPr>
          <w:p>
            <w:pPr>
              <w:spacing w:after="40"/>
            </w:pPr>
            <w:r>
              <w:rPr>
                <w:b w:val="false"/>
                <w:bCs w:val="false"/>
                <w:sz w:val="20"/>
                <w:szCs w:val="20"/>
              </w:rPr>
              <w:t xml:space="preserve">P2</w:t>
            </w:r>
          </w:p>
        </w:tc>
      </w:tr>
      <w:tr>
        <w:tc>
          <w:tcPr>
            <w:tcW w:type="dxa" w:w="900"/>
          </w:tcPr>
          <w:p>
            <w:pPr>
              <w:spacing w:after="40"/>
            </w:pPr>
            <w:r>
              <w:rPr>
                <w:b w:val="false"/>
                <w:bCs w:val="false"/>
                <w:sz w:val="20"/>
                <w:szCs w:val="20"/>
              </w:rPr>
              <w:t xml:space="preserve">K-07</w:t>
            </w:r>
          </w:p>
        </w:tc>
        <w:tc>
          <w:tcPr>
            <w:tcW w:type="dxa" w:w="3900"/>
          </w:tcPr>
          <w:p>
            <w:pPr>
              <w:spacing w:after="40"/>
            </w:pPr>
            <w:r>
              <w:rPr>
                <w:b w:val="false"/>
                <w:bCs w:val="false"/>
                <w:sz w:val="20"/>
                <w:szCs w:val="20"/>
              </w:rPr>
              <w:t xml:space="preserve">Anecoyon p. Ridusowi</w:t>
            </w:r>
          </w:p>
        </w:tc>
        <w:tc>
          <w:tcPr>
            <w:tcW w:type="dxa" w:w="2800"/>
          </w:tcPr>
          <w:p>
            <w:pPr>
              <w:spacing w:after="40"/>
            </w:pPr>
            <w:r>
              <w:rPr>
                <w:b w:val="false"/>
                <w:bCs w:val="false"/>
                <w:sz w:val="20"/>
                <w:szCs w:val="20"/>
              </w:rPr>
              <w:t xml:space="preserve">ZWERYFIKOWANE</w:t>
            </w:r>
          </w:p>
        </w:tc>
        <w:tc>
          <w:tcPr>
            <w:tcW w:type="dxa" w:w="900"/>
          </w:tcPr>
          <w:p>
            <w:pPr>
              <w:spacing w:after="40"/>
            </w:pPr>
            <w:r>
              <w:rPr>
                <w:b w:val="false"/>
                <w:bCs w:val="false"/>
                <w:sz w:val="20"/>
                <w:szCs w:val="20"/>
              </w:rPr>
              <w:t xml:space="preserve">P2</w:t>
            </w:r>
          </w:p>
        </w:tc>
      </w:tr>
      <w:tr>
        <w:tc>
          <w:tcPr>
            <w:tcW w:type="dxa" w:w="900"/>
          </w:tcPr>
          <w:p>
            <w:pPr>
              <w:spacing w:after="40"/>
            </w:pPr>
            <w:r>
              <w:rPr>
                <w:b w:val="false"/>
                <w:bCs w:val="false"/>
                <w:sz w:val="20"/>
                <w:szCs w:val="20"/>
              </w:rPr>
              <w:t xml:space="preserve">PL-01</w:t>
            </w:r>
          </w:p>
        </w:tc>
        <w:tc>
          <w:tcPr>
            <w:tcW w:type="dxa" w:w="3900"/>
          </w:tcPr>
          <w:p>
            <w:pPr>
              <w:spacing w:after="40"/>
            </w:pPr>
            <w:r>
              <w:rPr>
                <w:b w:val="false"/>
                <w:bCs w:val="false"/>
                <w:sz w:val="20"/>
                <w:szCs w:val="20"/>
              </w:rPr>
              <w:t xml:space="preserve">Algorytm zwalnia sygnalistkę</w:t>
            </w:r>
          </w:p>
        </w:tc>
        <w:tc>
          <w:tcPr>
            <w:tcW w:type="dxa" w:w="2800"/>
          </w:tcPr>
          <w:p>
            <w:pPr>
              <w:spacing w:after="40"/>
            </w:pPr>
            <w:r>
              <w:rPr>
                <w:b w:val="false"/>
                <w:bCs w:val="false"/>
                <w:sz w:val="20"/>
                <w:szCs w:val="20"/>
              </w:rPr>
              <w:t xml:space="preserve">ZWERYFIKOWANE</w:t>
            </w:r>
          </w:p>
        </w:tc>
        <w:tc>
          <w:tcPr>
            <w:tcW w:type="dxa" w:w="900"/>
          </w:tcPr>
          <w:p>
            <w:pPr>
              <w:spacing w:after="40"/>
            </w:pPr>
            <w:r>
              <w:rPr>
                <w:b w:val="false"/>
                <w:bCs w:val="false"/>
                <w:sz w:val="20"/>
                <w:szCs w:val="20"/>
              </w:rPr>
              <w:t xml:space="preserve">P3</w:t>
            </w:r>
          </w:p>
        </w:tc>
      </w:tr>
      <w:tr>
        <w:tc>
          <w:tcPr>
            <w:tcW w:type="dxa" w:w="900"/>
          </w:tcPr>
          <w:p>
            <w:pPr>
              <w:spacing w:after="40"/>
            </w:pPr>
            <w:r>
              <w:rPr>
                <w:b w:val="false"/>
                <w:bCs w:val="false"/>
                <w:sz w:val="20"/>
                <w:szCs w:val="20"/>
              </w:rPr>
              <w:t xml:space="preserve">PL-02</w:t>
            </w:r>
          </w:p>
        </w:tc>
        <w:tc>
          <w:tcPr>
            <w:tcW w:type="dxa" w:w="3900"/>
          </w:tcPr>
          <w:p>
            <w:pPr>
              <w:spacing w:after="40"/>
            </w:pPr>
            <w:r>
              <w:rPr>
                <w:b w:val="false"/>
                <w:bCs w:val="false"/>
                <w:sz w:val="20"/>
                <w:szCs w:val="20"/>
              </w:rPr>
              <w:t xml:space="preserve">Osiedle na zalewowej łące</w:t>
            </w:r>
          </w:p>
        </w:tc>
        <w:tc>
          <w:tcPr>
            <w:tcW w:type="dxa" w:w="2800"/>
          </w:tcPr>
          <w:p>
            <w:pPr>
              <w:spacing w:after="40"/>
            </w:pPr>
            <w:r>
              <w:rPr>
                <w:b w:val="false"/>
                <w:bCs w:val="false"/>
                <w:sz w:val="20"/>
                <w:szCs w:val="20"/>
              </w:rPr>
              <w:t xml:space="preserve">ZWERYFIKOWANE</w:t>
            </w:r>
          </w:p>
        </w:tc>
        <w:tc>
          <w:tcPr>
            <w:tcW w:type="dxa" w:w="900"/>
          </w:tcPr>
          <w:p>
            <w:pPr>
              <w:spacing w:after="40"/>
            </w:pPr>
            <w:r>
              <w:rPr>
                <w:b w:val="false"/>
                <w:bCs w:val="false"/>
                <w:sz w:val="20"/>
                <w:szCs w:val="20"/>
              </w:rPr>
              <w:t xml:space="preserve">P3</w:t>
            </w:r>
          </w:p>
        </w:tc>
      </w:tr>
      <w:tr>
        <w:tc>
          <w:tcPr>
            <w:tcW w:type="dxa" w:w="900"/>
          </w:tcPr>
          <w:p>
            <w:pPr>
              <w:spacing w:after="40"/>
            </w:pPr>
            <w:r>
              <w:rPr>
                <w:b w:val="false"/>
                <w:bCs w:val="false"/>
                <w:sz w:val="20"/>
                <w:szCs w:val="20"/>
              </w:rPr>
              <w:t xml:space="preserve">PL-03</w:t>
            </w:r>
          </w:p>
        </w:tc>
        <w:tc>
          <w:tcPr>
            <w:tcW w:type="dxa" w:w="3900"/>
          </w:tcPr>
          <w:p>
            <w:pPr>
              <w:spacing w:after="40"/>
            </w:pPr>
            <w:r>
              <w:rPr>
                <w:b w:val="false"/>
                <w:bCs w:val="false"/>
                <w:sz w:val="20"/>
                <w:szCs w:val="20"/>
              </w:rPr>
              <w:t xml:space="preserve">Fundacja po śmierci fundatora</w:t>
            </w:r>
          </w:p>
        </w:tc>
        <w:tc>
          <w:tcPr>
            <w:tcW w:type="dxa" w:w="2800"/>
          </w:tcPr>
          <w:p>
            <w:pPr>
              <w:spacing w:after="40"/>
            </w:pPr>
            <w:r>
              <w:rPr>
                <w:b w:val="false"/>
                <w:bCs w:val="false"/>
                <w:sz w:val="20"/>
                <w:szCs w:val="20"/>
              </w:rPr>
              <w:t xml:space="preserve">ZWERYFIKOWANE</w:t>
            </w:r>
          </w:p>
        </w:tc>
        <w:tc>
          <w:tcPr>
            <w:tcW w:type="dxa" w:w="900"/>
          </w:tcPr>
          <w:p>
            <w:pPr>
              <w:spacing w:after="40"/>
            </w:pPr>
            <w:r>
              <w:rPr>
                <w:b w:val="false"/>
                <w:bCs w:val="false"/>
                <w:sz w:val="20"/>
                <w:szCs w:val="20"/>
              </w:rPr>
              <w:t xml:space="preserve">P3</w:t>
            </w:r>
          </w:p>
        </w:tc>
      </w:tr>
      <w:tr>
        <w:tc>
          <w:tcPr>
            <w:tcW w:type="dxa" w:w="900"/>
          </w:tcPr>
          <w:p>
            <w:pPr>
              <w:spacing w:after="40"/>
            </w:pPr>
            <w:r>
              <w:rPr>
                <w:b w:val="false"/>
                <w:bCs w:val="false"/>
                <w:sz w:val="20"/>
                <w:szCs w:val="20"/>
              </w:rPr>
              <w:t xml:space="preserve">PL-04</w:t>
            </w:r>
          </w:p>
        </w:tc>
        <w:tc>
          <w:tcPr>
            <w:tcW w:type="dxa" w:w="3900"/>
          </w:tcPr>
          <w:p>
            <w:pPr>
              <w:spacing w:after="40"/>
            </w:pPr>
            <w:r>
              <w:rPr>
                <w:b w:val="false"/>
                <w:bCs w:val="false"/>
                <w:sz w:val="20"/>
                <w:szCs w:val="20"/>
              </w:rPr>
              <w:t xml:space="preserve">Szpital podpowiada diagnozę</w:t>
            </w:r>
          </w:p>
        </w:tc>
        <w:tc>
          <w:tcPr>
            <w:tcW w:type="dxa" w:w="2800"/>
          </w:tcPr>
          <w:p>
            <w:pPr>
              <w:spacing w:after="40"/>
            </w:pPr>
            <w:r>
              <w:rPr>
                <w:b w:val="false"/>
                <w:bCs w:val="false"/>
                <w:sz w:val="20"/>
                <w:szCs w:val="20"/>
              </w:rPr>
              <w:t xml:space="preserve">ZWERYFIKOWANE — w tym pliku</w:t>
            </w:r>
          </w:p>
        </w:tc>
        <w:tc>
          <w:tcPr>
            <w:tcW w:type="dxa" w:w="900"/>
          </w:tcPr>
          <w:p>
            <w:pPr>
              <w:spacing w:after="40"/>
            </w:pPr>
            <w:r>
              <w:rPr>
                <w:b w:val="false"/>
                <w:bCs w:val="false"/>
                <w:sz w:val="20"/>
                <w:szCs w:val="20"/>
              </w:rPr>
              <w:t xml:space="preserve">P4</w:t>
            </w:r>
          </w:p>
        </w:tc>
      </w:tr>
      <w:tr>
        <w:tc>
          <w:tcPr>
            <w:tcW w:type="dxa" w:w="900"/>
          </w:tcPr>
          <w:p>
            <w:pPr>
              <w:spacing w:after="40"/>
            </w:pPr>
            <w:r>
              <w:rPr>
                <w:b w:val="false"/>
                <w:bCs w:val="false"/>
                <w:sz w:val="20"/>
                <w:szCs w:val="20"/>
              </w:rPr>
              <w:t xml:space="preserve">PL-05</w:t>
            </w:r>
          </w:p>
        </w:tc>
        <w:tc>
          <w:tcPr>
            <w:tcW w:type="dxa" w:w="3900"/>
          </w:tcPr>
          <w:p>
            <w:pPr>
              <w:spacing w:after="40"/>
            </w:pPr>
            <w:r>
              <w:rPr>
                <w:b w:val="false"/>
                <w:bCs w:val="false"/>
                <w:sz w:val="20"/>
                <w:szCs w:val="20"/>
              </w:rPr>
              <w:t xml:space="preserve">Chmura dla metropolii</w:t>
            </w:r>
          </w:p>
        </w:tc>
        <w:tc>
          <w:tcPr>
            <w:tcW w:type="dxa" w:w="2800"/>
          </w:tcPr>
          <w:p>
            <w:pPr>
              <w:spacing w:after="40"/>
            </w:pPr>
            <w:r>
              <w:rPr>
                <w:b w:val="false"/>
                <w:bCs w:val="false"/>
                <w:sz w:val="20"/>
                <w:szCs w:val="20"/>
              </w:rPr>
              <w:t xml:space="preserve">ZWERYFIKOWANE — w tym pliku</w:t>
            </w:r>
          </w:p>
        </w:tc>
        <w:tc>
          <w:tcPr>
            <w:tcW w:type="dxa" w:w="900"/>
          </w:tcPr>
          <w:p>
            <w:pPr>
              <w:spacing w:after="40"/>
            </w:pPr>
            <w:r>
              <w:rPr>
                <w:b w:val="false"/>
                <w:bCs w:val="false"/>
                <w:sz w:val="20"/>
                <w:szCs w:val="20"/>
              </w:rPr>
              <w:t xml:space="preserve">P4</w:t>
            </w:r>
          </w:p>
        </w:tc>
      </w:tr>
      <w:tr>
        <w:tc>
          <w:tcPr>
            <w:tcW w:type="dxa" w:w="900"/>
          </w:tcPr>
          <w:p>
            <w:pPr>
              <w:spacing w:after="40"/>
            </w:pPr>
            <w:r>
              <w:rPr>
                <w:b w:val="false"/>
                <w:bCs w:val="false"/>
                <w:sz w:val="20"/>
                <w:szCs w:val="20"/>
              </w:rPr>
              <w:t xml:space="preserve">PL-06</w:t>
            </w:r>
          </w:p>
        </w:tc>
        <w:tc>
          <w:tcPr>
            <w:tcW w:type="dxa" w:w="3900"/>
          </w:tcPr>
          <w:p>
            <w:pPr>
              <w:spacing w:after="40"/>
            </w:pPr>
            <w:r>
              <w:rPr>
                <w:b w:val="false"/>
                <w:bCs w:val="false"/>
                <w:sz w:val="20"/>
                <w:szCs w:val="20"/>
              </w:rPr>
              <w:t xml:space="preserve">Karuzela, faktoring i milczący zarząd</w:t>
            </w:r>
          </w:p>
        </w:tc>
        <w:tc>
          <w:tcPr>
            <w:tcW w:type="dxa" w:w="2800"/>
          </w:tcPr>
          <w:p>
            <w:pPr>
              <w:spacing w:after="40"/>
            </w:pPr>
            <w:r>
              <w:rPr>
                <w:b w:val="false"/>
                <w:bCs w:val="false"/>
                <w:sz w:val="20"/>
                <w:szCs w:val="20"/>
              </w:rPr>
              <w:t xml:space="preserve">DO ZROBIENIA</w:t>
            </w:r>
          </w:p>
        </w:tc>
        <w:tc>
          <w:tcPr>
            <w:tcW w:type="dxa" w:w="900"/>
          </w:tcPr>
          <w:p>
            <w:pPr>
              <w:spacing w:after="40"/>
            </w:pPr>
            <w:r>
              <w:rPr>
                <w:b w:val="false"/>
                <w:bCs w:val="false"/>
                <w:sz w:val="20"/>
                <w:szCs w:val="20"/>
              </w:rPr>
              <w:t xml:space="preserve">P5</w:t>
            </w:r>
          </w:p>
        </w:tc>
      </w:tr>
      <w:tr>
        <w:tc>
          <w:tcPr>
            <w:tcW w:type="dxa" w:w="900"/>
          </w:tcPr>
          <w:p>
            <w:pPr>
              <w:spacing w:after="40"/>
            </w:pPr>
            <w:r>
              <w:rPr>
                <w:b w:val="false"/>
                <w:bCs w:val="false"/>
                <w:sz w:val="20"/>
                <w:szCs w:val="20"/>
              </w:rPr>
              <w:t xml:space="preserve">PL-07</w:t>
            </w:r>
          </w:p>
        </w:tc>
        <w:tc>
          <w:tcPr>
            <w:tcW w:type="dxa" w:w="3900"/>
          </w:tcPr>
          <w:p>
            <w:pPr>
              <w:spacing w:after="40"/>
            </w:pPr>
            <w:r>
              <w:rPr>
                <w:b w:val="false"/>
                <w:bCs w:val="false"/>
                <w:sz w:val="20"/>
                <w:szCs w:val="20"/>
              </w:rPr>
              <w:t xml:space="preserve">Deepfake w wyborach samorządowych</w:t>
            </w:r>
          </w:p>
        </w:tc>
        <w:tc>
          <w:tcPr>
            <w:tcW w:type="dxa" w:w="2800"/>
          </w:tcPr>
          <w:p>
            <w:pPr>
              <w:spacing w:after="40"/>
            </w:pPr>
            <w:r>
              <w:rPr>
                <w:b w:val="false"/>
                <w:bCs w:val="false"/>
                <w:sz w:val="20"/>
                <w:szCs w:val="20"/>
              </w:rPr>
              <w:t xml:space="preserve">DO ZROBIENIA</w:t>
            </w:r>
          </w:p>
        </w:tc>
        <w:tc>
          <w:tcPr>
            <w:tcW w:type="dxa" w:w="900"/>
          </w:tcPr>
          <w:p>
            <w:pPr>
              <w:spacing w:after="40"/>
            </w:pPr>
            <w:r>
              <w:rPr>
                <w:b w:val="false"/>
                <w:bCs w:val="false"/>
                <w:sz w:val="20"/>
                <w:szCs w:val="20"/>
              </w:rPr>
              <w:t xml:space="preserve">P5</w:t>
            </w:r>
          </w:p>
        </w:tc>
      </w:tr>
    </w:tbl>
    <w:p>
      <w:pPr>
        <w:spacing w:after="120"/>
        <w:jc w:val="left"/>
      </w:pPr>
      <w:r>
        <w:rPr>
          <w:b w:val="false"/>
          <w:bCs w:val="false"/>
          <w:i w:val="false"/>
          <w:iCs w:val="false"/>
          <w:sz w:val="22"/>
          <w:szCs w:val="22"/>
        </w:rPr>
        <w:t xml:space="preserve"/>
      </w:r>
    </w:p>
    <w:p>
      <w:pPr>
        <w:spacing w:after="120"/>
        <w:jc w:val="left"/>
      </w:pPr>
      <w:r>
        <w:rPr>
          <w:b w:val="false"/>
          <w:bCs w:val="false"/>
          <w:i/>
          <w:iCs/>
          <w:sz w:val="22"/>
          <w:szCs w:val="22"/>
        </w:rPr>
        <w:t xml:space="preserve">Status POKRYTE pozostaje nieosiągalny dla całego banku: wymaga porównania ze wzorcem, a klucz odpowiedzi nie został dostarczony.</w:t>
      </w:r>
    </w:p>
    <w:p>
      <w:pPr>
        <w:pStyle w:val="Heading2"/>
        <w:spacing w:after="100" w:before="240"/>
      </w:pPr>
      <w:r>
        <w:t xml:space="preserve">Teksty jednolite odczytane na potrzeby tej partii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800"/>
      </w:tblGrid>
      <w:tr>
        <w:tc>
          <w:tcPr>
            <w:tcW w:type="dxa" w:w="3800"/>
            <w:shd w:fill="E8E8E8" w:val="clear"/>
          </w:tcPr>
          <w:p>
            <w:pPr>
              <w:spacing w:after="40"/>
            </w:pPr>
            <w:r>
              <w:rPr>
                <w:b/>
                <w:bCs/>
                <w:sz w:val="20"/>
                <w:szCs w:val="20"/>
              </w:rPr>
              <w:t xml:space="preserve">Akt</w:t>
            </w:r>
          </w:p>
        </w:tc>
        <w:tc>
          <w:tcPr>
            <w:tcW w:type="dxa" w:w="2400"/>
            <w:shd w:fill="E8E8E8" w:val="clear"/>
          </w:tcPr>
          <w:p>
            <w:pPr>
              <w:spacing w:after="40"/>
            </w:pPr>
            <w:r>
              <w:rPr>
                <w:b/>
                <w:bCs/>
                <w:sz w:val="20"/>
                <w:szCs w:val="20"/>
              </w:rPr>
              <w:t xml:space="preserve">Akt bazowy</w:t>
            </w:r>
          </w:p>
        </w:tc>
        <w:tc>
          <w:tcPr>
            <w:tcW w:type="dxa" w:w="2800"/>
            <w:shd w:fill="E8E8E8" w:val="clear"/>
          </w:tcPr>
          <w:p>
            <w:pPr>
              <w:spacing w:after="40"/>
            </w:pPr>
            <w:r>
              <w:rPr>
                <w:b/>
                <w:bCs/>
                <w:sz w:val="20"/>
                <w:szCs w:val="20"/>
              </w:rPr>
              <w:t xml:space="preserve">Obowiązujący tekst jednolity</w:t>
            </w:r>
          </w:p>
        </w:tc>
      </w:tr>
      <w:tr>
        <w:tc>
          <w:tcPr>
            <w:tcW w:type="dxa" w:w="3800"/>
          </w:tcPr>
          <w:p>
            <w:pPr>
              <w:spacing w:after="40"/>
            </w:pPr>
            <w:r>
              <w:rPr>
                <w:b w:val="false"/>
                <w:bCs w:val="false"/>
                <w:sz w:val="20"/>
                <w:szCs w:val="20"/>
              </w:rPr>
              <w:t xml:space="preserve">Ustawa o prawach pacjenta i Rzeczniku Praw Pacjenta</w:t>
            </w:r>
          </w:p>
        </w:tc>
        <w:tc>
          <w:tcPr>
            <w:tcW w:type="dxa" w:w="2400"/>
          </w:tcPr>
          <w:p>
            <w:pPr>
              <w:spacing w:after="40"/>
            </w:pPr>
            <w:r>
              <w:rPr>
                <w:b w:val="false"/>
                <w:bCs w:val="false"/>
                <w:sz w:val="20"/>
                <w:szCs w:val="20"/>
              </w:rPr>
              <w:t xml:space="preserve">Dz.U. 2009 nr 52 poz. 417</w:t>
            </w:r>
          </w:p>
        </w:tc>
        <w:tc>
          <w:tcPr>
            <w:tcW w:type="dxa" w:w="2800"/>
          </w:tcPr>
          <w:p>
            <w:pPr>
              <w:spacing w:after="40"/>
            </w:pPr>
            <w:r>
              <w:rPr>
                <w:b w:val="false"/>
                <w:bCs w:val="false"/>
                <w:sz w:val="20"/>
                <w:szCs w:val="20"/>
              </w:rPr>
              <w:t xml:space="preserve">Dz.U. 2024 poz. 581</w:t>
            </w:r>
          </w:p>
        </w:tc>
      </w:tr>
      <w:tr>
        <w:tc>
          <w:tcPr>
            <w:tcW w:type="dxa" w:w="3800"/>
          </w:tcPr>
          <w:p>
            <w:pPr>
              <w:spacing w:after="40"/>
            </w:pPr>
            <w:r>
              <w:rPr>
                <w:b w:val="false"/>
                <w:bCs w:val="false"/>
                <w:sz w:val="20"/>
                <w:szCs w:val="20"/>
              </w:rPr>
              <w:t xml:space="preserve">Ustawa o zawodach lekarza i lekarza dentysty</w:t>
            </w:r>
          </w:p>
        </w:tc>
        <w:tc>
          <w:tcPr>
            <w:tcW w:type="dxa" w:w="2400"/>
          </w:tcPr>
          <w:p>
            <w:pPr>
              <w:spacing w:after="40"/>
            </w:pPr>
            <w:r>
              <w:rPr>
                <w:b w:val="false"/>
                <w:bCs w:val="false"/>
                <w:sz w:val="20"/>
                <w:szCs w:val="20"/>
              </w:rPr>
              <w:t xml:space="preserve">Dz.U. 1997 nr 28 poz. 152</w:t>
            </w:r>
          </w:p>
        </w:tc>
        <w:tc>
          <w:tcPr>
            <w:tcW w:type="dxa" w:w="2800"/>
          </w:tcPr>
          <w:p>
            <w:pPr>
              <w:spacing w:after="40"/>
            </w:pPr>
            <w:r>
              <w:rPr>
                <w:b w:val="false"/>
                <w:bCs w:val="false"/>
                <w:sz w:val="20"/>
                <w:szCs w:val="20"/>
              </w:rPr>
              <w:t xml:space="preserve">Dz.U. 2026 poz. 37</w:t>
            </w:r>
          </w:p>
        </w:tc>
      </w:tr>
      <w:tr>
        <w:tc>
          <w:tcPr>
            <w:tcW w:type="dxa" w:w="3800"/>
          </w:tcPr>
          <w:p>
            <w:pPr>
              <w:spacing w:after="40"/>
            </w:pPr>
            <w:r>
              <w:rPr>
                <w:b w:val="false"/>
                <w:bCs w:val="false"/>
                <w:sz w:val="20"/>
                <w:szCs w:val="20"/>
              </w:rPr>
              <w:t xml:space="preserve">Ustawa o działalności leczniczej</w:t>
            </w:r>
          </w:p>
        </w:tc>
        <w:tc>
          <w:tcPr>
            <w:tcW w:type="dxa" w:w="2400"/>
          </w:tcPr>
          <w:p>
            <w:pPr>
              <w:spacing w:after="40"/>
            </w:pPr>
            <w:r>
              <w:rPr>
                <w:b w:val="false"/>
                <w:bCs w:val="false"/>
                <w:sz w:val="20"/>
                <w:szCs w:val="20"/>
              </w:rPr>
              <w:t xml:space="preserve">Dz.U. 2011 nr 112 poz. 654</w:t>
            </w:r>
          </w:p>
        </w:tc>
        <w:tc>
          <w:tcPr>
            <w:tcW w:type="dxa" w:w="2800"/>
          </w:tcPr>
          <w:p>
            <w:pPr>
              <w:spacing w:after="40"/>
            </w:pPr>
            <w:r>
              <w:rPr>
                <w:b w:val="false"/>
                <w:bCs w:val="false"/>
                <w:sz w:val="20"/>
                <w:szCs w:val="20"/>
              </w:rPr>
              <w:t xml:space="preserve">Dz.U. 2026 poz. 156</w:t>
            </w:r>
          </w:p>
        </w:tc>
      </w:tr>
      <w:tr>
        <w:tc>
          <w:tcPr>
            <w:tcW w:type="dxa" w:w="3800"/>
          </w:tcPr>
          <w:p>
            <w:pPr>
              <w:spacing w:after="40"/>
            </w:pPr>
            <w:r>
              <w:rPr>
                <w:b w:val="false"/>
                <w:bCs w:val="false"/>
                <w:sz w:val="20"/>
                <w:szCs w:val="20"/>
              </w:rPr>
              <w:t xml:space="preserve">Kodeks cywilny</w:t>
            </w:r>
          </w:p>
        </w:tc>
        <w:tc>
          <w:tcPr>
            <w:tcW w:type="dxa" w:w="2400"/>
          </w:tcPr>
          <w:p>
            <w:pPr>
              <w:spacing w:after="40"/>
            </w:pPr>
            <w:r>
              <w:rPr>
                <w:b w:val="false"/>
                <w:bCs w:val="false"/>
                <w:sz w:val="20"/>
                <w:szCs w:val="20"/>
              </w:rPr>
              <w:t xml:space="preserve">Dz.U. 1964 nr 16 poz. 93</w:t>
            </w:r>
          </w:p>
        </w:tc>
        <w:tc>
          <w:tcPr>
            <w:tcW w:type="dxa" w:w="2800"/>
          </w:tcPr>
          <w:p>
            <w:pPr>
              <w:spacing w:after="40"/>
            </w:pPr>
            <w:r>
              <w:rPr>
                <w:b w:val="false"/>
                <w:bCs w:val="false"/>
                <w:sz w:val="20"/>
                <w:szCs w:val="20"/>
              </w:rPr>
              <w:t xml:space="preserve">Dz.U. 2026 poz. 795</w:t>
            </w:r>
          </w:p>
        </w:tc>
      </w:tr>
      <w:tr>
        <w:tc>
          <w:tcPr>
            <w:tcW w:type="dxa" w:w="3800"/>
          </w:tcPr>
          <w:p>
            <w:pPr>
              <w:spacing w:after="40"/>
            </w:pPr>
            <w:r>
              <w:rPr>
                <w:b w:val="false"/>
                <w:bCs w:val="false"/>
                <w:sz w:val="20"/>
                <w:szCs w:val="20"/>
              </w:rPr>
              <w:t xml:space="preserve">Prawo zamówień publicznych</w:t>
            </w:r>
          </w:p>
        </w:tc>
        <w:tc>
          <w:tcPr>
            <w:tcW w:type="dxa" w:w="2400"/>
          </w:tcPr>
          <w:p>
            <w:pPr>
              <w:spacing w:after="40"/>
            </w:pPr>
            <w:r>
              <w:rPr>
                <w:b w:val="false"/>
                <w:bCs w:val="false"/>
                <w:sz w:val="20"/>
                <w:szCs w:val="20"/>
              </w:rPr>
              <w:t xml:space="preserve">Dz.U. 2019 poz. 2019</w:t>
            </w:r>
          </w:p>
        </w:tc>
        <w:tc>
          <w:tcPr>
            <w:tcW w:type="dxa" w:w="2800"/>
          </w:tcPr>
          <w:p>
            <w:pPr>
              <w:spacing w:after="40"/>
            </w:pPr>
            <w:r>
              <w:rPr>
                <w:b w:val="false"/>
                <w:bCs w:val="false"/>
                <w:sz w:val="20"/>
                <w:szCs w:val="20"/>
              </w:rPr>
              <w:t xml:space="preserve">Dz.U. 2026 poz. 793</w:t>
            </w:r>
          </w:p>
        </w:tc>
      </w:tr>
      <w:tr>
        <w:tc>
          <w:tcPr>
            <w:tcW w:type="dxa" w:w="3800"/>
          </w:tcPr>
          <w:p>
            <w:pPr>
              <w:spacing w:after="40"/>
            </w:pPr>
            <w:r>
              <w:rPr>
                <w:b w:val="false"/>
                <w:bCs w:val="false"/>
                <w:sz w:val="20"/>
                <w:szCs w:val="20"/>
              </w:rPr>
              <w:t xml:space="preserve">Ustawa o krajowym systemie cyberbezpieczeństwa</w:t>
            </w:r>
          </w:p>
        </w:tc>
        <w:tc>
          <w:tcPr>
            <w:tcW w:type="dxa" w:w="2400"/>
          </w:tcPr>
          <w:p>
            <w:pPr>
              <w:spacing w:after="40"/>
            </w:pPr>
            <w:r>
              <w:rPr>
                <w:b w:val="false"/>
                <w:bCs w:val="false"/>
                <w:sz w:val="20"/>
                <w:szCs w:val="20"/>
              </w:rPr>
              <w:t xml:space="preserve">Dz.U. 2018 poz. 1560</w:t>
            </w:r>
          </w:p>
        </w:tc>
        <w:tc>
          <w:tcPr>
            <w:tcW w:type="dxa" w:w="2800"/>
          </w:tcPr>
          <w:p>
            <w:pPr>
              <w:spacing w:after="40"/>
            </w:pPr>
            <w:r>
              <w:rPr>
                <w:b w:val="false"/>
                <w:bCs w:val="false"/>
                <w:sz w:val="20"/>
                <w:szCs w:val="20"/>
              </w:rPr>
              <w:t xml:space="preserve">Dz.U. 2026 poz. 20</w:t>
            </w:r>
          </w:p>
        </w:tc>
      </w:tr>
      <w:tr>
        <w:tc>
          <w:tcPr>
            <w:tcW w:type="dxa" w:w="3800"/>
          </w:tcPr>
          <w:p>
            <w:pPr>
              <w:spacing w:after="40"/>
            </w:pPr>
            <w:r>
              <w:rPr>
                <w:b w:val="false"/>
                <w:bCs w:val="false"/>
                <w:sz w:val="20"/>
                <w:szCs w:val="20"/>
              </w:rPr>
              <w:t xml:space="preserve">Ustawa o zwalczaniu nieuczciwej konkurencji</w:t>
            </w:r>
          </w:p>
        </w:tc>
        <w:tc>
          <w:tcPr>
            <w:tcW w:type="dxa" w:w="2400"/>
          </w:tcPr>
          <w:p>
            <w:pPr>
              <w:spacing w:after="40"/>
            </w:pPr>
            <w:r>
              <w:rPr>
                <w:b w:val="false"/>
                <w:bCs w:val="false"/>
                <w:sz w:val="20"/>
                <w:szCs w:val="20"/>
              </w:rPr>
              <w:t xml:space="preserve">Dz.U. 1993 nr 47 poz. 211</w:t>
            </w:r>
          </w:p>
        </w:tc>
        <w:tc>
          <w:tcPr>
            <w:tcW w:type="dxa" w:w="2800"/>
          </w:tcPr>
          <w:p>
            <w:pPr>
              <w:spacing w:after="40"/>
            </w:pPr>
            <w:r>
              <w:rPr>
                <w:b w:val="false"/>
                <w:bCs w:val="false"/>
                <w:sz w:val="20"/>
                <w:szCs w:val="20"/>
              </w:rPr>
              <w:t xml:space="preserve">Dz.U. 2026 poz. 85</w:t>
            </w:r>
          </w:p>
        </w:tc>
      </w:tr>
    </w:tbl>
    <w:p>
      <w:pPr>
        <w:spacing w:after="120"/>
        <w:jc w:val="left"/>
      </w:pPr>
      <w:r>
        <w:rPr>
          <w:b w:val="false"/>
          <w:bCs w:val="false"/>
          <w:i/>
          <w:iCs/>
          <w:sz w:val="22"/>
          <w:szCs w:val="22"/>
        </w:rPr>
        <w:t xml:space="preserve">Kanał: curl → api.sejm.gov.pl/eli/acts/... → /references (wybór pozycji o statusie „obowiązujący") → /text.pdf → pdftotext. Wszystkie brzmienia poniżej pochodzą z urzędowych PDF-ów tekstów jednolitych, nie ze snippetów wyszukiwarki.</w:t>
      </w:r>
    </w:p>
    <w:p>
      <w:pPr>
        <w:pStyle w:val="Heading2"/>
        <w:spacing w:after="100" w:before="240"/>
      </w:pPr>
      <w:r>
        <w:t xml:space="preserve">Bramki wykonane przed analizą</w:t>
      </w:r>
    </w:p>
    <w:p>
      <w:pPr>
        <w:pStyle w:val="Heading3"/>
        <w:spacing w:after="80" w:before="180"/>
      </w:pPr>
      <w:r>
        <w:t xml:space="preserve">OŚ-GATE (bramka chronologiczna, TOR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00"/>
      </w:tblGrid>
      <w:tr>
        <w:tc>
          <w:tcPr>
            <w:tcW w:type="dxa" w:w="900"/>
            <w:shd w:fill="E8E8E8" w:val="clear"/>
          </w:tcPr>
          <w:p>
            <w:pPr>
              <w:spacing w:after="40"/>
            </w:pPr>
            <w:r>
              <w:rPr>
                <w:b/>
                <w:bCs/>
                <w:sz w:val="20"/>
                <w:szCs w:val="20"/>
              </w:rPr>
              <w:t xml:space="preserve">Kazus</w:t>
            </w:r>
          </w:p>
        </w:tc>
        <w:tc>
          <w:tcPr>
            <w:tcW w:type="dxa" w:w="4000"/>
            <w:shd w:fill="E8E8E8" w:val="clear"/>
          </w:tcPr>
          <w:p>
            <w:pPr>
              <w:spacing w:after="40"/>
            </w:pPr>
            <w:r>
              <w:rPr>
                <w:b/>
                <w:bCs/>
                <w:sz w:val="20"/>
                <w:szCs w:val="20"/>
              </w:rPr>
              <w:t xml:space="preserve">Sekwencja czasowa</w:t>
            </w:r>
          </w:p>
        </w:tc>
        <w:tc>
          <w:tcPr>
            <w:tcW w:type="dxa" w:w="4100"/>
            <w:shd w:fill="E8E8E8" w:val="clear"/>
          </w:tcPr>
          <w:p>
            <w:pPr>
              <w:spacing w:after="40"/>
            </w:pPr>
            <w:r>
              <w:rPr>
                <w:b/>
                <w:bCs/>
                <w:sz w:val="20"/>
                <w:szCs w:val="20"/>
              </w:rPr>
              <w:t xml:space="preserve">Interwał rozstrzygający</w:t>
            </w:r>
          </w:p>
        </w:tc>
      </w:tr>
      <w:tr>
        <w:tc>
          <w:tcPr>
            <w:tcW w:type="dxa" w:w="900"/>
          </w:tcPr>
          <w:p>
            <w:pPr>
              <w:spacing w:after="40"/>
            </w:pPr>
            <w:r>
              <w:rPr>
                <w:b w:val="false"/>
                <w:bCs w:val="false"/>
                <w:sz w:val="20"/>
                <w:szCs w:val="20"/>
              </w:rPr>
              <w:t xml:space="preserve">PL-04</w:t>
            </w:r>
          </w:p>
        </w:tc>
        <w:tc>
          <w:tcPr>
            <w:tcW w:type="dxa" w:w="4000"/>
          </w:tcPr>
          <w:p>
            <w:pPr>
              <w:spacing w:after="40"/>
            </w:pPr>
            <w:r>
              <w:rPr>
                <w:b w:val="false"/>
                <w:bCs w:val="false"/>
                <w:sz w:val="20"/>
                <w:szCs w:val="20"/>
              </w:rPr>
              <w:t xml:space="preserve">wdrożenie systemu → aktualizacja → ostrzeżenie do IT → przyjęcie Anny → decyzja lekarza → opóźnione leczenie</w:t>
            </w:r>
          </w:p>
        </w:tc>
        <w:tc>
          <w:tcPr>
            <w:tcW w:type="dxa" w:w="4100"/>
          </w:tcPr>
          <w:p>
            <w:pPr>
              <w:spacing w:after="40"/>
            </w:pPr>
            <w:r>
              <w:rPr>
                <w:b w:val="false"/>
                <w:bCs w:val="false"/>
                <w:sz w:val="20"/>
                <w:szCs w:val="20"/>
              </w:rPr>
              <w:t xml:space="preserve">Trafienie realne: czy aktualizacja i ostrzeżenie poprzedzały przyjęcie pacjentki — od tego zależy przypisanie winy szpitalowi (brak szkolenia) albo producentowi (wada). Dat kazus nie podaje.</w:t>
            </w:r>
          </w:p>
        </w:tc>
      </w:tr>
      <w:tr>
        <w:tc>
          <w:tcPr>
            <w:tcW w:type="dxa" w:w="900"/>
          </w:tcPr>
          <w:p>
            <w:pPr>
              <w:spacing w:after="40"/>
            </w:pPr>
            <w:r>
              <w:rPr>
                <w:b w:val="false"/>
                <w:bCs w:val="false"/>
                <w:sz w:val="20"/>
                <w:szCs w:val="20"/>
              </w:rPr>
              <w:t xml:space="preserve">PL-05</w:t>
            </w:r>
          </w:p>
        </w:tc>
        <w:tc>
          <w:tcPr>
            <w:tcW w:type="dxa" w:w="4000"/>
          </w:tcPr>
          <w:p>
            <w:pPr>
              <w:spacing w:after="40"/>
            </w:pPr>
            <w:r>
              <w:rPr>
                <w:b w:val="false"/>
                <w:bCs w:val="false"/>
                <w:sz w:val="20"/>
                <w:szCs w:val="20"/>
              </w:rPr>
              <w:t xml:space="preserve">ogłoszenie → wybór oferty → incydent u dostawcy chmury → żądanie nowych wymagań → odwołanie do KIO</w:t>
            </w:r>
          </w:p>
        </w:tc>
        <w:tc>
          <w:tcPr>
            <w:tcW w:type="dxa" w:w="4100"/>
          </w:tcPr>
          <w:p>
            <w:pPr>
              <w:spacing w:after="40"/>
            </w:pPr>
            <w:r>
              <w:rPr>
                <w:b w:val="false"/>
                <w:bCs w:val="false"/>
                <w:sz w:val="20"/>
                <w:szCs w:val="20"/>
              </w:rPr>
              <w:t xml:space="preserve">Trafienie realne: incydent następuje PO wyborze oferty, a przed zawarciem umowy — to przesądza, że nowe wymagania są zmianą warunków zamówienia, a nie zmianą umowy.</w:t>
            </w:r>
          </w:p>
        </w:tc>
      </w:tr>
    </w:tbl>
    <w:p>
      <w:pPr>
        <w:spacing w:after="120"/>
        <w:jc w:val="left"/>
      </w:pPr>
      <w:r>
        <w:rPr>
          <w:b w:val="false"/>
          <w:bCs w:val="false"/>
          <w:i/>
          <w:iCs/>
          <w:sz w:val="22"/>
          <w:szCs w:val="22"/>
        </w:rPr>
        <w:t xml:space="preserve">Wniosek wspólny: żaden interwał nie jest policzalny — brak dat kalendarzowych. Konkluzje temporalne są warunkowe.</w:t>
      </w:r>
    </w:p>
    <w:p>
      <w:pPr>
        <w:pStyle w:val="Heading3"/>
        <w:spacing w:after="80" w:before="180"/>
      </w:pPr>
      <w:r>
        <w:t xml:space="preserve">WYJ-GATE (bramka wyjątków, S1–S4)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8E8E8" w:val="clear"/>
          </w:tcPr>
          <w:p>
            <w:pPr>
              <w:spacing w:after="40"/>
            </w:pPr>
            <w:r>
              <w:rPr>
                <w:b/>
                <w:bCs/>
                <w:sz w:val="20"/>
                <w:szCs w:val="20"/>
              </w:rPr>
              <w:t xml:space="preserve">Zamiatanie</w:t>
            </w:r>
          </w:p>
        </w:tc>
        <w:tc>
          <w:tcPr>
            <w:tcW w:type="dxa" w:w="6600"/>
            <w:shd w:fill="E8E8E8" w:val="clear"/>
          </w:tcPr>
          <w:p>
            <w:pPr>
              <w:spacing w:after="40"/>
            </w:pPr>
            <w:r>
              <w:rPr>
                <w:b/>
                <w:bCs/>
                <w:sz w:val="20"/>
                <w:szCs w:val="20"/>
              </w:rPr>
              <w:t xml:space="preserve">Wynik</w:t>
            </w:r>
          </w:p>
        </w:tc>
      </w:tr>
      <w:tr>
        <w:tc>
          <w:tcPr>
            <w:tcW w:type="dxa" w:w="2400"/>
          </w:tcPr>
          <w:p>
            <w:pPr>
              <w:spacing w:after="40"/>
            </w:pPr>
            <w:r>
              <w:rPr>
                <w:b w:val="false"/>
                <w:bCs w:val="false"/>
                <w:sz w:val="20"/>
                <w:szCs w:val="20"/>
              </w:rPr>
              <w:t xml:space="preserve">S1 — sąsiedztwo redakcyjne</w:t>
            </w:r>
          </w:p>
        </w:tc>
        <w:tc>
          <w:tcPr>
            <w:tcW w:type="dxa" w:w="6600"/>
          </w:tcPr>
          <w:p>
            <w:pPr>
              <w:spacing w:after="40"/>
            </w:pPr>
            <w:r>
              <w:rPr>
                <w:b w:val="false"/>
                <w:bCs w:val="false"/>
                <w:sz w:val="20"/>
                <w:szCs w:val="20"/>
              </w:rPr>
              <w:t xml:space="preserve">PZP: art. 239 → 240 → 241 tworzą jeden blok kryteriów oceny ofert i muszą być czytane razem; art. 454 (zmiana istotna) sąsiaduje z art. 455 (katalog zmian dopuszczalnych) — pominięcie drugiego daje odpowiedź odwrotną; art. 577 (zakaz zawarcia umowy) sąsiaduje z art. 578 (uchylenie zakazu). Ustawa o prawach pacjenta: art. 4 (zadośćuczynienie) i art. 6 (świadczenia wg aktualnej wiedzy medycznej). Jednostek z indeksem górnym w powołanych przepisach: brak.</w:t>
            </w:r>
          </w:p>
        </w:tc>
      </w:tr>
      <w:tr>
        <w:tc>
          <w:tcPr>
            <w:tcW w:type="dxa" w:w="2400"/>
          </w:tcPr>
          <w:p>
            <w:pPr>
              <w:spacing w:after="40"/>
            </w:pPr>
            <w:r>
              <w:rPr>
                <w:b w:val="false"/>
                <w:bCs w:val="false"/>
                <w:sz w:val="20"/>
                <w:szCs w:val="20"/>
              </w:rPr>
              <w:t xml:space="preserve">S2 — krawędzie jednostki</w:t>
            </w:r>
          </w:p>
        </w:tc>
        <w:tc>
          <w:tcPr>
            <w:tcW w:type="dxa" w:w="6600"/>
          </w:tcPr>
          <w:p>
            <w:pPr>
              <w:spacing w:after="40"/>
            </w:pPr>
            <w:r>
              <w:rPr>
                <w:b w:val="false"/>
                <w:bCs w:val="false"/>
                <w:sz w:val="20"/>
                <w:szCs w:val="20"/>
              </w:rPr>
              <w:t xml:space="preserve">Art. 18 ust. 3 PZP zawiera wyłączenie zamykające zakres jawności (zastrzeżenie tajemnicy przedsiębiorstwa) wraz z kontrwyłączeniem: nie można zastrzec informacji z art. 222 ust. 5. Art. 241 ust. 3 PZP zamyka blok kryteriów zakazem odnoszenia ich do właściwości wykonawcy.</w:t>
            </w:r>
          </w:p>
        </w:tc>
      </w:tr>
      <w:tr>
        <w:tc>
          <w:tcPr>
            <w:tcW w:type="dxa" w:w="2400"/>
          </w:tcPr>
          <w:p>
            <w:pPr>
              <w:spacing w:after="40"/>
            </w:pPr>
            <w:r>
              <w:rPr>
                <w:b w:val="false"/>
                <w:bCs w:val="false"/>
                <w:sz w:val="20"/>
                <w:szCs w:val="20"/>
              </w:rPr>
              <w:t xml:space="preserve">S3 — akty powiązane</w:t>
            </w:r>
          </w:p>
        </w:tc>
        <w:tc>
          <w:tcPr>
            <w:tcW w:type="dxa" w:w="6600"/>
          </w:tcPr>
          <w:p>
            <w:pPr>
              <w:spacing w:after="40"/>
            </w:pPr>
            <w:r>
              <w:rPr>
                <w:b w:val="false"/>
                <w:bCs w:val="false"/>
                <w:sz w:val="20"/>
                <w:szCs w:val="20"/>
              </w:rPr>
              <w:t xml:space="preserve">PL-04: ustawa o prawach pacjenta ↔ ustawa o zawodach lekarza ↔ ustawa o działalności leczniczej ↔ KC (art. 415, 430, 444–445) ↔ rozporządzenie MDR 2017/745 ↔ AI Act 2024/1689 ↔ RODO. PL-05: PZP ↔ ustawa o krajowym systemie cyberbezpieczeństwa ↔ RODO ↔ ustawa o zwalczaniu nieuczciwej konkurencji (definicja tajemnicy przedsiębiorstwa, do której PZP odsyła wprost).</w:t>
            </w:r>
          </w:p>
        </w:tc>
      </w:tr>
      <w:tr>
        <w:tc>
          <w:tcPr>
            <w:tcW w:type="dxa" w:w="2400"/>
          </w:tcPr>
          <w:p>
            <w:pPr>
              <w:spacing w:after="40"/>
            </w:pPr>
            <w:r>
              <w:rPr>
                <w:b w:val="false"/>
                <w:bCs w:val="false"/>
                <w:sz w:val="20"/>
                <w:szCs w:val="20"/>
              </w:rPr>
              <w:t xml:space="preserve">S4 — przepisy przejściowe</w:t>
            </w:r>
          </w:p>
        </w:tc>
        <w:tc>
          <w:tcPr>
            <w:tcW w:type="dxa" w:w="6600"/>
          </w:tcPr>
          <w:p>
            <w:pPr>
              <w:spacing w:after="40"/>
            </w:pPr>
            <w:r>
              <w:rPr>
                <w:b w:val="false"/>
                <w:bCs w:val="false"/>
                <w:sz w:val="20"/>
                <w:szCs w:val="20"/>
              </w:rPr>
              <w:t xml:space="preserve">Brak trafień dla powołanych jednostek. Uwaga: obowiązki z AI Act wchodzą etapami — data wdrożenia systemu MedPrompt wobec kalendarza stosowania rozporządzenia pozostaje nieustalona.</w:t>
            </w:r>
          </w:p>
        </w:tc>
      </w:tr>
    </w:tbl>
    <w:p>
      <w:pPr>
        <w:pageBreakBefore/>
      </w:pPr>
    </w:p>
    <w:p>
      <w:pPr>
        <w:pStyle w:val="Heading1"/>
        <w:spacing w:after="160" w:before="360"/>
      </w:pPr>
      <w:r>
        <w:t xml:space="preserve">KAZUS PL-04 — „Szpital podpowiada diagnozę"</w:t>
      </w:r>
    </w:p>
    <w:p>
      <w:pPr>
        <w:spacing w:after="120"/>
        <w:jc w:val="left"/>
      </w:pPr>
      <w:r>
        <w:rPr>
          <w:b w:val="false"/>
          <w:bCs w:val="false"/>
          <w:i/>
          <w:iCs/>
          <w:sz w:val="22"/>
          <w:szCs w:val="22"/>
        </w:rPr>
        <w:t xml:space="preserve">Prawa pacjenta · błąd medyczny · wyrób medyczny · AI · odpowiedzialność wielopodmiotowa</w:t>
      </w:r>
    </w:p>
    <w:p>
      <w:pPr>
        <w:pStyle w:val="Heading2"/>
        <w:spacing w:after="100" w:before="240"/>
      </w:pPr>
      <w:r>
        <w:t xml:space="preserve">Teza wstępna</w:t>
      </w:r>
    </w:p>
    <w:p>
      <w:pPr>
        <w:spacing w:after="120"/>
        <w:jc w:val="left"/>
      </w:pPr>
      <w:r>
        <w:rPr>
          <w:b w:val="false"/>
          <w:bCs w:val="false"/>
          <w:i w:val="false"/>
          <w:iCs w:val="false"/>
          <w:sz w:val="22"/>
          <w:szCs w:val="22"/>
        </w:rPr>
        <w:t xml:space="preserve">Odpowiedzialność wobec Anny jest przesądzona po stronie szpitala i nie zależy od tego, czy system był wadliwy — lekarz odpowiada za własne badanie, a nie za wynik podpowiedzi. Prawdziwy spór toczy się o regres i o to, kto poniesie ciężar braku dokumentacji. Nazwanie systemu „wsparciem" przy interfejsie pokazującym „rekomendację kliniczną" obciąża producenta, ale nie zwalnia lekarza.</w:t>
      </w:r>
    </w:p>
    <w:p>
      <w:pPr>
        <w:pStyle w:val="Heading2"/>
        <w:spacing w:after="100" w:before="240"/>
      </w:pPr>
      <w:r>
        <w:t xml:space="preserve">Pytanie 1 — standard staranności lekarza i szpitala</w:t>
      </w:r>
    </w:p>
    <w:p>
      <w:pPr>
        <w:spacing w:after="120"/>
        <w:jc w:val="left"/>
      </w:pPr>
      <w:r>
        <w:rPr>
          <w:b w:val="false"/>
          <w:bCs w:val="false"/>
          <w:i w:val="false"/>
          <w:iCs w:val="false"/>
          <w:sz w:val="22"/>
          <w:szCs w:val="22"/>
        </w:rPr>
        <w:t xml:space="preserve">Punkt wyjścia jest ustawowy i niezależny od technologii. Lekarz ma obowiązek wykonywać zawód zgodnie ze wskazaniami aktualnej wiedzy medycznej, dostępnymi mu metodami i środkami zapobiegania, rozpoznawania i leczenia chorób, zgodnie z zasadami etyki zawodowej oraz z należytą starannością (art. 4 ustawy o zawodach lekarza i lekarza dentysty). [VER: api.sejm.gov.pl ELI DU/2026/37 text.pdf — RZĄD 1, 2026-09-02]</w:t>
      </w:r>
    </w:p>
    <w:p>
      <w:pPr>
        <w:spacing w:after="120"/>
        <w:jc w:val="left"/>
      </w:pPr>
      <w:r>
        <w:rPr>
          <w:b w:val="false"/>
          <w:bCs w:val="false"/>
          <w:i w:val="false"/>
          <w:iCs w:val="false"/>
          <w:sz w:val="22"/>
          <w:szCs w:val="22"/>
        </w:rPr>
        <w:t xml:space="preserve">Po stronie pacjenta odpowiada temu prawo do świadczeń zdrowotnych odpowiadających wymaganiom aktualnej wiedzy medycznej (art. 6 ust. 1 ustawy o prawach pacjenta); pacjent ma też prawo żądać, aby lekarz zasięgnął opinii innego lekarza lub zwołał konsylium (art. 6 ust. 3 pkt 1). [VER: api.sejm.gov.pl ELI DU/2024/581 text.pdf — RZĄD 1, 2026-09-02]</w:t>
      </w:r>
    </w:p>
    <w:p>
      <w:pPr>
        <w:spacing w:after="120"/>
        <w:jc w:val="left"/>
      </w:pPr>
      <w:r>
        <w:rPr>
          <w:b w:val="false"/>
          <w:bCs w:val="false"/>
          <w:i w:val="false"/>
          <w:iCs w:val="false"/>
          <w:sz w:val="22"/>
          <w:szCs w:val="22"/>
        </w:rPr>
        <w:t xml:space="preserve">Trzy wnioski dla tego stanu faktycznego:</w:t>
      </w:r>
    </w:p>
    <w:p>
      <w:pPr>
        <w:pStyle w:val="ListParagraph"/>
        <w:numPr>
          <w:ilvl w:val="0"/>
          <w:numId w:val="1"/>
        </w:numPr>
        <w:spacing w:after="60"/>
      </w:pPr>
      <w:r>
        <w:rPr>
          <w:sz w:val="22"/>
          <w:szCs w:val="22"/>
        </w:rPr>
        <w:t xml:space="preserve">System nie tworzy nowego standardu staranności — jest „dostępnym metodą i środkiem" w rozumieniu art. 4, a nie jego substytutem. Akceptacja wyniku bez pełnego badania to naruszenie standardu ustawowego, niezależnie od jakości modelu.</w:t>
      </w:r>
    </w:p>
    <w:p>
      <w:pPr>
        <w:pStyle w:val="ListParagraph"/>
        <w:numPr>
          <w:ilvl w:val="0"/>
          <w:numId w:val="1"/>
        </w:numPr>
        <w:spacing w:after="60"/>
      </w:pPr>
      <w:r>
        <w:rPr>
          <w:sz w:val="22"/>
          <w:szCs w:val="22"/>
        </w:rPr>
        <w:t xml:space="preserve">Nietypowe objawy udaru są klasycznym wskazaniem do pogłębienia diagnostyki. Niska ocena ryzyka wygenerowana przez system, którego formularz nie zawierał informacji o rzadkiej terapii, jest wynikiem o zerowej wartości informacyjnej — lekarz powinien był to rozpoznać.</w:t>
      </w:r>
    </w:p>
    <w:p>
      <w:pPr>
        <w:pStyle w:val="ListParagraph"/>
        <w:numPr>
          <w:ilvl w:val="0"/>
          <w:numId w:val="1"/>
        </w:numPr>
        <w:spacing w:after="60"/>
      </w:pPr>
      <w:r>
        <w:rPr>
          <w:sz w:val="22"/>
          <w:szCs w:val="22"/>
        </w:rPr>
        <w:t xml:space="preserve">Szpital odpowiada na własnej osi: wdrożył narzędzie kliniczne bez szkolenia personelu i bez procedury reagowania na ostrzeżenia producenta. To wina organizacyjna, samodzielna wobec winy lekarza.</w:t>
      </w:r>
    </w:p>
    <w:p>
      <w:pPr>
        <w:pStyle w:val="Heading2"/>
        <w:spacing w:after="100" w:before="240"/>
      </w:pPr>
      <w:r>
        <w:t xml:space="preserve">Pytanie 2 — kwalifikacja systemu i aktualizacji</w:t>
      </w:r>
    </w:p>
    <w:p>
      <w:pPr>
        <w:spacing w:after="120"/>
        <w:jc w:val="left"/>
      </w:pPr>
      <w:r>
        <w:rPr>
          <w:b w:val="false"/>
          <w:bCs w:val="false"/>
          <w:i w:val="false"/>
          <w:iCs w:val="false"/>
          <w:sz w:val="22"/>
          <w:szCs w:val="22"/>
        </w:rPr>
        <w:t xml:space="preserve">Rozstrzyga funkcja deklarowana wobec funkcji rzeczywistej. Oprogramowanie przeznaczone do celu diagnostycznego jest wyrobem medycznym w rozumieniu rozporządzenia (UE) 2017/745; nazwanie go przez producenta „wsparciem" nie zmienia kwalifikacji, jeżeli interfejs prezentuje „rekomendację kliniczną", a personel traktuje wynik jako rozpoznanie. [NIEWERYFIKOWANE — nie otwierałem tekstu rozporządzenia 2017/745 w tej turze; kwalifikację przedstawiam funkcjonalnie]</w:t>
      </w:r>
    </w:p>
    <w:p>
      <w:pPr>
        <w:spacing w:after="120"/>
        <w:jc w:val="left"/>
      </w:pPr>
      <w:r>
        <w:rPr>
          <w:b w:val="false"/>
          <w:bCs w:val="false"/>
          <w:i w:val="false"/>
          <w:iCs w:val="false"/>
          <w:sz w:val="22"/>
          <w:szCs w:val="22"/>
        </w:rPr>
        <w:t xml:space="preserve">Warstwa AI Act: podmioty stosujące systemy wysokiego ryzyka z załącznika III, podejmujące decyzje dotyczące osób fizycznych, informują te osoby o wykorzystaniu wobec nich systemu AI wysokiego ryzyka (art. 26 ust. 11 rozporządzenia 2024/1689). [VER: eur-lex.europa.eu CELEX 32024R1689 — RZĄD 1, 2026-09-02] Anna takiej informacji nie otrzymała — to samodzielne naruszenie, niezależne od skutku zdrowotnego.</w:t>
      </w:r>
    </w:p>
    <w:p>
      <w:pPr>
        <w:spacing w:after="120"/>
        <w:jc w:val="left"/>
      </w:pPr>
      <w:r>
        <w:rPr>
          <w:b w:val="false"/>
          <w:bCs w:val="false"/>
          <w:i w:val="false"/>
          <w:iCs w:val="false"/>
          <w:sz w:val="22"/>
          <w:szCs w:val="22"/>
        </w:rPr>
        <w:t xml:space="preserve">Kluczowa jest jednak aktualizacja. Automatyczne wdrażanie aktualizacji zmieniających zachowanie modelu w grupie pacjentek to zmiana wyrobu, a nie jego konserwacja. Ostrzeżenie skierowane wyłącznie do działu IT jest ostrzeżeniem niedostarczonym adresatowi — obowiązek informacyjny producenta wobec podmiotu stosującego wykonuje się wobec użytkownika klinicznego, nie wobec administratora serwerów.</w:t>
      </w:r>
    </w:p>
    <w:p>
      <w:pPr>
        <w:spacing w:after="120"/>
        <w:jc w:val="left"/>
      </w:pPr>
      <w:r>
        <w:rPr>
          <w:b w:val="false"/>
          <w:bCs w:val="false"/>
          <w:i w:val="false"/>
          <w:iCs w:val="false"/>
          <w:sz w:val="22"/>
          <w:szCs w:val="22"/>
        </w:rPr>
        <w:t xml:space="preserve">Role podmiotów: producent (dostawca systemu), integrator (podmiot wdrażający i konfigurujący), szpital (podmiot stosujący i jednocześnie administrator danych), lekarz (użytkownik). Umowa ograniczająca audyt nie zmienia tego podziału wobec pacjentki — jest skuteczna wyłącznie w relacji szpital–producent i tam wywołuje skutki po stronie szpitala, nie Anny.</w:t>
      </w:r>
    </w:p>
    <w:p>
      <w:pPr>
        <w:pStyle w:val="Heading2"/>
        <w:spacing w:after="100" w:before="240"/>
      </w:pPr>
      <w:r>
        <w:t xml:space="preserve">Pytanie 3 — rozdział odpowiedzialności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00"/>
      </w:tblGrid>
      <w:tr>
        <w:tc>
          <w:tcPr>
            <w:tcW w:type="dxa" w:w="1500"/>
            <w:shd w:fill="E8E8E8" w:val="clear"/>
          </w:tcPr>
          <w:p>
            <w:pPr>
              <w:spacing w:after="40"/>
            </w:pPr>
            <w:r>
              <w:rPr>
                <w:b/>
                <w:bCs/>
                <w:sz w:val="20"/>
                <w:szCs w:val="20"/>
              </w:rPr>
              <w:t xml:space="preserve">Podmiot</w:t>
            </w:r>
          </w:p>
        </w:tc>
        <w:tc>
          <w:tcPr>
            <w:tcW w:type="dxa" w:w="4500"/>
            <w:shd w:fill="E8E8E8" w:val="clear"/>
          </w:tcPr>
          <w:p>
            <w:pPr>
              <w:spacing w:after="40"/>
            </w:pPr>
            <w:r>
              <w:rPr>
                <w:b/>
                <w:bCs/>
                <w:sz w:val="20"/>
                <w:szCs w:val="20"/>
              </w:rPr>
              <w:t xml:space="preserve">Podstawa i charakter</w:t>
            </w:r>
          </w:p>
        </w:tc>
        <w:tc>
          <w:tcPr>
            <w:tcW w:type="dxa" w:w="3000"/>
            <w:shd w:fill="E8E8E8" w:val="clear"/>
          </w:tcPr>
          <w:p>
            <w:pPr>
              <w:spacing w:after="40"/>
            </w:pPr>
            <w:r>
              <w:rPr>
                <w:b/>
                <w:bCs/>
                <w:sz w:val="20"/>
                <w:szCs w:val="20"/>
              </w:rPr>
              <w:t xml:space="preserve">Ocena na tym materiale</w:t>
            </w:r>
          </w:p>
        </w:tc>
      </w:tr>
      <w:tr>
        <w:tc>
          <w:tcPr>
            <w:tcW w:type="dxa" w:w="1500"/>
          </w:tcPr>
          <w:p>
            <w:pPr>
              <w:spacing w:after="40"/>
            </w:pPr>
            <w:r>
              <w:rPr>
                <w:b w:val="false"/>
                <w:bCs w:val="false"/>
                <w:sz w:val="20"/>
                <w:szCs w:val="20"/>
              </w:rPr>
              <w:t xml:space="preserve">Lekarz</w:t>
            </w:r>
          </w:p>
        </w:tc>
        <w:tc>
          <w:tcPr>
            <w:tcW w:type="dxa" w:w="4500"/>
          </w:tcPr>
          <w:p>
            <w:pPr>
              <w:spacing w:after="40"/>
            </w:pPr>
            <w:r>
              <w:rPr>
                <w:b w:val="false"/>
                <w:bCs w:val="false"/>
                <w:sz w:val="20"/>
                <w:szCs w:val="20"/>
              </w:rPr>
              <w:t xml:space="preserve">Wina własna — naruszenie art. 4 ustawy o zawodach lekarza; wobec pacjentki zwykle odpowiada szpital jako zwierzchnik (art. 430 KC)</w:t>
            </w:r>
          </w:p>
        </w:tc>
        <w:tc>
          <w:tcPr>
            <w:tcW w:type="dxa" w:w="3000"/>
          </w:tcPr>
          <w:p>
            <w:pPr>
              <w:spacing w:after="40"/>
            </w:pPr>
            <w:r>
              <w:rPr>
                <w:b w:val="false"/>
                <w:bCs w:val="false"/>
                <w:sz w:val="20"/>
                <w:szCs w:val="20"/>
              </w:rPr>
              <w:t xml:space="preserve">Odpowiedzialność przesądzona: akceptacja wyniku bez pełnego badania</w:t>
            </w:r>
          </w:p>
        </w:tc>
      </w:tr>
      <w:tr>
        <w:tc>
          <w:tcPr>
            <w:tcW w:type="dxa" w:w="1500"/>
          </w:tcPr>
          <w:p>
            <w:pPr>
              <w:spacing w:after="40"/>
            </w:pPr>
            <w:r>
              <w:rPr>
                <w:b w:val="false"/>
                <w:bCs w:val="false"/>
                <w:sz w:val="20"/>
                <w:szCs w:val="20"/>
              </w:rPr>
              <w:t xml:space="preserve">Szpital</w:t>
            </w:r>
          </w:p>
        </w:tc>
        <w:tc>
          <w:tcPr>
            <w:tcW w:type="dxa" w:w="4500"/>
          </w:tcPr>
          <w:p>
            <w:pPr>
              <w:spacing w:after="40"/>
            </w:pPr>
            <w:r>
              <w:rPr>
                <w:b w:val="false"/>
                <w:bCs w:val="false"/>
                <w:sz w:val="20"/>
                <w:szCs w:val="20"/>
              </w:rPr>
              <w:t xml:space="preserve">Odpowiedzialność za podwładnego (art. 430 KC) oraz własna wina organizacyjna (art. 415 KC): brak szkolenia, brak procedury reagowania na ostrzeżenia, wadliwa dokumentacja</w:t>
            </w:r>
          </w:p>
        </w:tc>
        <w:tc>
          <w:tcPr>
            <w:tcW w:type="dxa" w:w="3000"/>
          </w:tcPr>
          <w:p>
            <w:pPr>
              <w:spacing w:after="40"/>
            </w:pPr>
            <w:r>
              <w:rPr>
                <w:b w:val="false"/>
                <w:bCs w:val="false"/>
                <w:sz w:val="20"/>
                <w:szCs w:val="20"/>
              </w:rPr>
              <w:t xml:space="preserve">Odpowiedzialność podwójna — najłatwiejszy adresat pozwu</w:t>
            </w:r>
          </w:p>
        </w:tc>
      </w:tr>
      <w:tr>
        <w:tc>
          <w:tcPr>
            <w:tcW w:type="dxa" w:w="1500"/>
          </w:tcPr>
          <w:p>
            <w:pPr>
              <w:spacing w:after="40"/>
            </w:pPr>
            <w:r>
              <w:rPr>
                <w:b w:val="false"/>
                <w:bCs w:val="false"/>
                <w:sz w:val="20"/>
                <w:szCs w:val="20"/>
              </w:rPr>
              <w:t xml:space="preserve">Producent</w:t>
            </w:r>
          </w:p>
        </w:tc>
        <w:tc>
          <w:tcPr>
            <w:tcW w:type="dxa" w:w="4500"/>
          </w:tcPr>
          <w:p>
            <w:pPr>
              <w:spacing w:after="40"/>
            </w:pPr>
            <w:r>
              <w:rPr>
                <w:b w:val="false"/>
                <w:bCs w:val="false"/>
                <w:sz w:val="20"/>
                <w:szCs w:val="20"/>
              </w:rPr>
              <w:t xml:space="preserve">Wada produktu / nienależyte wykonanie zobowiązania wobec szpitala; niedostarczenie ostrzeżenia właściwemu adresatowi</w:t>
            </w:r>
          </w:p>
        </w:tc>
        <w:tc>
          <w:tcPr>
            <w:tcW w:type="dxa" w:w="3000"/>
          </w:tcPr>
          <w:p>
            <w:pPr>
              <w:spacing w:after="40"/>
            </w:pPr>
            <w:r>
              <w:rPr>
                <w:b w:val="false"/>
                <w:bCs w:val="false"/>
                <w:sz w:val="20"/>
                <w:szCs w:val="20"/>
              </w:rPr>
              <w:t xml:space="preserve">Odpowiedzialność wtórna, dochodzona w regresie; wobec pacjentki tylko na zasadzie wady produktu</w:t>
            </w:r>
          </w:p>
        </w:tc>
      </w:tr>
      <w:tr>
        <w:tc>
          <w:tcPr>
            <w:tcW w:type="dxa" w:w="1500"/>
          </w:tcPr>
          <w:p>
            <w:pPr>
              <w:spacing w:after="40"/>
            </w:pPr>
            <w:r>
              <w:rPr>
                <w:b w:val="false"/>
                <w:bCs w:val="false"/>
                <w:sz w:val="20"/>
                <w:szCs w:val="20"/>
              </w:rPr>
              <w:t xml:space="preserve">Integrator</w:t>
            </w:r>
          </w:p>
        </w:tc>
        <w:tc>
          <w:tcPr>
            <w:tcW w:type="dxa" w:w="4500"/>
          </w:tcPr>
          <w:p>
            <w:pPr>
              <w:spacing w:after="40"/>
            </w:pPr>
            <w:r>
              <w:rPr>
                <w:b w:val="false"/>
                <w:bCs w:val="false"/>
                <w:sz w:val="20"/>
                <w:szCs w:val="20"/>
              </w:rPr>
              <w:t xml:space="preserve">Nienależyte wykonanie umowy wdrożeniowej — konfiguracja formularza pomijająca istotne dane wejściowe</w:t>
            </w:r>
          </w:p>
        </w:tc>
        <w:tc>
          <w:tcPr>
            <w:tcW w:type="dxa" w:w="3000"/>
          </w:tcPr>
          <w:p>
            <w:pPr>
              <w:spacing w:after="40"/>
            </w:pPr>
            <w:r>
              <w:rPr>
                <w:b w:val="false"/>
                <w:bCs w:val="false"/>
                <w:sz w:val="20"/>
                <w:szCs w:val="20"/>
              </w:rPr>
              <w:t xml:space="preserve">Odpowiedzialność zależna od zakresu umowy; ⬛ nieustalona</w:t>
            </w:r>
          </w:p>
        </w:tc>
      </w:tr>
    </w:tbl>
    <w:p>
      <w:pPr>
        <w:spacing w:after="120"/>
        <w:jc w:val="left"/>
      </w:pPr>
      <w:r>
        <w:rPr>
          <w:b w:val="false"/>
          <w:bCs w:val="false"/>
          <w:i w:val="false"/>
          <w:iCs w:val="false"/>
          <w:sz w:val="22"/>
          <w:szCs w:val="22"/>
        </w:rPr>
        <w:t xml:space="preserve">Zalecana konstrukcja procesowa dla pacjentki: pozew przeciwko szpitalowi, z przypozwaniem producenta i integratora. Wielopodmiotowość jest problemem szpitala, nie poszkodowanej — rozdzielanie ról na etapie pozwu przenosi na nią ciężar, którego prawo na nią nie nakłada.</w:t>
      </w:r>
    </w:p>
    <w:p>
      <w:pPr>
        <w:spacing w:after="120"/>
        <w:jc w:val="left"/>
      </w:pPr>
      <w:r>
        <w:rPr>
          <w:b w:val="false"/>
          <w:bCs w:val="false"/>
          <w:i w:val="false"/>
          <w:iCs w:val="false"/>
          <w:sz w:val="22"/>
          <w:szCs w:val="22"/>
        </w:rPr>
        <w:t xml:space="preserve">Ubezpieczyciele: spór o zakres polis toczy się między nimi i nie wstrzymuje roszczenia pacjentki. Podmiot wykonujący działalność leczniczą podlega obowiązkowi ubezpieczenia odpowiedzialności cywilnej na zasadach określonych w ustawie o działalności leczniczej. [VER: api.sejm.gov.pl ELI DU/2026/156 — metryka i tekst jednolity odczytane; ZALECANA WERYFIKACJA numeru jednostki redakcyjnej obowiązku ubezpieczenia — nie odczytałem go w tej turze]</w:t>
      </w:r>
    </w:p>
    <w:p>
      <w:pPr>
        <w:pStyle w:val="Heading2"/>
        <w:spacing w:after="100" w:before="240"/>
      </w:pPr>
      <w:r>
        <w:t xml:space="preserve">Pytanie 4 — przyczynowość i rozmiar szkody przy niepełnej dokumentacji</w:t>
      </w:r>
    </w:p>
    <w:p>
      <w:pPr>
        <w:spacing w:after="120"/>
        <w:jc w:val="left"/>
      </w:pPr>
      <w:r>
        <w:rPr>
          <w:b w:val="false"/>
          <w:bCs w:val="false"/>
          <w:i w:val="false"/>
          <w:iCs w:val="false"/>
          <w:sz w:val="22"/>
          <w:szCs w:val="22"/>
        </w:rPr>
        <w:t xml:space="preserve">Struktura dowodu jest tu odwrócona wobec typowego procesu medycznego i to jest sedno kazusu. Dokumentacja nie zachowała pełnych danych wejściowych ani wersji modelu — a to szpital odpowiada za prowadzenie dokumentacji medycznej i to pacjent ma prawo dostępu do dokumentacji dotyczącej jego stanu zdrowia i udzielonych świadczeń (art. 23 ust. 1 ustawy o prawach pacjenta). [VER: api.sejm.gov.pl ELI DU/2024/581 text.pdf — RZĄD 1, 2026-09-02]</w:t>
      </w:r>
    </w:p>
    <w:p>
      <w:pPr>
        <w:spacing w:after="120"/>
        <w:jc w:val="left"/>
      </w:pPr>
      <w:r>
        <w:rPr>
          <w:b w:val="false"/>
          <w:bCs w:val="false"/>
          <w:i w:val="false"/>
          <w:iCs w:val="false"/>
          <w:sz w:val="22"/>
          <w:szCs w:val="22"/>
        </w:rPr>
        <w:t xml:space="preserve">Skutek procesowy: braku dokumentacji nie wolno obracać przeciwko pacjentce. Uniemożliwienie odtworzenia przebiegu decyzji przez podmiot, na którym ciążył obowiązek dokumentowania, uzasadnia przyjęcie domniemań faktycznych na korzyść poszkodowanej i przeniesienie ciężaru wykazania przebiegu alternatywnego na szpital.</w:t>
      </w:r>
    </w:p>
    <w:p>
      <w:pPr>
        <w:spacing w:after="120"/>
        <w:jc w:val="left"/>
      </w:pPr>
      <w:r>
        <w:rPr>
          <w:b w:val="false"/>
          <w:bCs w:val="false"/>
          <w:i w:val="false"/>
          <w:iCs w:val="false"/>
          <w:sz w:val="22"/>
          <w:szCs w:val="22"/>
        </w:rPr>
        <w:t xml:space="preserve">Warstwa kauzalna: w sprawach medycznych nie wymaga się dowodu pewności, lecz wykazania dostatecznie wysokiego prawdopodobieństwa związku między opóźnieniem a trwałym uszczerbkiem. Punktem odniesienia jest scenariusz kontrfaktyczny: jaki byłby stan Anny przy leczeniu wdrożonym w oknie terapeutycznym. To wymaga opinii biegłego, a nie analizy prawnej. [NIEWERYFIKOWANE — nie powołuję sygnatur orzeczeń; standard opisuję funkcjonalnie]</w:t>
      </w:r>
    </w:p>
    <w:p>
      <w:pPr>
        <w:spacing w:after="120"/>
        <w:jc w:val="left"/>
      </w:pPr>
      <w:r>
        <w:rPr>
          <w:b w:val="false"/>
          <w:bCs w:val="false"/>
          <w:i w:val="false"/>
          <w:iCs w:val="false"/>
          <w:sz w:val="22"/>
          <w:szCs w:val="22"/>
        </w:rPr>
        <w:t xml:space="preserve">Zakres roszczeń: zadośćuczynienie i odszkodowanie za szkodę na osobie, w tym renta z tytułu zwiększonych potrzeb i utraconych zarobków (art. 444–445 KC), oraz — niezależnie — zadośćuczynienie za zawinione naruszenie praw pacjenta, które sąd może przyznać na podstawie art. 448 KC (art. 4 ust. 1 ustawy o prawach pacjenta). [VER: api.sejm.gov.pl ELI DU/2024/581 text.pdf, art. 4 ust. 1 — RZĄD 1, 2026-09-02]</w:t>
      </w:r>
    </w:p>
    <w:p>
      <w:pPr>
        <w:spacing w:after="120"/>
        <w:jc w:val="left"/>
      </w:pPr>
      <w:r>
        <w:rPr>
          <w:b w:val="false"/>
          <w:bCs w:val="false"/>
          <w:i/>
          <w:iCs/>
          <w:sz w:val="22"/>
          <w:szCs w:val="22"/>
        </w:rPr>
        <w:t xml:space="preserve">Uwaga metodologiczna (CV-ALT): roszczenie z art. 444–445 KC i roszczenie z art. 4 ust. 1 ustawy o prawach pacjenta prowadzą do częściowo tego samego skutku dla tej samej strony. Relacja tych podstaw — kumulacja czy wyłączenie — nie została zbadana w tym opracowaniu. Traktuj je jako gałęzie warunkowe, nie jako roszczenia do zsumowania.</w:t>
      </w:r>
    </w:p>
    <w:p>
      <w:pPr>
        <w:pStyle w:val="Heading2"/>
        <w:spacing w:after="100" w:before="240"/>
      </w:pPr>
      <w:r>
        <w:t xml:space="preserve">Pytanie 5 — informacja dla pacjentki, dane i zabezpieczenie dowodów</w:t>
      </w:r>
    </w:p>
    <w:p>
      <w:pPr>
        <w:spacing w:after="120"/>
        <w:jc w:val="left"/>
      </w:pPr>
      <w:r>
        <w:rPr>
          <w:b w:val="false"/>
          <w:bCs w:val="false"/>
          <w:i w:val="false"/>
          <w:iCs w:val="false"/>
          <w:sz w:val="22"/>
          <w:szCs w:val="22"/>
        </w:rPr>
        <w:t xml:space="preserve">Trzy odrębne osie, których kazus nie rozdziela:</w:t>
      </w:r>
    </w:p>
    <w:p>
      <w:pPr>
        <w:pStyle w:val="ListParagraph"/>
        <w:numPr>
          <w:ilvl w:val="0"/>
          <w:numId w:val="1"/>
        </w:numPr>
        <w:spacing w:after="60"/>
      </w:pPr>
      <w:r>
        <w:rPr>
          <w:sz w:val="22"/>
          <w:szCs w:val="22"/>
        </w:rPr>
        <w:t xml:space="preserve">Informacja: brak poinformowania o użyciu systemu wysokiego ryzyka narusza obowiązek z art. 26 ust. 11 AI Act, a w warstwie krajowej — prawo pacjenta do informacji o proponowanych metodach diagnostycznych.</w:t>
      </w:r>
    </w:p>
    <w:p>
      <w:pPr>
        <w:pStyle w:val="ListParagraph"/>
        <w:numPr>
          <w:ilvl w:val="0"/>
          <w:numId w:val="1"/>
        </w:numPr>
        <w:spacing w:after="60"/>
      </w:pPr>
      <w:r>
        <w:rPr>
          <w:sz w:val="22"/>
          <w:szCs w:val="22"/>
        </w:rPr>
        <w:t xml:space="preserve">Dane: szpital jest administratorem danych zdrowotnych; automatyczne aktualizacje modelu przetwarzającego te dane wymagają oceny skutków i podstawy powierzenia. Umowa ograniczająca audyt utrudnia wykonanie obowiązku rozliczalności — a to obciąża szpital, nie pacjentkę.</w:t>
      </w:r>
    </w:p>
    <w:p>
      <w:pPr>
        <w:pStyle w:val="ListParagraph"/>
        <w:numPr>
          <w:ilvl w:val="0"/>
          <w:numId w:val="1"/>
        </w:numPr>
        <w:spacing w:after="60"/>
      </w:pPr>
      <w:r>
        <w:rPr>
          <w:sz w:val="22"/>
          <w:szCs w:val="22"/>
        </w:rPr>
        <w:t xml:space="preserve">Dowody do zabezpieczenia natychmiast: pełne dane wejściowe formularza wraz z wersją modelu, historia aktualizacji i changelog producenta, treść ostrzeżenia przesłanego do IT wraz z metryką czasową, dokumentacja szkoleń (albo dowód ich braku), umowa wdrożeniowa z klauzulą audytową, logi dostępu.</w:t>
      </w:r>
    </w:p>
    <w:p>
      <w:pPr>
        <w:pStyle w:val="Heading2"/>
        <w:spacing w:after="100" w:before="240"/>
      </w:pPr>
      <w:r>
        <w:t xml:space="preserve">Braki faktyczne (zakaz dopowiadania)</w:t>
      </w:r>
    </w:p>
    <w:p>
      <w:pPr>
        <w:spacing w:after="120"/>
        <w:jc w:val="left"/>
      </w:pPr>
      <w:r>
        <w:rPr>
          <w:b w:val="false"/>
          <w:bCs w:val="false"/>
          <w:i w:val="false"/>
          <w:iCs w:val="false"/>
          <w:sz w:val="22"/>
          <w:szCs w:val="22"/>
        </w:rPr>
        <w:t xml:space="preserve">⬛ czy MedPrompt ma certyfikat wyrobu medycznego i jakiej klasy · ⬛ data aktualizacji wobec daty przyjęcia Anny · ⬛ treść i adresat ostrzeżenia producenta · ⬛ zakres umowy z integratorem · ⬛ czy formularz w ogóle przewidywał pole na rzadką terapię · ⬛ jakie było okno terapeutyczne i rokowanie przy leczeniu w terminie · ⬛ treść klauzuli ograniczającej audyt</w:t>
      </w:r>
    </w:p>
    <w:p>
      <w:pPr>
        <w:pStyle w:val="Heading2"/>
        <w:spacing w:after="100" w:before="240"/>
      </w:pPr>
      <w:r>
        <w:t xml:space="preserve">Rozstrzygnięcie</w:t>
      </w:r>
    </w:p>
    <w:p>
      <w:pPr>
        <w:spacing w:after="120"/>
        <w:jc w:val="left"/>
      </w:pPr>
      <w:r>
        <w:rPr>
          <w:b w:val="false"/>
          <w:bCs w:val="false"/>
          <w:i w:val="false"/>
          <w:iCs w:val="false"/>
          <w:sz w:val="22"/>
          <w:szCs w:val="22"/>
        </w:rPr>
        <w:t xml:space="preserve">Odpowiedzialność szpitala wobec pacjentki — przesądzona na dwóch podstawach (za podwładnego i za własną wadliwą organizację); brak dokumentacji obciąża szpital, nie poszkodowaną; roszczenia: zadośćuczynienie i odszkodowanie za szkodę na osobie oraz odrębnie za zawinione naruszenie praw pacjenta; regres szpitala wobec producenta i integratora — zasadny co do zasady, jego zakres zależy od treści umów; naruszenie obowiązku informacyjnego z AI Act — samodzielne, niezależne od skutku zdrowotnego.</w:t>
      </w:r>
    </w:p>
    <w:p>
      <w:pPr>
        <w:pageBreakBefore/>
      </w:pPr>
    </w:p>
    <w:p>
      <w:pPr>
        <w:pStyle w:val="Heading1"/>
        <w:spacing w:after="160" w:before="360"/>
      </w:pPr>
      <w:r>
        <w:t xml:space="preserve">KAZUS PL-05 — „Chmura dla metropolii"</w:t>
      </w:r>
    </w:p>
    <w:p>
      <w:pPr>
        <w:spacing w:after="120"/>
        <w:jc w:val="left"/>
      </w:pPr>
      <w:r>
        <w:rPr>
          <w:b w:val="false"/>
          <w:bCs w:val="false"/>
          <w:i/>
          <w:iCs/>
          <w:sz w:val="22"/>
          <w:szCs w:val="22"/>
        </w:rPr>
        <w:t xml:space="preserve">Zamówienia publiczne · cyberbezpieczeństwo · RODO · tajemnice · ciągłość usług</w:t>
      </w:r>
    </w:p>
    <w:p>
      <w:pPr>
        <w:pStyle w:val="Heading2"/>
        <w:spacing w:after="100" w:before="240"/>
      </w:pPr>
      <w:r>
        <w:t xml:space="preserve">Teza wstępna</w:t>
      </w:r>
    </w:p>
    <w:p>
      <w:pPr>
        <w:spacing w:after="120"/>
        <w:jc w:val="left"/>
      </w:pPr>
      <w:r>
        <w:rPr>
          <w:b w:val="false"/>
          <w:bCs w:val="false"/>
          <w:i w:val="false"/>
          <w:iCs w:val="false"/>
          <w:sz w:val="22"/>
          <w:szCs w:val="22"/>
        </w:rPr>
        <w:t xml:space="preserve">Kryterium „suwerenności technologicznej" upada nie dlatego, że premiuje lokalizację, lecz dlatego, że nie wyjaśnia sposobu oceny. Nowych wymagań bezpieczeństwa nie można dołożyć po wyborze oferty — trzeba wrócić do postępowania. Presja czasu jest realna, ale nie jest podstawą prawną.</w:t>
      </w:r>
    </w:p>
    <w:p>
      <w:pPr>
        <w:pStyle w:val="Heading2"/>
        <w:spacing w:after="100" w:before="240"/>
      </w:pPr>
      <w:r>
        <w:t xml:space="preserve">Pytanie 1 — czy kryterium jest związane z przedmiotem, mierzalne i niedyskryminacyjne</w:t>
      </w:r>
    </w:p>
    <w:p>
      <w:pPr>
        <w:spacing w:after="120"/>
        <w:jc w:val="left"/>
      </w:pPr>
      <w:r>
        <w:rPr>
          <w:b w:val="false"/>
          <w:bCs w:val="false"/>
          <w:i w:val="false"/>
          <w:iCs w:val="false"/>
          <w:sz w:val="22"/>
          <w:szCs w:val="22"/>
        </w:rPr>
        <w:t xml:space="preserve">Trzy testy ustawowe, wszystkie z jednego bloku przepisów. Zamawiający opisuje kryteria oceny ofert w sposób jednoznaczny i zrozumiały; kryteria i ich opis nie mogą pozostawiać zamawiającemu nieograniczonej swobody wyboru najkorzystniejszej oferty oraz umożliwiają weryfikację i porównanie poziomu oferowanego wykonania przedmiotu zamówienia na podstawie informacji przedstawianych w ofertach (art. 240 ust. 1 i 2 PZP). [VER: api.sejm.gov.pl ELI DU/2026/793 text.pdf — RZĄD 1, 2026-09-02]</w:t>
      </w:r>
    </w:p>
    <w:p>
      <w:pPr>
        <w:spacing w:after="120"/>
        <w:jc w:val="left"/>
      </w:pPr>
      <w:r>
        <w:rPr>
          <w:b w:val="false"/>
          <w:bCs w:val="false"/>
          <w:i w:val="false"/>
          <w:iCs w:val="false"/>
          <w:sz w:val="22"/>
          <w:szCs w:val="22"/>
        </w:rPr>
        <w:t xml:space="preserve">Kryteria oceny ofert muszą być związane z przedmiotem zamówienia, przy czym związek istnieje wówczas, gdy dotyczą one robót budowlanych, dostaw lub usług będących przedmiotem zamówienia w dowolnych aspektach i w odniesieniu do dowolnych etapów ich cyklu życia (art. 241 ust. 1 i 2). Kryteria nie mogą natomiast dotyczyć właściwości wykonawcy, w szczególności jego wiarygodności ekonomicznej (art. 241 ust. 3). [VER: jw. — RZĄD 1, 2026-09-02]</w:t>
      </w:r>
    </w:p>
    <w:p>
      <w:pPr>
        <w:spacing w:after="120"/>
        <w:jc w:val="left"/>
      </w:pPr>
      <w:r>
        <w:rPr>
          <w:b w:val="false"/>
          <w:bCs w:val="false"/>
          <w:i w:val="false"/>
          <w:iCs w:val="false"/>
          <w:sz w:val="22"/>
          <w:szCs w:val="22"/>
        </w:rPr>
        <w:t xml:space="preserve">Ocena kryterium z kazusu:</w:t>
      </w:r>
    </w:p>
    <w:p>
      <w:pPr>
        <w:pStyle w:val="ListParagraph"/>
        <w:numPr>
          <w:ilvl w:val="0"/>
          <w:numId w:val="1"/>
        </w:numPr>
        <w:spacing w:after="60"/>
      </w:pPr>
      <w:r>
        <w:rPr>
          <w:sz w:val="22"/>
          <w:szCs w:val="22"/>
        </w:rPr>
        <w:t xml:space="preserve">Związek z przedmiotem — obroniony. Lokalizacja centrum danych dotyczy sposobu świadczenia usługi na etapie jej cyklu życia, a nie cechy wykonawcy. Art. 241 ust. 2 jest tu wyraźnie po stronie zamawiającego.</w:t>
      </w:r>
    </w:p>
    <w:p>
      <w:pPr>
        <w:pStyle w:val="ListParagraph"/>
        <w:numPr>
          <w:ilvl w:val="0"/>
          <w:numId w:val="1"/>
        </w:numPr>
        <w:spacing w:after="60"/>
      </w:pPr>
      <w:r>
        <w:rPr>
          <w:sz w:val="22"/>
          <w:szCs w:val="22"/>
        </w:rPr>
        <w:t xml:space="preserve">Mierzalność — nieobroniona. Kryterium „nie wyjaśnia oceny", czyli narusza art. 240 ust. 2 wprost: nie da się zweryfikować ani porównać poziomu wykonania, a zamawiający zachowuje swobodę nieograniczoną.</w:t>
      </w:r>
    </w:p>
    <w:p>
      <w:pPr>
        <w:pStyle w:val="ListParagraph"/>
        <w:numPr>
          <w:ilvl w:val="0"/>
          <w:numId w:val="1"/>
        </w:numPr>
        <w:spacing w:after="60"/>
      </w:pPr>
      <w:r>
        <w:rPr>
          <w:sz w:val="22"/>
          <w:szCs w:val="22"/>
        </w:rPr>
        <w:t xml:space="preserve">Niedyskryminacyjność — zagrożona. Premiowanie lokalizacji krajowej wymaga uzasadnienia celem obiektywnym (ciągłość usług, dostęp organów, jurysdykcja nad danymi), a nie preferencją pochodzenia. Bez opisanej metodyki oceny takie uzasadnienie jest nieweryfikowalne, więc zarzut dyskryminacji staje się trudny do odparcia.</w:t>
      </w:r>
    </w:p>
    <w:p>
      <w:pPr>
        <w:spacing w:after="120"/>
        <w:jc w:val="left"/>
      </w:pPr>
      <w:r>
        <w:rPr>
          <w:b w:val="false"/>
          <w:bCs w:val="false"/>
          <w:i w:val="false"/>
          <w:iCs w:val="false"/>
          <w:sz w:val="22"/>
          <w:szCs w:val="22"/>
        </w:rPr>
        <w:t xml:space="preserve">Konkluzja: kryterium jest wadliwe przez sposób opisania, nie przez treść. To ważne, bo wskazuje środek naprawczy — doprecyzowanie metodyki, a nie rezygnacja z wymogu.</w:t>
      </w:r>
    </w:p>
    <w:p>
      <w:pPr>
        <w:pStyle w:val="Heading2"/>
        <w:spacing w:after="100" w:before="240"/>
      </w:pPr>
      <w:r>
        <w:t xml:space="preserve">Pytanie 2 — poleganie na zasobach grupy i udział podmiotów trzecich</w:t>
      </w:r>
    </w:p>
    <w:p>
      <w:pPr>
        <w:spacing w:after="120"/>
        <w:jc w:val="left"/>
      </w:pPr>
      <w:r>
        <w:rPr>
          <w:b w:val="false"/>
          <w:bCs w:val="false"/>
          <w:i w:val="false"/>
          <w:iCs w:val="false"/>
          <w:sz w:val="22"/>
          <w:szCs w:val="22"/>
        </w:rPr>
        <w:t xml:space="preserve">Wykonawca może, w celu potwierdzenia spełniania warunków udziału w postępowaniu lub kryteriów selekcji, w stosownych sytuacjach oraz w odniesieniu do konkretnego zamówienia, polegać na zdolnościach technicznych lub zawodowych albo sytuacji finansowej lub ekonomicznej podmiotów udostępniających zasoby — niezależnie od charakteru prawnego łączących go z nimi stosunków (art. 118 ust. 1 PZP). W odniesieniu do warunków dotyczących wykształcenia, kwalifikacji zawodowych lub doświadczenia wykonawcy mogą polegać na zdolnościach takich podmiotów, jeśli podmioty te wykonają roboty budowlane lub usługi, do realizacji których te zdolności są wymagane (art. 118 ust. 2). [VER: api.sejm.gov.pl ELI DU/2026/793 text.pdf — RZĄD 1, 2026-09-02]</w:t>
      </w:r>
    </w:p>
    <w:p>
      <w:pPr>
        <w:spacing w:after="120"/>
        <w:jc w:val="left"/>
      </w:pPr>
      <w:r>
        <w:rPr>
          <w:b w:val="false"/>
          <w:bCs w:val="false"/>
          <w:i w:val="false"/>
          <w:iCs w:val="false"/>
          <w:sz w:val="22"/>
          <w:szCs w:val="22"/>
        </w:rPr>
        <w:t xml:space="preserve">Zastosowanie do kazusu jest rozstrzygające i niekorzystne dla konsorcjum. Referencje innej spółki z grupy to doświadczenie cudze. Art. 118 ust. 2 nie pozwala „pożyczyć" doświadczenia bez realnego udziału podmiotu użyczającego w wykonaniu tej właśnie usługi. Przynależność do jednej grupy kapitałowej niczego nie zmienia — ustawa pyta o wykonanie, nie o strukturę właścicielską.</w:t>
      </w:r>
    </w:p>
    <w:p>
      <w:pPr>
        <w:spacing w:after="120"/>
        <w:jc w:val="left"/>
      </w:pPr>
      <w:r>
        <w:rPr>
          <w:b w:val="false"/>
          <w:bCs w:val="false"/>
          <w:i w:val="false"/>
          <w:iCs w:val="false"/>
          <w:sz w:val="22"/>
          <w:szCs w:val="22"/>
        </w:rPr>
        <w:t xml:space="preserve">Pytanie kontrolne dla zamawiającego: czy spółka, której referencje wskazano, będzie faktycznie świadczyć usługę objętą tym doświadczeniem, i czy złożono zobowiązanie do udostępnienia zasobów o treści odpowiadającej temu udziałowi. Odpowiedź negatywna oznacza brak wykazania warunku.</w:t>
      </w:r>
    </w:p>
    <w:p>
      <w:pPr>
        <w:pStyle w:val="Heading2"/>
        <w:spacing w:after="100" w:before="240"/>
      </w:pPr>
      <w:r>
        <w:t xml:space="preserve">Pytanie 3 — co może pozostać tajne wobec konkurenta i wobec KIO</w:t>
      </w:r>
    </w:p>
    <w:p>
      <w:pPr>
        <w:spacing w:after="120"/>
        <w:jc w:val="left"/>
      </w:pPr>
      <w:r>
        <w:rPr>
          <w:b w:val="false"/>
          <w:bCs w:val="false"/>
          <w:i w:val="false"/>
          <w:iCs w:val="false"/>
          <w:sz w:val="22"/>
          <w:szCs w:val="22"/>
        </w:rPr>
        <w:t xml:space="preserve">Postępowanie o udzielenie zamówienia jest jawne, a zamawiający może ograniczyć dostęp do informacji tylko w przypadkach określonych w ustawie (art. 18 ust. 1 i 2 PZP). Nie ujawnia się informacji stanowiących tajemnicę przedsiębiorstwa w rozumieniu ustawy o zwalczaniu nieuczciwej konkurencji, jeżeli wykonawca wraz z przekazaniem takich informacji zastrzegł, że nie mogą być udostępniane, oraz WYKAZAŁ, że zastrzeżone informacje stanowią tajemnicę przedsiębiorstwa; nie można zastrzec informacji, o których mowa w art. 222 ust. 5 (art. 18 ust. 3). [VER: api.sejm.gov.pl ELI DU/2026/793 text.pdf — RZĄD 1, 2026-09-02]</w:t>
      </w:r>
    </w:p>
    <w:p>
      <w:pPr>
        <w:spacing w:after="120"/>
        <w:jc w:val="left"/>
      </w:pPr>
      <w:r>
        <w:rPr>
          <w:b w:val="false"/>
          <w:bCs w:val="false"/>
          <w:i w:val="false"/>
          <w:iCs w:val="false"/>
          <w:sz w:val="22"/>
          <w:szCs w:val="22"/>
        </w:rPr>
        <w:t xml:space="preserve">Trzy konsekwencje, które kazus zaciera:</w:t>
      </w:r>
    </w:p>
    <w:p>
      <w:pPr>
        <w:pStyle w:val="ListParagraph"/>
        <w:numPr>
          <w:ilvl w:val="0"/>
          <w:numId w:val="1"/>
        </w:numPr>
        <w:spacing w:after="60"/>
      </w:pPr>
      <w:r>
        <w:rPr>
          <w:sz w:val="22"/>
          <w:szCs w:val="22"/>
        </w:rPr>
        <w:t xml:space="preserve">Zastrzeżenie nie działa samo z siebie. Ciężar WYKAZANIA spoczywa na wykonawcy i musi być spełniony w momencie przekazania informacji, nie później. „Utajnienie znacznej części wyjaśnień" bez takiego wykazania jest bezskuteczne, a zamawiający ma obowiązek je odtajnić.</w:t>
      </w:r>
    </w:p>
    <w:p>
      <w:pPr>
        <w:pStyle w:val="ListParagraph"/>
        <w:numPr>
          <w:ilvl w:val="0"/>
          <w:numId w:val="1"/>
        </w:numPr>
        <w:spacing w:after="60"/>
      </w:pPr>
      <w:r>
        <w:rPr>
          <w:sz w:val="22"/>
          <w:szCs w:val="22"/>
        </w:rPr>
        <w:t xml:space="preserve">Utajnienie wobec konkurenta nie oznacza utajnienia wobec Izby. KIO bada dokumentację w pełnym zakresie — inaczej kontrola byłaby iluzoryczna. Zakres tajemnicy dotyczy dostępu strony przeciwnej, nie organu orzekającego.</w:t>
      </w:r>
    </w:p>
    <w:p>
      <w:pPr>
        <w:pStyle w:val="ListParagraph"/>
        <w:numPr>
          <w:ilvl w:val="0"/>
          <w:numId w:val="1"/>
        </w:numPr>
        <w:spacing w:after="60"/>
      </w:pPr>
      <w:r>
        <w:rPr>
          <w:sz w:val="22"/>
          <w:szCs w:val="22"/>
        </w:rPr>
        <w:t xml:space="preserve">Wyjaśnienia rażąco niskiej ceny są klasycznym polem nadużycia tej instytucji. Kalkulacja kosztów bywa tajemnicą, ale sam fakt korzystania z globalnej chmury i tożsamość podmiotu udostępniającego zasoby — nie: to informacje o spełnianiu warunków, a te podlegają weryfikacji przez konkurentów.</w:t>
      </w:r>
    </w:p>
    <w:p>
      <w:pPr>
        <w:pStyle w:val="Heading2"/>
        <w:spacing w:after="100" w:before="240"/>
      </w:pPr>
      <w:r>
        <w:t xml:space="preserve">Pytanie 4 — czy nowe wymagania można wprowadzić bez naruszenia równego traktowania</w:t>
      </w:r>
    </w:p>
    <w:p>
      <w:pPr>
        <w:spacing w:after="120"/>
        <w:jc w:val="left"/>
      </w:pPr>
      <w:r>
        <w:rPr>
          <w:b w:val="false"/>
          <w:bCs w:val="false"/>
          <w:i w:val="false"/>
          <w:iCs w:val="false"/>
          <w:sz w:val="22"/>
          <w:szCs w:val="22"/>
        </w:rPr>
        <w:t xml:space="preserve">Odpowiedź zależy od momentu i jest binarna. Umowa nie została jeszcze zawarta, więc przepisy o zmianie umowy jeszcze nie działają — ale wyznaczają granicę myślenia. Istotna zmiana zawartej umowy wymaga przeprowadzenia nowego postępowania; zmiana jest istotna, jeżeli powoduje, że charakter umowy zmienia się w sposób istotny w stosunku do pierwotnej, w szczególności gdy wprowadza warunki, które — gdyby zastosowano je w postępowaniu — spowodowałyby udział innych wykonawców lub przyjęcie ofert innej treści (art. 454 ust. 1 i 2 pkt 1 PZP). Katalog zmian dopuszczalnych bez nowego postępowania otwiera art. 455 ust. 1 pkt 1: zmiana przewidziana w ogłoszeniu lub dokumentach zamówienia w postaci jasnych, precyzyjnych i jednoznacznych postanowień określających rodzaj i zakres zmian oraz warunki ich wprowadzenia, nienaruszających ogólnego charakteru umowy. [VER: api.sejm.gov.pl ELI DU/2026/793 text.pdf — RZĄD 1, 2026-09-02]</w:t>
      </w:r>
    </w:p>
    <w:p>
      <w:pPr>
        <w:spacing w:after="120"/>
        <w:jc w:val="left"/>
      </w:pPr>
      <w:r>
        <w:rPr>
          <w:b w:val="false"/>
          <w:bCs w:val="false"/>
          <w:i w:val="false"/>
          <w:iCs w:val="false"/>
          <w:sz w:val="22"/>
          <w:szCs w:val="22"/>
        </w:rPr>
        <w:t xml:space="preserve">Lokalne zarządzanie kluczami i prawo natychmiastowego audytu to wymagania, które zmieniłyby krąg wykonawców zdolnych złożyć ofertę i wpłynęłyby na cenę. Gdyby postawiono je w ogłoszeniu, oferty byłyby inne — a to jest dokładnie test z art. 454 ust. 2 pkt 1. Wprowadzenie ich po wyborze oferty narusza równe traktowanie wobec wykonawców, którzy odpadli lub nie złożyli oferty przy pierwotnych warunkach.</w:t>
      </w:r>
    </w:p>
    <w:p>
      <w:pPr>
        <w:spacing w:after="120"/>
        <w:jc w:val="left"/>
      </w:pPr>
      <w:r>
        <w:rPr>
          <w:b w:val="false"/>
          <w:bCs w:val="false"/>
          <w:i w:val="false"/>
          <w:iCs w:val="false"/>
          <w:sz w:val="22"/>
          <w:szCs w:val="22"/>
        </w:rPr>
        <w:t xml:space="preserve">Jedyne czyste wyjście: unieważnienie albo powtórzenie postępowania w zakresie objętym zmianą, ewentualnie zawarcie umowy w kształcie pierwotnym i objęcie nowych wymagań odrębnym zamówieniem, o ile da się je wydzielić technicznie. Konsorcjum ma rację, mówiąc o istotnej zmianie zakresu i ceny — i jest to racja prawna, nie tylko negocjacyjna.</w:t>
      </w:r>
    </w:p>
    <w:p>
      <w:pPr>
        <w:pStyle w:val="Heading2"/>
        <w:spacing w:after="100" w:before="240"/>
      </w:pPr>
      <w:r>
        <w:t xml:space="preserve">Pytanie 5 — cyberbezpieczeństwo, RODO, ciągłość usług i środek tymczasowy</w:t>
      </w:r>
    </w:p>
    <w:p>
      <w:pPr>
        <w:spacing w:after="120"/>
        <w:jc w:val="left"/>
      </w:pPr>
      <w:r>
        <w:rPr>
          <w:b w:val="false"/>
          <w:bCs w:val="false"/>
          <w:i w:val="false"/>
          <w:iCs w:val="false"/>
          <w:sz w:val="22"/>
          <w:szCs w:val="22"/>
        </w:rPr>
        <w:t xml:space="preserve">W przypadku wniesienia odwołania zamawiający nie może zawrzeć umowy do czasu ogłoszenia przez Izbę wyroku lub postanowienia kończącego postępowanie odwoławcze (art. 577 PZP). Zamawiający może jednak złożyć do Izby wniosek o uchylenie tego zakazu, a Izba może go uchylić, jeżeli niezawarcie umowy mogłoby spowodować negatywne skutki dla interesu publicznego przewyższające korzyści związane z koniecznością ochrony wszystkich interesów, w odniesieniu do których zachodzi prawdopodobieństwo doznania uszczerbku (art. 578 ust. 1 i 2 pkt 1). [VER: api.sejm.gov.pl ELI DU/2026/793 text.pdf — RZĄD 1, 2026-09-02]</w:t>
      </w:r>
    </w:p>
    <w:p>
      <w:pPr>
        <w:spacing w:after="120"/>
        <w:jc w:val="left"/>
      </w:pPr>
      <w:r>
        <w:rPr>
          <w:b w:val="false"/>
          <w:bCs w:val="false"/>
          <w:i w:val="false"/>
          <w:iCs w:val="false"/>
          <w:sz w:val="22"/>
          <w:szCs w:val="22"/>
        </w:rPr>
        <w:t xml:space="preserve">To jest właściwe narzędzie dla dylematu z kazusu — i jednocześnie test, którego zamawiający na tym materiale prawdopodobnie nie przejdzie. Po jednej stronie: podatność obecnego systemu i ryzyko przerwy w usługach transportowych i świadczeniowych. Po drugiej: podpisanie umowy utrwaliłoby niezweryfikowany łańcuch dostaw po incydencie u dostawcy chmury oraz ograniczyło przenoszalność danych. Uchylenie zakazu ma sens przy zagrożeniu nagłym i krótkotrwałym; tu ryzyko po stronie zamówienia jest trwałe i systemowe.</w:t>
      </w:r>
    </w:p>
    <w:p>
      <w:pPr>
        <w:spacing w:after="120"/>
        <w:jc w:val="left"/>
      </w:pPr>
      <w:r>
        <w:rPr>
          <w:b w:val="false"/>
          <w:bCs w:val="false"/>
          <w:i w:val="false"/>
          <w:iCs w:val="false"/>
          <w:sz w:val="22"/>
          <w:szCs w:val="22"/>
        </w:rPr>
        <w:t xml:space="preserve">Warstwa cyberbezpieczeństwa: operator usługi kluczowej wdraża system zarządzania bezpieczeństwem w systemie informacyjnym wykorzystywanym do świadczenia usługi kluczowej (art. 8 ustawy o krajowym systemie cyberbezpieczeństwa), a incydent istotny zgłasza się niezwłocznie, nie później niż w ciągu 24 godzin od momentu wykrycia, do właściwego CSIRT. [VER: api.sejm.gov.pl ELI DU/2026/20 text.pdf — RZĄD 1, 2026-09-02] ⬛ Kazus nie przesądza, czy metropolia występuje jako operator usługi kluczowej, czy jako podmiot publiczny — a od tego zależy katalog obowiązków i to ustalenie musi poprzedzić projektowanie umowy.</w:t>
      </w:r>
    </w:p>
    <w:p>
      <w:pPr>
        <w:spacing w:after="120"/>
        <w:jc w:val="left"/>
      </w:pPr>
      <w:r>
        <w:rPr>
          <w:b w:val="false"/>
          <w:bCs w:val="false"/>
          <w:i w:val="false"/>
          <w:iCs w:val="false"/>
          <w:sz w:val="22"/>
          <w:szCs w:val="22"/>
        </w:rPr>
        <w:t xml:space="preserve">Warstwa danych osobowych: incydent u dostawcy chmury aktualizuje obowiązki po stronie administratora niezależnie od losu postępowania. Wymagania lokalnego zarządzania kluczami i prawa natychmiastowego audytu są w istocie realizacją obowiązku doboru podmiotu przetwarzającego dającego gwarancje wdrożenia odpowiednich środków — dlatego ich brak w dokumentacji zamówienia jest błędem projektowania SWZ, popełnionym przed incydentem, a nie reakcją na niego.</w:t>
      </w:r>
    </w:p>
    <w:p>
      <w:pPr>
        <w:spacing w:after="120"/>
        <w:jc w:val="left"/>
      </w:pPr>
      <w:r>
        <w:rPr>
          <w:b w:val="false"/>
          <w:bCs w:val="false"/>
          <w:i w:val="false"/>
          <w:iCs w:val="false"/>
          <w:sz w:val="22"/>
          <w:szCs w:val="22"/>
        </w:rPr>
        <w:t xml:space="preserve">Rekomendowana sekwencja działań: (1) nie zawierać umowy — zakaz z art. 577 i tak działa; (2) nie występować o uchylenie zakazu, bo test interesu publicznego jest tu przegrany; (3) równolegle uruchomić doraźne zabezpieczenie obecnego systemu jako zamówienie odrębne, adresujące podatność bez przesądzania o platformie docelowej; (4) po rozstrzygnięciu KIO powtórzyć postępowanie z poprawionym opisem kryterium i z wymaganiami bezpieczeństwa wpisanymi do SWZ od początku.</w:t>
      </w:r>
    </w:p>
    <w:p>
      <w:pPr>
        <w:pStyle w:val="Heading2"/>
        <w:spacing w:after="100" w:before="240"/>
      </w:pPr>
      <w:r>
        <w:t xml:space="preserve">Braki faktyczne (zakaz dopowiadania)</w:t>
      </w:r>
    </w:p>
    <w:p>
      <w:pPr>
        <w:spacing w:after="120"/>
        <w:jc w:val="left"/>
      </w:pPr>
      <w:r>
        <w:rPr>
          <w:b w:val="false"/>
          <w:bCs w:val="false"/>
          <w:i w:val="false"/>
          <w:iCs w:val="false"/>
          <w:sz w:val="22"/>
          <w:szCs w:val="22"/>
        </w:rPr>
        <w:t xml:space="preserve">⬛ pełna treść opisu kryterium „suwerenności technologicznej" i przypisana mu waga · ⬛ czy złożono zobowiązanie podmiotu udostępniającego zasoby i jaki udział w wykonaniu przewiduje · ⬛ czy wykonawca wykazał zasadność zastrzeżenia tajemnicy w momencie przekazania informacji · ⬛ zakres i skutki incydentu u dostawcy chmury · ⬛ status metropolii w krajowym systemie cyberbezpieczeństwa · ⬛ czy dokumenty zamówienia przewidywały klauzule zmiany (art. 455 ust. 1 pkt 1) · ⬛ realny horyzont podatności obecnego systemu</w:t>
      </w:r>
    </w:p>
    <w:p>
      <w:pPr>
        <w:pStyle w:val="Heading2"/>
        <w:spacing w:after="100" w:before="240"/>
      </w:pPr>
      <w:r>
        <w:t xml:space="preserve">Rozstrzygnięcie</w:t>
      </w:r>
    </w:p>
    <w:p>
      <w:pPr>
        <w:spacing w:after="120"/>
        <w:jc w:val="left"/>
      </w:pPr>
      <w:r>
        <w:rPr>
          <w:b w:val="false"/>
          <w:bCs w:val="false"/>
          <w:i w:val="false"/>
          <w:iCs w:val="false"/>
          <w:sz w:val="22"/>
          <w:szCs w:val="22"/>
        </w:rPr>
        <w:t xml:space="preserve">Odwołanie konkurenta zasadne co do opisu kryterium (naruszenie art. 240 ust. 2 PZP) oraz co do polegania na zasobach grupy bez realnego udziału podmiotu udostępniającego (art. 118 ust. 2); utajnienie wyjaśnień — bezskuteczne w zakresie, w jakim wykonawca nie wykazał przesłanek tajemnicy przedsiębiorstwa; nowych wymagań bezpieczeństwa nie wolno wprowadzić po wyborze oferty — konieczne powtórzenie postępowania w tym zakresie; wniosek o uchylenie zakazu zawarcia umowy — niezasadny; podatność obecnego systemu adresować odrębnym zamówieniem doraźnym.</w:t>
      </w:r>
    </w:p>
    <w:p>
      <w:pPr>
        <w:pageBreakBefore/>
      </w:pPr>
    </w:p>
    <w:p>
      <w:pPr>
        <w:pStyle w:val="Heading2"/>
        <w:spacing w:after="100" w:before="240"/>
      </w:pPr>
      <w:r>
        <w:t xml:space="preserve">Legenda znaczników weryfikacji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8E8E8" w:val="clear"/>
          </w:tcPr>
          <w:p>
            <w:pPr>
              <w:spacing w:after="40"/>
            </w:pPr>
            <w:r>
              <w:rPr>
                <w:b/>
                <w:bCs/>
                <w:sz w:val="20"/>
                <w:szCs w:val="20"/>
              </w:rPr>
              <w:t xml:space="preserve">Znacznik</w:t>
            </w:r>
          </w:p>
        </w:tc>
        <w:tc>
          <w:tcPr>
            <w:tcW w:type="dxa" w:w="6400"/>
            <w:shd w:fill="E8E8E8" w:val="clear"/>
          </w:tcPr>
          <w:p>
            <w:pPr>
              <w:spacing w:after="40"/>
            </w:pPr>
            <w:r>
              <w:rPr>
                <w:b/>
                <w:bCs/>
                <w:sz w:val="20"/>
                <w:szCs w:val="20"/>
              </w:rPr>
              <w:t xml:space="preserve">Znaczenie</w:t>
            </w:r>
          </w:p>
        </w:tc>
      </w:tr>
      <w:tr>
        <w:tc>
          <w:tcPr>
            <w:tcW w:type="dxa" w:w="2600"/>
          </w:tcPr>
          <w:p>
            <w:pPr>
              <w:spacing w:after="40"/>
            </w:pPr>
            <w:r>
              <w:rPr>
                <w:b w:val="false"/>
                <w:bCs w:val="false"/>
                <w:sz w:val="20"/>
                <w:szCs w:val="20"/>
              </w:rPr>
              <w:t xml:space="preserve">[VER: źródło, data]</w:t>
            </w:r>
          </w:p>
        </w:tc>
        <w:tc>
          <w:tcPr>
            <w:tcW w:type="dxa" w:w="6400"/>
          </w:tcPr>
          <w:p>
            <w:pPr>
              <w:spacing w:after="40"/>
            </w:pPr>
            <w:r>
              <w:rPr>
                <w:b w:val="false"/>
                <w:bCs w:val="false"/>
                <w:sz w:val="20"/>
                <w:szCs w:val="20"/>
              </w:rPr>
              <w:t xml:space="preserve">Brzmienie odczytane w tej turze z podanego źródła</w:t>
            </w:r>
          </w:p>
        </w:tc>
      </w:tr>
      <w:tr>
        <w:tc>
          <w:tcPr>
            <w:tcW w:type="dxa" w:w="2600"/>
          </w:tcPr>
          <w:p>
            <w:pPr>
              <w:spacing w:after="40"/>
            </w:pPr>
            <w:r>
              <w:rPr>
                <w:b w:val="false"/>
                <w:bCs w:val="false"/>
                <w:sz w:val="20"/>
                <w:szCs w:val="20"/>
              </w:rPr>
              <w:t xml:space="preserve">RZĄD 1</w:t>
            </w:r>
          </w:p>
        </w:tc>
        <w:tc>
          <w:tcPr>
            <w:tcW w:type="dxa" w:w="6400"/>
          </w:tcPr>
          <w:p>
            <w:pPr>
              <w:spacing w:after="40"/>
            </w:pPr>
            <w:r>
              <w:rPr>
                <w:b w:val="false"/>
                <w:bCs w:val="false"/>
                <w:sz w:val="20"/>
                <w:szCs w:val="20"/>
              </w:rPr>
              <w:t xml:space="preserve">Źródło urzędowe (ISAP / ELI / api.sejm.gov.pl / EUR-Lex / strony organów)</w:t>
            </w:r>
          </w:p>
        </w:tc>
      </w:tr>
      <w:tr>
        <w:tc>
          <w:tcPr>
            <w:tcW w:type="dxa" w:w="2600"/>
          </w:tcPr>
          <w:p>
            <w:pPr>
              <w:spacing w:after="40"/>
            </w:pPr>
            <w:r>
              <w:rPr>
                <w:b w:val="false"/>
                <w:bCs w:val="false"/>
                <w:sz w:val="20"/>
                <w:szCs w:val="20"/>
              </w:rPr>
              <w:t xml:space="preserve">RZĄD 2B</w:t>
            </w:r>
          </w:p>
        </w:tc>
        <w:tc>
          <w:tcPr>
            <w:tcW w:type="dxa" w:w="6400"/>
          </w:tcPr>
          <w:p>
            <w:pPr>
              <w:spacing w:after="40"/>
            </w:pPr>
            <w:r>
              <w:rPr>
                <w:b w:val="false"/>
                <w:bCs w:val="false"/>
                <w:sz w:val="20"/>
                <w:szCs w:val="20"/>
              </w:rPr>
              <w:t xml:space="preserve">Portal branżowy lub komercyjna baza prawa</w:t>
            </w:r>
          </w:p>
        </w:tc>
      </w:tr>
      <w:tr>
        <w:tc>
          <w:tcPr>
            <w:tcW w:type="dxa" w:w="2600"/>
          </w:tcPr>
          <w:p>
            <w:pPr>
              <w:spacing w:after="40"/>
            </w:pPr>
            <w:r>
              <w:rPr>
                <w:b w:val="false"/>
                <w:bCs w:val="false"/>
                <w:sz w:val="20"/>
                <w:szCs w:val="20"/>
              </w:rPr>
              <w:t xml:space="preserve">RZĄD 3</w:t>
            </w:r>
          </w:p>
        </w:tc>
        <w:tc>
          <w:tcPr>
            <w:tcW w:type="dxa" w:w="6400"/>
          </w:tcPr>
          <w:p>
            <w:pPr>
              <w:spacing w:after="40"/>
            </w:pPr>
            <w:r>
              <w:rPr>
                <w:b w:val="false"/>
                <w:bCs w:val="false"/>
                <w:sz w:val="20"/>
                <w:szCs w:val="20"/>
              </w:rPr>
              <w:t xml:space="preserve">Opracowanie, komentarz, publikacja naukowa lub branżowa</w:t>
            </w:r>
          </w:p>
        </w:tc>
      </w:tr>
      <w:tr>
        <w:tc>
          <w:tcPr>
            <w:tcW w:type="dxa" w:w="2600"/>
          </w:tcPr>
          <w:p>
            <w:pPr>
              <w:spacing w:after="40"/>
            </w:pPr>
            <w:r>
              <w:rPr>
                <w:b w:val="false"/>
                <w:bCs w:val="false"/>
                <w:sz w:val="20"/>
                <w:szCs w:val="20"/>
              </w:rPr>
              <w:t xml:space="preserve">[NIEWERYFIKOWANE]</w:t>
            </w:r>
          </w:p>
        </w:tc>
        <w:tc>
          <w:tcPr>
            <w:tcW w:type="dxa" w:w="6400"/>
          </w:tcPr>
          <w:p>
            <w:pPr>
              <w:spacing w:after="40"/>
            </w:pPr>
            <w:r>
              <w:rPr>
                <w:b w:val="false"/>
                <w:bCs w:val="false"/>
                <w:sz w:val="20"/>
                <w:szCs w:val="20"/>
              </w:rPr>
              <w:t xml:space="preserve">Twierdzenie bez pokrycia źródłowego w tej turze — wymaga samodzielnego sprawdzenia</w:t>
            </w:r>
          </w:p>
        </w:tc>
      </w:tr>
      <w:tr>
        <w:tc>
          <w:tcPr>
            <w:tcW w:type="dxa" w:w="2600"/>
          </w:tcPr>
          <w:p>
            <w:pPr>
              <w:spacing w:after="40"/>
            </w:pPr>
            <w:r>
              <w:rPr>
                <w:b w:val="false"/>
                <w:bCs w:val="false"/>
                <w:sz w:val="20"/>
                <w:szCs w:val="20"/>
              </w:rPr>
              <w:t xml:space="preserve">⬛</w:t>
            </w:r>
          </w:p>
        </w:tc>
        <w:tc>
          <w:tcPr>
            <w:tcW w:type="dxa" w:w="6400"/>
          </w:tcPr>
          <w:p>
            <w:pPr>
              <w:spacing w:after="40"/>
            </w:pPr>
            <w:r>
              <w:rPr>
                <w:b w:val="false"/>
                <w:bCs w:val="false"/>
                <w:sz w:val="20"/>
                <w:szCs w:val="20"/>
              </w:rPr>
              <w:t xml:space="preserve">Brak faktu w materiale źródłowym — zakaz dopowiadania</w:t>
            </w:r>
          </w:p>
        </w:tc>
      </w:tr>
    </w:tbl>
    <w:p>
      <w:pPr>
        <w:spacing w:after="120"/>
        <w:jc w:val="left"/>
      </w:pPr>
      <w:r>
        <w:rPr>
          <w:b w:val="false"/>
          <w:bCs w:val="false"/>
          <w:i w:val="false"/>
          <w:iCs w:val="false"/>
          <w:sz w:val="22"/>
          <w:szCs w:val="22"/>
        </w:rPr>
        <w:t xml:space="preserve"/>
      </w:r>
    </w:p>
    <w:p>
      <w:pPr>
        <w:pBdr>
          <w:bottom w:val="single" w:color="999999" w:sz="6"/>
        </w:pBdr>
        <w:spacing w:after="160"/>
      </w:pPr>
    </w:p>
    <w:p>
      <w:pPr>
        <w:spacing w:after="120"/>
        <w:jc w:val="left"/>
      </w:pPr>
      <w:r>
        <w:rPr>
          <w:b w:val="false"/>
          <w:bCs w:val="false"/>
          <w:i/>
          <w:iCs/>
          <w:sz w:val="22"/>
          <w:szCs w:val="22"/>
        </w:rPr>
        <w:t xml:space="preserve">Zastrzeżenie: Niniejsza analiza ma charakter informacyjny. Nie stanowi porady prawnej ani opinii prawnej w rozumieniu art. 4 Prawa o adwokaturze (Dz.U. z 2024 r. poz. 1564 t.j.) ani art. 6 ustawy o radcach prawnych (Dz.U. z 2024 r. poz. 499 t.j.). Weryfikacja przepisów: isap.sejm.gov.pl. Orzecznictwo: orzeczenia.ms.gov.pl / sn.pl. Każda analiza wymaga weryfikacji pod kątem aktualnego stanu prawnego i okoliczności konkretnej sprawy.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Arkusz odpowiedzi — partia P4 (PL-04, PL-05)</dc:title>
  <dc:creator>Claude Opus 5 (tryb high) — prawny-router-v3 v3.37</dc:creator>
  <cp:lastModifiedBy>Un-named</cp:lastModifiedBy>
  <cp:revision>1</cp:revision>
  <dcterms:created xsi:type="dcterms:W3CDTF">2026-09-02T18:34:56.301Z</dcterms:created>
  <dcterms:modified xsi:type="dcterms:W3CDTF">2026-09-02T18:34:56.310Z</dcterms:modified>
</cp:coreProperties>
</file>

<file path=docProps/custom.xml><?xml version="1.0" encoding="utf-8"?>
<Properties xmlns="http://schemas.openxmlformats.org/officeDocument/2006/custom-properties" xmlns:vt="http://schemas.openxmlformats.org/officeDocument/2006/docPropsVTypes"/>
</file>