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Bank</w:t>
      </w:r>
      <w:r>
        <w:t xml:space="preserve"> </w:t>
      </w:r>
      <w:r>
        <w:t xml:space="preserve">kazusów</w:t>
      </w:r>
      <w:r>
        <w:t xml:space="preserve"> </w:t>
      </w:r>
      <w:r>
        <w:t xml:space="preserve">wieloaspektowych</w:t>
      </w:r>
      <w:r>
        <w:t xml:space="preserve"> </w:t>
      </w:r>
      <w:r>
        <w:t xml:space="preserve">—</w:t>
      </w:r>
      <w:r>
        <w:t xml:space="preserve"> </w:t>
      </w:r>
      <w:r>
        <w:t xml:space="preserve">arkusz</w:t>
      </w:r>
      <w:r>
        <w:t xml:space="preserve"> </w:t>
      </w:r>
      <w:r>
        <w:t xml:space="preserve">odpowiedzi</w:t>
      </w:r>
    </w:p>
    <w:p>
      <w:pPr>
        <w:pStyle w:val="Subtitle"/>
      </w:pPr>
      <w:r>
        <w:t xml:space="preserve">Partia</w:t>
      </w:r>
      <w:r>
        <w:t xml:space="preserve"> </w:t>
      </w:r>
      <w:r>
        <w:t xml:space="preserve">11:</w:t>
      </w:r>
      <w:r>
        <w:t xml:space="preserve"> </w:t>
      </w:r>
      <w:r>
        <w:t xml:space="preserve">PL-02</w:t>
      </w:r>
    </w:p>
    <w:bookmarkStart w:id="20" w:name="metryka-arkusza"/>
    <w:p>
      <w:pPr>
        <w:pStyle w:val="Heading1"/>
      </w:pPr>
      <w:r>
        <w:t xml:space="preserve">Metryka arkusza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Pozycja</w:t>
            </w:r>
          </w:p>
        </w:tc>
        <w:tc>
          <w:tcPr/>
          <w:p>
            <w:pPr>
              <w:pStyle w:val="Compact"/>
              <w:jc w:val="left"/>
            </w:pPr>
            <w:r>
              <w:t xml:space="preserve">Treść</w:t>
            </w:r>
          </w:p>
        </w:tc>
      </w:tr>
      <w:tr>
        <w:tc>
          <w:tcPr/>
          <w:p>
            <w:pPr>
              <w:pStyle w:val="Compact"/>
              <w:jc w:val="left"/>
            </w:pPr>
            <w:r>
              <w:t xml:space="preserve">Zakres partii</w:t>
            </w:r>
          </w:p>
        </w:tc>
        <w:tc>
          <w:tcPr/>
          <w:p>
            <w:pPr>
              <w:pStyle w:val="Compact"/>
              <w:jc w:val="left"/>
            </w:pPr>
            <w:r>
              <w:t xml:space="preserve">PL-02</w:t>
            </w:r>
          </w:p>
        </w:tc>
      </w:tr>
      <w:tr>
        <w:tc>
          <w:tcPr/>
          <w:p>
            <w:pPr>
              <w:pStyle w:val="Compact"/>
              <w:jc w:val="left"/>
            </w:pPr>
            <w:r>
              <w:t xml:space="preserve">Model</w:t>
            </w:r>
          </w:p>
        </w:tc>
        <w:tc>
          <w:tcPr/>
          <w:p>
            <w:pPr>
              <w:pStyle w:val="Compact"/>
              <w:jc w:val="left"/>
            </w:pPr>
            <w:r>
              <w:t xml:space="preserve">Claude Opus 5 (Anthropic)</w:t>
            </w:r>
          </w:p>
        </w:tc>
      </w:tr>
      <w:tr>
        <w:tc>
          <w:tcPr/>
          <w:p>
            <w:pPr>
              <w:pStyle w:val="Compact"/>
              <w:jc w:val="left"/>
            </w:pPr>
            <w:r>
              <w:t xml:space="preserve">Tryb</w:t>
            </w:r>
          </w:p>
        </w:tc>
        <w:tc>
          <w:tcPr/>
          <w:p>
            <w:pPr>
              <w:pStyle w:val="Compact"/>
              <w:jc w:val="left"/>
            </w:pPr>
            <w:r>
              <w:t xml:space="preserve">Ze skillami — router prawny v3.41, ścieżka UP-1/UP-2, fasada</w:t>
            </w:r>
            <w:r>
              <w:t xml:space="preserve"> </w:t>
            </w:r>
            <w:r>
              <w:rPr>
                <w:rStyle w:val="VerbatimChar"/>
              </w:rPr>
              <w:t xml:space="preserve">prawo-polskie-v2</w:t>
            </w:r>
            <w:r>
              <w:t xml:space="preserve"> </w:t>
            </w:r>
            <w:r>
              <w:t xml:space="preserve">v6.8, PRIMARY DR-09, SECONDARY DR-05 i DR-08; bramki CN-GATE i REM-GATE</w:t>
            </w:r>
          </w:p>
        </w:tc>
      </w:tr>
      <w:tr>
        <w:tc>
          <w:tcPr/>
          <w:p>
            <w:pPr>
              <w:pStyle w:val="Compact"/>
              <w:jc w:val="left"/>
            </w:pPr>
            <w:r>
              <w:t xml:space="preserve">Weryfikacja źródeł</w:t>
            </w:r>
          </w:p>
        </w:tc>
        <w:tc>
          <w:tcPr/>
          <w:p>
            <w:pPr>
              <w:pStyle w:val="Compact"/>
              <w:jc w:val="left"/>
            </w:pPr>
            <w:r>
              <w:t xml:space="preserve">API ELI Sejmu (curl, RZĄD 1) — aktualne teksty jednolite ustalone z rejestru, nie z pamięci: planowanie przestrzenne Dz.U. 2026 poz. 538, samorząd gminny Dz.U. 2026 poz. 662, Prawo budowlane Dz.U. 2026 poz. 524, ustawa ocenowa Dz.U. 2026 poz. 670, KPA Dz.U. 2025 poz. 1691</w:t>
            </w:r>
          </w:p>
        </w:tc>
      </w:tr>
      <w:tr>
        <w:tc>
          <w:tcPr/>
          <w:p>
            <w:pPr>
              <w:pStyle w:val="Compact"/>
              <w:jc w:val="left"/>
            </w:pPr>
            <w:r>
              <w:t xml:space="preserve">Data sporządzenia</w:t>
            </w:r>
          </w:p>
        </w:tc>
        <w:tc>
          <w:tcPr/>
          <w:p>
            <w:pPr>
              <w:pStyle w:val="Compact"/>
              <w:jc w:val="left"/>
            </w:pPr>
            <w:r>
              <w:t xml:space="preserve">6 września 2026 r.</w:t>
            </w:r>
          </w:p>
        </w:tc>
      </w:tr>
      <w:tr>
        <w:tc>
          <w:tcPr/>
          <w:p>
            <w:pPr>
              <w:pStyle w:val="Compact"/>
              <w:jc w:val="left"/>
            </w:pPr>
            <w:r>
              <w:t xml:space="preserve">Uwaga</w:t>
            </w:r>
          </w:p>
        </w:tc>
        <w:tc>
          <w:tcPr/>
          <w:p>
            <w:pPr>
              <w:pStyle w:val="Compact"/>
              <w:jc w:val="left"/>
            </w:pPr>
            <w:r>
              <w:t xml:space="preserve">Pozostaje PL-03–PL-07</w:t>
            </w:r>
          </w:p>
        </w:tc>
      </w:tr>
    </w:tbl>
    <w:bookmarkEnd w:id="20"/>
    <w:bookmarkStart w:id="35" w:name="pl-02-osiedle-na-zalewowej-łące"/>
    <w:p>
      <w:pPr>
        <w:pStyle w:val="Heading1"/>
      </w:pPr>
      <w:r>
        <w:t xml:space="preserve">PL-02 Osiedle na zalewowej łące</w:t>
      </w:r>
    </w:p>
    <w:bookmarkStart w:id="21" w:name="teza-wstępna"/>
    <w:p>
      <w:pPr>
        <w:pStyle w:val="Heading2"/>
      </w:pPr>
      <w:r>
        <w:t xml:space="preserve">Teza wstępna</w:t>
      </w:r>
    </w:p>
    <w:p>
      <w:pPr>
        <w:pStyle w:val="FirstParagraph"/>
      </w:pPr>
      <w:r>
        <w:t xml:space="preserve">Kazus wygląda na spór o legalność planu miejscowego, a rozstrzyga się na trzech ustaleniach tekstowych, z których każde przenosi zarzut na inną podstawę niż ta, po którą sięga się odruchowo.</w:t>
      </w:r>
    </w:p>
    <w:p>
      <w:pPr>
        <w:pStyle w:val="BodyText"/>
      </w:pPr>
      <w:r>
        <w:t xml:space="preserve">Pierwsze. Art. 25a ustawy o samorządzie gminnym zakazuje radnemu brania udziału w głosowaniu, „jeżeli dotyczy ono jego interesu prawnego”. Przepis mówi o interesie prawnym</w:t>
      </w:r>
      <w:r>
        <w:t xml:space="preserve"> </w:t>
      </w:r>
      <w:r>
        <w:rPr>
          <w:bCs/>
          <w:b/>
        </w:rPr>
        <w:t xml:space="preserve">radnego</w:t>
      </w:r>
      <w:r>
        <w:t xml:space="preserve">, nie o interesie jego rodziny ani o powiązaniach faktycznych. Rodzinne powiązania części radnych z podwykonawcą inwestora nie wypełniają tej przesłanki wprost — a to oznacza, że najbardziej medialny wątek sprawy jest jednocześnie jej najsłabszą podstawą prawną. Nieważności planu trzeba szukać gdzie indziej: w art. 28 ust. 1 ustawy o planowaniu i zagospodarowaniu przestrzennym, który wiąże nieważność uchwały z istotnym naruszeniem zasad albo trybu sporządzania planu — a prognoza oparta na nieaktualnych mapach oraz pozorny udział społeczeństwa są naruszeniami trybu i zasad, nie kwestią bezstronności radnych.</w:t>
      </w:r>
    </w:p>
    <w:p>
      <w:pPr>
        <w:pStyle w:val="BodyText"/>
      </w:pPr>
      <w:r>
        <w:t xml:space="preserve">Drugie. Art. 3 ust. 1 pkt 13 ustawy ocenowej zawiera zdanie, które odpowiada na pytanie o trzy postępowania jednym kryterium: „przedsięwzięcia powiązane technologicznie kwalifikuje się jako jedno przedsięwzięcie, także jeżeli są one realizowane przez różne podmioty”. Kryterium jest technologiczne, nie podmiotowe i nie przestrzenne. Zdanie końcowe usuwa przy tym typową linię obrony opartą na odrębności inwestorów — a w kazusie inwestor jest jeden, więc argument z podziału upada tym bardziej.</w:t>
      </w:r>
    </w:p>
    <w:p>
      <w:pPr>
        <w:pStyle w:val="BodyText"/>
      </w:pPr>
      <w:r>
        <w:t xml:space="preserve">Trzecie. Art. 50 ust. 1 pkt 2 Prawa budowlanego pozwala wstrzymać roboty budowlane „wykonywane w sposób mogący spowodować zagrożenie bezpieczeństwa ludzi lub mienia lub zagrożenia środowiska”. Przesłanka odnosi się do</w:t>
      </w:r>
      <w:r>
        <w:t xml:space="preserve"> </w:t>
      </w:r>
      <w:r>
        <w:rPr>
          <w:bCs/>
          <w:b/>
        </w:rPr>
        <w:t xml:space="preserve">sposobu wykonywania</w:t>
      </w:r>
      <w:r>
        <w:t xml:space="preserve"> </w:t>
      </w:r>
      <w:r>
        <w:t xml:space="preserve">robót, a nie do właściwości terenu. Roboty prowadzone dokładnie zgodnie z ważnym pozwoleniem, na działce, która okazała się zagrożona powodzią, nie są wykonywane w sposób powodujący zagrożenie — zagrożenie płynie z lokalizacji, czyli z samego pozwolenia. Postanowienie nadzoru oparte na tym punkcie jest zatem podatne na uchylenie, a właściwą drogą jest wzruszenie decyzji o pozwoleniu w trybie KPA.</w:t>
      </w:r>
    </w:p>
    <w:p>
      <w:pPr>
        <w:pStyle w:val="BodyText"/>
      </w:pPr>
      <w:r>
        <w:t xml:space="preserve">Ustalenie porządkujące, które przesądza zagadnienie trzecie. Art. 145 § 1 pkt 5 KPA pozwala wznowić postępowanie, gdy wyjdą na jaw istotne nowe okoliczności faktyczne lub nowe dowody „istniejące w dniu wydania decyzji”. Nowa mapa zagrożenia powodziowego powstała po wydaniu pozwolenia, więc jako dowód warunku nie spełnia. Spełnia go natomiast okoliczność faktyczna, którą mapa ujawniła: zagrożenie powodziowe istniało w dniu wydania decyzji, tylko nie było organowi znane. Wniosek trzeba sformułować precyzyjnie — wznowienie opiera się na nowej okoliczności, nie na nowym dowodzie — bo od tego rozróżnienia zależy dopuszczalność wniosku.</w:t>
      </w:r>
    </w:p>
    <w:bookmarkEnd w:id="21"/>
    <w:bookmarkStart w:id="22" w:name="mapa-jurysdykcji-źródeł-i-kompetencji"/>
    <w:p>
      <w:pPr>
        <w:pStyle w:val="Heading2"/>
      </w:pPr>
      <w:r>
        <w:t xml:space="preserve">Mapa jurysdykcji, źródeł i kompetencji</w:t>
      </w:r>
    </w:p>
    <w:p>
      <w:pPr>
        <w:pStyle w:val="FirstParagraph"/>
      </w:pPr>
      <w:r>
        <w:t xml:space="preserve">Fora i ich zakres. Wojewoda w trybie nadzorczym stwierdza nieważność uchwały planistycznej; po upływie terminu nadzorczego drogą pozostaje skarga do sądu administracyjnego. Sąd administracyjny rozpoznaje skargi na uchwałę i na decyzje. Organ, który wydał pozwolenie na budowę, prowadzi wznowienie postępowania. Wojewoda albo minister działa w trybie art. 161 KPA. Nadzór budowlany wstrzymuje roboty i orzeka w trybie art. 51. Sąd cywilny rozpoznaje roszczenia nabywców lokali i rozliczenia między gminą a inwestorem. Sześć ścieżek, sześć różnych przedmiotów — a stan faktyczny kusi, by traktować je jako jeden spór o „legalność osiedla”.</w:t>
      </w:r>
    </w:p>
    <w:p>
      <w:pPr>
        <w:pStyle w:val="BodyText"/>
      </w:pPr>
      <w:r>
        <w:t xml:space="preserve">Cztery warstwy, których nie wolno łączyć. Ważność aktu planistycznego; legalność poszczególnych decyzji; dopuszczalność kontynuowania robót; rozliczenia majątkowe. Stwierdzenie nieważności planu nie unieważnia z automatu pozwolenia na budowę — pozwolenie jest odrębną decyzją, która pozostaje w obrocie do czasu jej wzruszenia we właściwym trybie. Odwrotnie: wstrzymanie robót nie przesądza o wadliwości pozwolenia.</w:t>
      </w:r>
    </w:p>
    <w:p>
      <w:pPr>
        <w:pStyle w:val="BodyText"/>
      </w:pPr>
      <w:r>
        <w:t xml:space="preserve">Reżimy i ich wzajemna relacja. Ustawa o planowaniu i ustawa ocenowa regulują tryb powstawania aktów i decyzji; Prawo budowlane reguluje wykonywanie robót; KPA dostarcza narzędzi wzruszania decyzji ostatecznych. Nowa wiedza hydrologiczna sama przez się nie jest podstawą prawną w żadnym z tych reżimów — jest faktem, który trzeba wprowadzić do jednego z nich przez właściwą instytucję.</w:t>
      </w:r>
    </w:p>
    <w:bookmarkEnd w:id="22"/>
    <w:bookmarkStart w:id="23" w:name="X2c962981bc6e07552afb414ed1892c6a6805b44"/>
    <w:p>
      <w:pPr>
        <w:pStyle w:val="Heading2"/>
      </w:pPr>
      <w:r>
        <w:t xml:space="preserve">Bramki weryfikacyjne (CN-GATE, kontrola zakresu)</w:t>
      </w:r>
    </w:p>
    <w:p>
      <w:pPr>
        <w:pStyle w:val="FirstParagraph"/>
      </w:pPr>
      <w:r>
        <w:t xml:space="preserve">Kontrola czasowa. Wszystkie akty w brzmieniu tekstów jednolitych ustalonych z rejestru ELI. ⬛ Kazus nie podaje dat: uchwalenia planu, wydania pozwolenia, sporządzenia i wejścia do obiegu nowej mapy zagrożenia powodziowego ani sprzedaży lokali. Bez chronologii nie da się ocenić ani terminu nadzorczego, ani przesłanki „istniejące w dniu wydania decyzji”, ani zakresu praw nabytych. Jest to brak o randze rozstrzygającej dla trzech z pięciu zagadnień.</w:t>
      </w:r>
    </w:p>
    <w:p>
      <w:pPr>
        <w:pStyle w:val="BodyText"/>
      </w:pPr>
      <w:r>
        <w:t xml:space="preserve">CN-GATE — norma centralna per oś sporu.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Oś sporu</w:t>
            </w:r>
          </w:p>
        </w:tc>
        <w:tc>
          <w:tcPr/>
          <w:p>
            <w:pPr>
              <w:pStyle w:val="Compact"/>
              <w:jc w:val="left"/>
            </w:pPr>
            <w:r>
              <w:t xml:space="preserve">Norma centralna</w:t>
            </w:r>
          </w:p>
        </w:tc>
        <w:tc>
          <w:tcPr/>
          <w:p>
            <w:pPr>
              <w:pStyle w:val="Compact"/>
              <w:jc w:val="left"/>
            </w:pPr>
            <w:r>
              <w:t xml:space="preserve">Czas</w:t>
            </w:r>
          </w:p>
        </w:tc>
        <w:tc>
          <w:tcPr/>
          <w:p>
            <w:pPr>
              <w:pStyle w:val="Compact"/>
              <w:jc w:val="left"/>
            </w:pPr>
            <w:r>
              <w:t xml:space="preserve">Podmiot</w:t>
            </w:r>
          </w:p>
        </w:tc>
        <w:tc>
          <w:tcPr/>
          <w:p>
            <w:pPr>
              <w:pStyle w:val="Compact"/>
              <w:jc w:val="left"/>
            </w:pPr>
            <w:r>
              <w:t xml:space="preserve">Przedmiot</w:t>
            </w:r>
          </w:p>
        </w:tc>
      </w:tr>
      <w:tr>
        <w:tc>
          <w:tcPr/>
          <w:p>
            <w:pPr>
              <w:pStyle w:val="Compact"/>
              <w:jc w:val="left"/>
            </w:pPr>
            <w:r>
              <w:t xml:space="preserve">Konflikt interesów radnych</w:t>
            </w:r>
          </w:p>
        </w:tc>
        <w:tc>
          <w:tcPr/>
          <w:p>
            <w:pPr>
              <w:pStyle w:val="Compact"/>
              <w:jc w:val="left"/>
            </w:pPr>
            <w:r>
              <w:t xml:space="preserve">art. 25a ustawy o samorządzie gminnym</w:t>
            </w:r>
          </w:p>
        </w:tc>
        <w:tc>
          <w:tcPr/>
          <w:p>
            <w:pPr>
              <w:pStyle w:val="Compact"/>
              <w:jc w:val="left"/>
            </w:pPr>
            <w:r>
              <w:t xml:space="preserve">TAK</w:t>
            </w:r>
          </w:p>
        </w:tc>
        <w:tc>
          <w:tcPr/>
          <w:p>
            <w:pPr>
              <w:pStyle w:val="Compact"/>
              <w:jc w:val="left"/>
            </w:pPr>
            <w:r>
              <w:t xml:space="preserve">NIE — przepis dotyczy interesu prawnego radnego, nie powiązań rodzinnych z podwykonawcą</w:t>
            </w:r>
          </w:p>
        </w:tc>
        <w:tc>
          <w:tcPr/>
          <w:p>
            <w:pPr>
              <w:pStyle w:val="Compact"/>
              <w:jc w:val="left"/>
            </w:pPr>
            <w:r>
              <w:t xml:space="preserve">—</w:t>
            </w:r>
          </w:p>
        </w:tc>
      </w:tr>
      <w:tr>
        <w:tc>
          <w:tcPr/>
          <w:p>
            <w:pPr>
              <w:pStyle w:val="Compact"/>
              <w:jc w:val="left"/>
            </w:pPr>
            <w:r>
              <w:t xml:space="preserve">Ważność planu</w:t>
            </w:r>
          </w:p>
        </w:tc>
        <w:tc>
          <w:tcPr/>
          <w:p>
            <w:pPr>
              <w:pStyle w:val="Compact"/>
              <w:jc w:val="left"/>
            </w:pPr>
            <w:r>
              <w:t xml:space="preserve">art. 28 ust. 1 ustawy o planowaniu</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 — istotne naruszenie zasad lub trybu sporządzania</w:t>
            </w:r>
          </w:p>
        </w:tc>
      </w:tr>
      <w:tr>
        <w:tc>
          <w:tcPr/>
          <w:p>
            <w:pPr>
              <w:pStyle w:val="Compact"/>
              <w:jc w:val="left"/>
            </w:pPr>
            <w:r>
              <w:t xml:space="preserve">Jedno czy trzy przedsięwzięcia</w:t>
            </w:r>
          </w:p>
        </w:tc>
        <w:tc>
          <w:tcPr/>
          <w:p>
            <w:pPr>
              <w:pStyle w:val="Compact"/>
              <w:jc w:val="left"/>
            </w:pPr>
            <w:r>
              <w:t xml:space="preserve">art. 3 ust. 1 pkt 13 ustawy ocenowej</w:t>
            </w:r>
          </w:p>
        </w:tc>
        <w:tc>
          <w:tcPr/>
          <w:p>
            <w:pPr>
              <w:pStyle w:val="Compact"/>
              <w:jc w:val="left"/>
            </w:pPr>
            <w:r>
              <w:t xml:space="preserve">TAK</w:t>
            </w:r>
          </w:p>
        </w:tc>
        <w:tc>
          <w:tcPr/>
          <w:p>
            <w:pPr>
              <w:pStyle w:val="Compact"/>
              <w:jc w:val="left"/>
            </w:pPr>
            <w:r>
              <w:t xml:space="preserve">TAK</w:t>
            </w:r>
          </w:p>
        </w:tc>
        <w:tc>
          <w:tcPr/>
          <w:p>
            <w:pPr>
              <w:pStyle w:val="Compact"/>
              <w:jc w:val="left"/>
            </w:pPr>
            <w:r>
              <w:t xml:space="preserve">⬛ zależy od powiązania technologicznego</w:t>
            </w:r>
          </w:p>
        </w:tc>
      </w:tr>
      <w:tr>
        <w:tc>
          <w:tcPr/>
          <w:p>
            <w:pPr>
              <w:pStyle w:val="Compact"/>
              <w:jc w:val="left"/>
            </w:pPr>
            <w:r>
              <w:t xml:space="preserve">Wstrzymanie robót</w:t>
            </w:r>
          </w:p>
        </w:tc>
        <w:tc>
          <w:tcPr/>
          <w:p>
            <w:pPr>
              <w:pStyle w:val="Compact"/>
              <w:jc w:val="left"/>
            </w:pPr>
            <w:r>
              <w:t xml:space="preserve">art. 50 ust. 1 pkt 2 Prawa budowlanego</w:t>
            </w:r>
          </w:p>
        </w:tc>
        <w:tc>
          <w:tcPr/>
          <w:p>
            <w:pPr>
              <w:pStyle w:val="Compact"/>
              <w:jc w:val="left"/>
            </w:pPr>
            <w:r>
              <w:t xml:space="preserve">TAK</w:t>
            </w:r>
          </w:p>
        </w:tc>
        <w:tc>
          <w:tcPr/>
          <w:p>
            <w:pPr>
              <w:pStyle w:val="Compact"/>
              <w:jc w:val="left"/>
            </w:pPr>
            <w:r>
              <w:t xml:space="preserve">TAK</w:t>
            </w:r>
          </w:p>
        </w:tc>
        <w:tc>
          <w:tcPr/>
          <w:p>
            <w:pPr>
              <w:pStyle w:val="Compact"/>
              <w:jc w:val="left"/>
            </w:pPr>
            <w:r>
              <w:t xml:space="preserve">NIE — przesłanka dotyczy sposobu wykonywania robót, nie właściwości terenu</w:t>
            </w:r>
          </w:p>
        </w:tc>
      </w:tr>
      <w:tr>
        <w:tc>
          <w:tcPr/>
          <w:p>
            <w:pPr>
              <w:pStyle w:val="Compact"/>
              <w:jc w:val="left"/>
            </w:pPr>
            <w:r>
              <w:t xml:space="preserve">Nowa wiedza a decyzja ostateczna — dowód</w:t>
            </w:r>
          </w:p>
        </w:tc>
        <w:tc>
          <w:tcPr/>
          <w:p>
            <w:pPr>
              <w:pStyle w:val="Compact"/>
              <w:jc w:val="left"/>
            </w:pPr>
            <w:r>
              <w:t xml:space="preserve">art. 145 § 1 pkt 5 KPA, człon „nowe dowody”</w:t>
            </w:r>
          </w:p>
        </w:tc>
        <w:tc>
          <w:tcPr/>
          <w:p>
            <w:pPr>
              <w:pStyle w:val="Compact"/>
              <w:jc w:val="left"/>
            </w:pPr>
            <w:r>
              <w:t xml:space="preserve">TAK</w:t>
            </w:r>
          </w:p>
        </w:tc>
        <w:tc>
          <w:tcPr/>
          <w:p>
            <w:pPr>
              <w:pStyle w:val="Compact"/>
              <w:jc w:val="left"/>
            </w:pPr>
            <w:r>
              <w:t xml:space="preserve">TAK</w:t>
            </w:r>
          </w:p>
        </w:tc>
        <w:tc>
          <w:tcPr/>
          <w:p>
            <w:pPr>
              <w:pStyle w:val="Compact"/>
              <w:jc w:val="left"/>
            </w:pPr>
            <w:r>
              <w:t xml:space="preserve">NIE — mapa powstała po wydaniu decyzji</w:t>
            </w:r>
          </w:p>
        </w:tc>
      </w:tr>
      <w:tr>
        <w:tc>
          <w:tcPr/>
          <w:p>
            <w:pPr>
              <w:pStyle w:val="Compact"/>
              <w:jc w:val="left"/>
            </w:pPr>
            <w:r>
              <w:t xml:space="preserve">Nowa wiedza a decyzja ostateczna — okoliczność</w:t>
            </w:r>
          </w:p>
        </w:tc>
        <w:tc>
          <w:tcPr/>
          <w:p>
            <w:pPr>
              <w:pStyle w:val="Compact"/>
              <w:jc w:val="left"/>
            </w:pPr>
            <w:r>
              <w:t xml:space="preserve">art. 145 § 1 pkt 5 KPA, człon „nowe okoliczności faktyczne”</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 — zagrożenie istniało w dniu wydania decyzji</w:t>
            </w:r>
          </w:p>
        </w:tc>
      </w:tr>
      <w:tr>
        <w:tc>
          <w:tcPr/>
          <w:p>
            <w:pPr>
              <w:pStyle w:val="Compact"/>
              <w:jc w:val="left"/>
            </w:pPr>
            <w:r>
              <w:t xml:space="preserve">Tryb nadzwyczajny wobec zagrożenia</w:t>
            </w:r>
          </w:p>
        </w:tc>
        <w:tc>
          <w:tcPr/>
          <w:p>
            <w:pPr>
              <w:pStyle w:val="Compact"/>
              <w:jc w:val="left"/>
            </w:pPr>
            <w:r>
              <w:t xml:space="preserve">art. 161 § 1 KPA</w:t>
            </w:r>
          </w:p>
        </w:tc>
        <w:tc>
          <w:tcPr/>
          <w:p>
            <w:pPr>
              <w:pStyle w:val="Compact"/>
              <w:jc w:val="left"/>
            </w:pPr>
            <w:r>
              <w:t xml:space="preserve">TAK</w:t>
            </w:r>
          </w:p>
        </w:tc>
        <w:tc>
          <w:tcPr/>
          <w:p>
            <w:pPr>
              <w:pStyle w:val="Compact"/>
              <w:jc w:val="left"/>
            </w:pPr>
            <w:r>
              <w:t xml:space="preserve">TAK — wojewoda przez § 2 przy zadaniach zleconych</w:t>
            </w:r>
          </w:p>
        </w:tc>
        <w:tc>
          <w:tcPr/>
          <w:p>
            <w:pPr>
              <w:pStyle w:val="Compact"/>
              <w:jc w:val="left"/>
            </w:pPr>
            <w:r>
              <w:t xml:space="preserve">⬛ zależy od wykazania braku innej drogi</w:t>
            </w:r>
          </w:p>
        </w:tc>
      </w:tr>
      <w:tr>
        <w:tc>
          <w:tcPr/>
          <w:p>
            <w:pPr>
              <w:pStyle w:val="Compact"/>
              <w:jc w:val="left"/>
            </w:pPr>
            <w:r>
              <w:t xml:space="preserve">Zmiana decyzji za zgodą inwestora</w:t>
            </w:r>
          </w:p>
        </w:tc>
        <w:tc>
          <w:tcPr/>
          <w:p>
            <w:pPr>
              <w:pStyle w:val="Compact"/>
              <w:jc w:val="left"/>
            </w:pPr>
            <w:r>
              <w:t xml:space="preserve">art. 155 KPA</w:t>
            </w:r>
          </w:p>
        </w:tc>
        <w:tc>
          <w:tcPr/>
          <w:p>
            <w:pPr>
              <w:pStyle w:val="Compact"/>
              <w:jc w:val="left"/>
            </w:pPr>
            <w:r>
              <w:t xml:space="preserve">TAK</w:t>
            </w:r>
          </w:p>
        </w:tc>
        <w:tc>
          <w:tcPr/>
          <w:p>
            <w:pPr>
              <w:pStyle w:val="Compact"/>
              <w:jc w:val="left"/>
            </w:pPr>
            <w:r>
              <w:t xml:space="preserve">TAK</w:t>
            </w:r>
          </w:p>
        </w:tc>
        <w:tc>
          <w:tcPr/>
          <w:p>
            <w:pPr>
              <w:pStyle w:val="Compact"/>
              <w:jc w:val="left"/>
            </w:pPr>
            <w:r>
              <w:t xml:space="preserve">⬛ wymaga zgody strony, której inwestor nie udzieli</w:t>
            </w:r>
          </w:p>
        </w:tc>
      </w:tr>
      <w:tr>
        <w:tc>
          <w:tcPr/>
          <w:p>
            <w:pPr>
              <w:pStyle w:val="Compact"/>
              <w:jc w:val="left"/>
            </w:pPr>
            <w:r>
              <w:t xml:space="preserve">Legitymacja mieszkańców</w:t>
            </w:r>
          </w:p>
        </w:tc>
        <w:tc>
          <w:tcPr/>
          <w:p>
            <w:pPr>
              <w:pStyle w:val="Compact"/>
              <w:jc w:val="left"/>
            </w:pPr>
            <w:r>
              <w:t xml:space="preserve">art. 101 ust. 1 ustawy o samorządzie gminnym</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 — naruszenie interesu prawnego lub uprawnienia</w:t>
            </w:r>
          </w:p>
        </w:tc>
      </w:tr>
      <w:tr>
        <w:tc>
          <w:tcPr/>
          <w:p>
            <w:pPr>
              <w:pStyle w:val="Compact"/>
              <w:jc w:val="left"/>
            </w:pPr>
            <w:r>
              <w:t xml:space="preserve">Legitymacja organizacji ekologicznej</w:t>
            </w:r>
          </w:p>
        </w:tc>
        <w:tc>
          <w:tcPr/>
          <w:p>
            <w:pPr>
              <w:pStyle w:val="Compact"/>
              <w:jc w:val="left"/>
            </w:pPr>
            <w:r>
              <w:t xml:space="preserve">art. 44 ust. 1 i 2 ustawy ocenowej</w:t>
            </w:r>
          </w:p>
        </w:tc>
        <w:tc>
          <w:tcPr/>
          <w:p>
            <w:pPr>
              <w:pStyle w:val="Compact"/>
              <w:jc w:val="left"/>
            </w:pPr>
            <w:r>
              <w:t xml:space="preserve">TAK</w:t>
            </w:r>
          </w:p>
        </w:tc>
        <w:tc>
          <w:tcPr/>
          <w:p>
            <w:pPr>
              <w:pStyle w:val="Compact"/>
              <w:jc w:val="left"/>
            </w:pPr>
            <w:r>
              <w:t xml:space="preserve">⬛ wymóg 12 miesięcy działalności statutowej</w:t>
            </w:r>
          </w:p>
        </w:tc>
        <w:tc>
          <w:tcPr/>
          <w:p>
            <w:pPr>
              <w:pStyle w:val="Compact"/>
              <w:jc w:val="left"/>
            </w:pPr>
            <w:r>
              <w:t xml:space="preserve">TAK</w:t>
            </w:r>
          </w:p>
        </w:tc>
      </w:tr>
    </w:tbl>
    <w:p>
      <w:pPr>
        <w:pStyle w:val="BodyText"/>
      </w:pPr>
      <w:r>
        <w:t xml:space="preserve">Trzy wyniki „NIE” są rozstrzygające i każdy przenosi zarzut na inną podstawę: z art. 25a na art. 28 ust. 1; z art. 50 ust. 1 pkt 2 na tryby KPA; z członu dowodowego art. 145 § 1 pkt 5 na człon okolicznościowy. Cztery ⬛ przechodzą do REM-GATE jako rozstrzygnięcia warunkowe.</w:t>
      </w:r>
    </w:p>
    <w:bookmarkEnd w:id="23"/>
    <w:bookmarkStart w:id="29" w:name="analiza-materialna-według-zagadnień"/>
    <w:p>
      <w:pPr>
        <w:pStyle w:val="Heading2"/>
      </w:pPr>
      <w:r>
        <w:t xml:space="preserve">Analiza materialna według zagadnień</w:t>
      </w:r>
    </w:p>
    <w:bookmarkStart w:id="24" w:name="X417d5c3d17c4a12c615fab50b53547b53ada2d8"/>
    <w:p>
      <w:pPr>
        <w:pStyle w:val="Heading3"/>
      </w:pPr>
      <w:r>
        <w:t xml:space="preserve">Zagadnienie 1: konflikt interesów radnych a legalność planu</w:t>
      </w:r>
    </w:p>
    <w:p>
      <w:pPr>
        <w:pStyle w:val="FirstParagraph"/>
      </w:pPr>
      <w:r>
        <w:t xml:space="preserve">Zarzut trzeba rozłożyć na dwa niezależne pytania, ponieważ odpowiedzi na nie są różne.</w:t>
      </w:r>
    </w:p>
    <w:p>
      <w:pPr>
        <w:pStyle w:val="BodyText"/>
      </w:pPr>
      <w:r>
        <w:t xml:space="preserve">Czy doszło do naruszenia art. 25a. Przepis zakazuje radnemu udziału w głosowaniu dotyczącym jego interesu prawnego. Interes prawny to interes wynikający z normy prawa materialnego i przysługujący samemu radnemu. Powiązanie rodzinne z podwykonawcą inwestora jest okolicznością faktyczną, która może rodzić interes faktyczny albo ekonomiczny, ale nie tworzy interesu prawnego radnego w sprawie uchwalenia planu. Bez wykazania, że konkretny radny sam ma tytuł prawny do nieruchomości objętej planem albo inne uprawnienie kształtowane tą uchwałą, zarzut z art. 25a upada. ⬛ Kazus nie podaje, czy którykolwiek z radnych ma taki tytuł.</w:t>
      </w:r>
    </w:p>
    <w:p>
      <w:pPr>
        <w:pStyle w:val="BodyText"/>
      </w:pPr>
      <w:r>
        <w:t xml:space="preserve">Czy plan jest nieważny. To pytanie ma własną podstawę i własne przesłanki. Art. 28 ust. 1 ustawy o planowaniu wiąże nieważność uchwały w całości lub w części z istotnym naruszeniem zasad sporządzania planu, istotnym naruszeniem trybu jego sporządzania albo naruszeniem właściwości organów. Kazus dostarcza materiału do dwóch pierwszych członów, i to niezależnie od kwestii radnych. Prognoza oddziaływania sporządzona na nieaktualnych mapach jest wadą merytoryczną podstawy planu — plan przyjęto bez rzetelnego rozpoznania uwarunkowań hydrologicznych terenu, co godzi w zasady sporządzania. Brak realnego udziału społeczeństwa, na który powołują się skarżący, jest wadą trybu.</w:t>
      </w:r>
    </w:p>
    <w:p>
      <w:pPr>
        <w:pStyle w:val="BodyText"/>
      </w:pPr>
      <w:r>
        <w:t xml:space="preserve">Wniosek jest niewygodny dla intuicji i dlatego wart postawienia wprost: powiązania radnych mają w tej sprawie znaczenie dowodowe, nie normatywne. Nie unieważniają uchwały, ale uwiarygodniają twierdzenie, że prognoza oparta na nieaktualnych mapach nie była przypadkiem, lecz wyborem — a to przenosi ocenę naruszenia z kategorii „nieistotne” do „istotne” w rozumieniu art. 28 ust. 1. Argument należy więc podnieść, tylko w innym miejscu, niż podpowiada odruch.</w:t>
      </w:r>
    </w:p>
    <w:p>
      <w:pPr>
        <w:pStyle w:val="BodyText"/>
      </w:pPr>
      <w:r>
        <w:t xml:space="preserve">⬛ Kazus nie podaje, czy wojewoda wszczął postępowanie nadzorcze i czy upłynął termin nadzorczy. Rozstrzygnięcie warunkowe: w terminie właściwą drogą jest rozstrzygnięcie nadzorcze wojewody, po jego upływie — skarga do sądu administracyjnego. Skutek stwierdzenia nieważności określa art. 28 ust. 2: czynności z art. 13i i art. 17 ponawia się w zakresie niezbędnym do doprowadzenia projektu do zgodności z przepisami, a nie cały proces planistyczny od początku.</w:t>
      </w:r>
    </w:p>
    <w:bookmarkEnd w:id="24"/>
    <w:bookmarkStart w:id="25" w:name="Xe5a04402f72d117398aad9c29d0454fa2b2918a"/>
    <w:p>
      <w:pPr>
        <w:pStyle w:val="Heading3"/>
      </w:pPr>
      <w:r>
        <w:t xml:space="preserve">Zagadnienie 2: czy trzy elementy tworzą jedno przedsięwzięcie</w:t>
      </w:r>
    </w:p>
    <w:p>
      <w:pPr>
        <w:pStyle w:val="FirstParagraph"/>
      </w:pPr>
      <w:r>
        <w:t xml:space="preserve">Podział inwestycji na osiedle, drogę i zbiornik retencyjny, z trzema odrębnymi postępowaniami i bez pełnej oceny skumulowanej, jest klasycznym mechanizmem obejścia progów ocenowych. Ustawa odpowiada na to jednym kryterium, i to kryterium jest wąskie oraz precyzyjne.</w:t>
      </w:r>
    </w:p>
    <w:p>
      <w:pPr>
        <w:pStyle w:val="BodyText"/>
      </w:pPr>
      <w:r>
        <w:t xml:space="preserve">Art. 3 ust. 1 pkt 13 definiuje przedsięwzięcie jako zamierzenie budowlane lub inną ingerencję w środowisko polegającą na przekształceniu lub zmianie sposobu wykorzystania terenu, po czym dodaje: przedsięwzięcia powiązane technologicznie kwalifikuje się jako jedno przedsięwzięcie, także jeżeli są realizowane przez różne podmioty. Test jest zatem technologiczny — nie wystarczy sąsiedztwo przestrzenne, wspólny inwestor ani zbieżność czasowa. Trzeba wykazać, że elementy są ze sobą funkcjonalnie sprzężone tak, że jeden nie działa bez drugiego.</w:t>
      </w:r>
    </w:p>
    <w:p>
      <w:pPr>
        <w:pStyle w:val="BodyText"/>
      </w:pPr>
      <w:r>
        <w:t xml:space="preserve">Zastosowanie do kazusu wypada dla skarżących korzystnie, ale wymaga rozdzielenia elementów, a nie potraktowania ich łącznie. Zbiornik retencyjny obsługuje odwodnienie osiedla — bez osiedla nie miałby przedmiotu, a osiedle bez zbiornika nie spełniłoby warunków odprowadzenia wód. Powiązanie technologiczne jest tu najmocniejsze i to od niego należy zacząć. Droga jest przypadkiem trudniejszym: droga dojazdowa może obsługiwać wyłącznie osiedle i wtedy jest z nim sprzężona, ale może też stanowić element sieci gminnej o samodzielnej funkcji. ⬛ Kazus nie podaje przebiegu drogi ani jej statusu w układzie komunikacyjnym gminy.</w:t>
      </w:r>
    </w:p>
    <w:p>
      <w:pPr>
        <w:pStyle w:val="BodyText"/>
      </w:pPr>
      <w:r>
        <w:t xml:space="preserve">Zdanie końcowe definicji — „także jeżeli są realizowane przez różne podmioty” — usuwa najczęstszą linię obrony. W kazusie inwestor jest jeden, więc argument z odrębności podmiotowej nie może zostać podniesiony nawet w wersji osłabionej.</w:t>
      </w:r>
    </w:p>
    <w:p>
      <w:pPr>
        <w:pStyle w:val="BodyText"/>
      </w:pPr>
      <w:r>
        <w:t xml:space="preserve">Skutek prawny podziału. Jeżeli elementy stanowią jedno przedsięwzięcie, to każde z trzech postępowań prowadzono w oparciu o nieprawidłowo zakreślony przedmiot, a ocena oddziaływania nie objęła całości. Wada dotyka wówczas decyzji środowiskowej, a przez nią — pozwolenia na budowę jako decyzji od niej zależnej. Jeżeli elementy stanowią odrębne przedsięwzięcia, obowiązek oceny skumulowanego oddziaływania i tak istnieje: ustawa nakazuje uwzględniać powiązania z innymi przedsięwzięciami, w szczególności kumulowanie się oddziaływań przedsięwzięć realizowanych i tych, dla których wydano decyzję, w zakresie, w jakim ich oddziaływania mogą prowadzić do skumulowania z przedsięwzięciem planowanym. Obie gałęzie są więc operacyjne — różnią się ciężarem wady, nie jej istnieniem.</w:t>
      </w:r>
    </w:p>
    <w:bookmarkEnd w:id="25"/>
    <w:bookmarkStart w:id="26" w:name="X18e3fbc52f8bbb63397078ffc7c2ded49e19840"/>
    <w:p>
      <w:pPr>
        <w:pStyle w:val="Heading3"/>
      </w:pPr>
      <w:r>
        <w:t xml:space="preserve">Zagadnienie 3: nowa wiedza o powodzi wobec decyzji ostatecznych i robót w toku</w:t>
      </w:r>
    </w:p>
    <w:p>
      <w:pPr>
        <w:pStyle w:val="FirstParagraph"/>
      </w:pPr>
      <w:r>
        <w:t xml:space="preserve">To zagadnienie zawiera dwie pułapki i obie polegają na sięgnięciu po przepis, który brzmi trafnie, a nie obejmuje sytuacji.</w:t>
      </w:r>
    </w:p>
    <w:p>
      <w:pPr>
        <w:pStyle w:val="BodyText"/>
      </w:pPr>
      <w:r>
        <w:t xml:space="preserve">Pułapka pierwsza — wstrzymanie robót. Nadzór budowlany wstrzymał roboty. Podstawą, po którą sięga się naturalnie, jest art. 50 ust. 1 pkt 2 Prawa budowlanego: roboty wykonywane „w sposób mogący spowodować zagrożenie bezpieczeństwa ludzi lub mienia lub zagrożenia środowiska”. Przesłanka opisuje jednak sposób wykonywania robót, a nie właściwość terenu. Jeżeli inwestor prowadzi roboty dokładnie zgodnie z pozwoleniem, a zagrożenie wynika z tego, że pozwolenie dopuściło zabudowę na terenie zalewowym, to źródłem zagrożenia jest decyzja, nie sposób wykonania. Postanowienie oparte wyłącznie na tym punkcie jest zatem podatne na uchylenie w postępowaniu zażaleniowym. ⬛ Kazus nie podaje, czy zalanie drogi i wykopu wiązało się z odstępstwem od projektu; jeżeli tak, właściwy jest punkt 4 tego samego ustępu, dotyczący robót wykonywanych w sposób istotnie odbiegający od ustaleń i warunków pozwolenia, projektu zagospodarowania lub przepisów — i wtedy postanowienie się broni.</w:t>
      </w:r>
    </w:p>
    <w:p>
      <w:pPr>
        <w:pStyle w:val="BodyText"/>
      </w:pPr>
      <w:r>
        <w:t xml:space="preserve">Pułapka druga — wznowienie postępowania. Art. 145 § 1 pkt 5 KPA wymaga, by nowe okoliczności faktyczne lub nowe dowody były „istniejące w dniu wydania decyzji” i nieznane organowi. Nowa mapa zagrożenia powodziowego powstała po wydaniu pozwolenia, więc jako</w:t>
      </w:r>
      <w:r>
        <w:t xml:space="preserve"> </w:t>
      </w:r>
      <w:r>
        <w:rPr>
          <w:bCs/>
          <w:b/>
        </w:rPr>
        <w:t xml:space="preserve">dowód</w:t>
      </w:r>
      <w:r>
        <w:t xml:space="preserve"> </w:t>
      </w:r>
      <w:r>
        <w:t xml:space="preserve">warunku nie spełnia — i wniosek sformułowany jako powołanie się na nowy dowód zostanie oddalony. Spełnia go natomiast</w:t>
      </w:r>
      <w:r>
        <w:t xml:space="preserve"> </w:t>
      </w:r>
      <w:r>
        <w:rPr>
          <w:bCs/>
          <w:b/>
        </w:rPr>
        <w:t xml:space="preserve">okoliczność faktyczna</w:t>
      </w:r>
      <w:r>
        <w:t xml:space="preserve">, którą mapa ujawnia: zagrożenie powodziowe terenu istniało w dniu wydania decyzji, a mapa jedynie je opisała. Wniosek musi zatem powoływać zagrożenie jako okoliczność, a mapę traktować jako środek jej wykazania. Jest to rozróżnienie czysto redakcyjne w skutku, a przesądzające o dopuszczalności.</w:t>
      </w:r>
    </w:p>
    <w:p>
      <w:pPr>
        <w:pStyle w:val="BodyText"/>
      </w:pPr>
      <w:r>
        <w:t xml:space="preserve">Trzecia droga, właściwa dla stanu zagrożenia, a nie dla wady decyzji. Art. 161 § 1 KPA pozwala uchylić lub zmienić w niezbędnym zakresie każdą decyzję ostateczną, jeżeli w inny sposób nie można usunąć stanu zagrażającego życiu lub zdrowiu ludzkiemu albo zapobiec poważnym szkodom dla gospodarki narodowej lub dla ważnych interesów Państwa; § 2 przyznaje to uprawnienie także wojewodzie wobec decyzji organów samorządowych w sprawach z zakresu administracji rządowej. Przesłanka „w inny sposób nie można” jest subsydiarna i to na niej organ przegra albo wygra: jeżeli wznowienie postępowania jest dostępne i wystarczające, art. 161 nie wchodzi w grę. Cena tej drogi jest przy tym określona wprost w § 3 — stronie, która poniosła szkodę na skutek uchylenia lub zmiany decyzji, służy roszczenie o odszkodowanie. Organ sięgający po art. 161 kupuje szybkość za odpowiedzialność odszkodowawczą i trzeba to policzyć, zanim się po niego sięgnie.</w:t>
      </w:r>
    </w:p>
    <w:p>
      <w:pPr>
        <w:pStyle w:val="BodyText"/>
      </w:pPr>
      <w:r>
        <w:t xml:space="preserve">Droga czwarta, pozorna. Art. 155 KPA pozwala uchylić lub zmienić decyzję ostateczną, na mocy której strona nabyła prawo, ale wyłącznie za zgodą strony. Inwestor, który sprzedał lokale i uruchomił finansowanie, zgody nie udzieli. Odnotowuję to, by pozycja zamknęła się nazwanym skutkiem.</w:t>
      </w:r>
    </w:p>
    <w:bookmarkEnd w:id="26"/>
    <w:bookmarkStart w:id="27" w:name="X8a2989759d53cb6238ac2a69c2b63a7b59c99a4"/>
    <w:p>
      <w:pPr>
        <w:pStyle w:val="Heading3"/>
      </w:pPr>
      <w:r>
        <w:t xml:space="preserve">Zagadnienie 4: kto może zaskarżyć poszczególne akty i w jakim trybie</w:t>
      </w:r>
    </w:p>
    <w:p>
      <w:pPr>
        <w:pStyle w:val="FirstParagraph"/>
      </w:pPr>
      <w:r>
        <w:t xml:space="preserve">Legitymacja jest w tej sprawie różna dla każdego aktu i dla każdego podmiotu, a błąd polega zwykle na przeniesieniu legitymacji z jednej ścieżki na drugą.</w:t>
      </w:r>
    </w:p>
    <w:p>
      <w:pPr>
        <w:pStyle w:val="BodyText"/>
      </w:pPr>
      <w:r>
        <w:t xml:space="preserve">Uchwała planistyczna. Art. 101 ust. 1 ustawy o samorządzie gminnym przyznaje prawo zaskarżenia uchwały do sądu administracyjnego każdemu, czyj interes prawny lub uprawnienie zostały naruszone uchwałą podjętą przez organ gminy w sprawie z zakresu administracji publicznej. Wymagane jest zatem naruszenie interesu prawnego, nie faktycznego — sąsiedzi wykażą je przez tytuł do nieruchomości położonych w zasięgu oddziaływania. Ustęp 2a pozwala wnieść skargę w imieniu własnym albo reprezentując grupę mieszkańców gminy, którzy wyrażą pisemną zgodę. Ustęp 2 zawiera ograniczenie łatwe do przeoczenia: przepisu nie stosuje się, jeżeli w sprawie orzekał już sąd administracyjny i skargę oddalił — co przy wielości skarżących ma znaczenie praktyczne i wymaga koordynacji.</w:t>
      </w:r>
    </w:p>
    <w:p>
      <w:pPr>
        <w:pStyle w:val="BodyText"/>
      </w:pPr>
      <w:r>
        <w:t xml:space="preserve">Organizacja ekologiczna wobec uchwały. Art. 101 wymaga naruszenia interesu prawnego, którego organizacja co do zasady nie wykaże w odniesieniu do aktu planistycznego. Jej legitymacja jest mocna gdzie indziej.</w:t>
      </w:r>
    </w:p>
    <w:p>
      <w:pPr>
        <w:pStyle w:val="BodyText"/>
      </w:pPr>
      <w:r>
        <w:t xml:space="preserve">Decyzje w postępowaniach wymagających udziału społeczeństwa. Art. 44 ust. 1 ustawy ocenowej przyznaje organizacjom ekologicznym, które powołując się na cele statutowe zgłoszą chęć uczestniczenia, prawo udziału na prawach strony — pod warunkiem prowadzenia działalności statutowej w zakresie ochrony środowiska lub ochrony przyrody przez minimum dwanaście miesięcy przed wszczęciem postępowania. Ustęp 2 idzie dalej i jest instrumentem najmocniejszym w całym kazusie: organizacji służy prawo wniesienia odwołania od decyzji wydanej w postępowaniu wymagającym udziału społeczeństwa także wtedy, gdy nie brała udziału w postępowaniu przed organem pierwszej instancji, a wniesienie odwołania jest równoznaczne ze zgłoszeniem chęci uczestniczenia. Organizacja, która przespała pierwszą instancję, nie traci więc drogi odwoławczej. ⬛ Kazus nie podaje stażu organizacji ani tego, czy zgłaszała udział.</w:t>
      </w:r>
    </w:p>
    <w:p>
      <w:pPr>
        <w:pStyle w:val="BodyText"/>
      </w:pPr>
      <w:r>
        <w:t xml:space="preserve">Nabywcy lokali. Ich interes jest majątkowy i realizowany przed sądem cywilnym wobec dewelopera. W postępowaniach administracyjnych nie mają samodzielnej legitymacji do zaskarżania pozwolenia, chyba że są właścicielami nieruchomości w obszarze oddziaływania obiektu — a jako nabywcy lokali w budowanym osiedle zwykle nimi nie są. To rozróżnienie jest niewygodne i trzeba je postawić, bo nabywcy są w tym stanie faktycznym najbardziej narażeni, a jednocześnie najsłabiej umocowani proceduralnie.</w:t>
      </w:r>
    </w:p>
    <w:p>
      <w:pPr>
        <w:pStyle w:val="BodyText"/>
      </w:pPr>
      <w:r>
        <w:t xml:space="preserve">Wojewoda. Działa w trybie nadzorczym wobec uchwały oraz w trybie art. 161 § 2 KPA wobec decyzji — w obu przypadkach z urzędu, a nie na skutek skargi, choć zawiadomienie od mieszkańców jest w praktyce impulsem.</w:t>
      </w:r>
    </w:p>
    <w:bookmarkEnd w:id="27"/>
    <w:bookmarkStart w:id="28" w:name="X52838812d3deba30a39929b834bb231a54a7692"/>
    <w:p>
      <w:pPr>
        <w:pStyle w:val="Heading3"/>
      </w:pPr>
      <w:r>
        <w:t xml:space="preserve">Zagadnienie 5: rozdzielenie skutków publicznoprawnych od roszczeń majątkowych</w:t>
      </w:r>
    </w:p>
    <w:p>
      <w:pPr>
        <w:pStyle w:val="FirstParagraph"/>
      </w:pPr>
      <w:r>
        <w:t xml:space="preserve">Rozdzielenie musi przebiegać w trzech relacjach osobno, ponieważ w każdej działa inna podstawa i inny podmiot ponosi ciężar.</w:t>
      </w:r>
    </w:p>
    <w:p>
      <w:pPr>
        <w:pStyle w:val="BodyText"/>
      </w:pPr>
      <w:r>
        <w:t xml:space="preserve">Relacja gmina–inwestor. Jeżeli plan zostanie unieważniony, powstaje pytanie o skutki dla nabytego przez inwestora prawa. Stwierdzenie nieważności uchwały działa wstecz, ale nie unieważnia automatycznie decyzji wydanych na jej podstawie — te pozostają w obrocie do czasu wzruszenia we właściwym trybie. Roszczenie inwestora wobec gminy wymaga wykazania szkody i związku z bezprawnym działaniem organu; sama zmiana stanu wiedzy hydrologicznej takiej podstawy nie daje, bo nie jest działaniem gminy. Podstawą jest natomiast sporządzenie prognozy na nieaktualnych mapach, jeżeli okaże się, że aktualne były dostępne.</w:t>
      </w:r>
    </w:p>
    <w:p>
      <w:pPr>
        <w:pStyle w:val="BodyText"/>
      </w:pPr>
      <w:r>
        <w:t xml:space="preserve">Relacja inwestor–nabywcy. Nabywcy zawarli umowy w oparciu o stan prawny, który następnie się zmienił. Ich roszczenia są kontraktowe i kierują się przeciwko deweloperowi, nie przeciwko gminie. ⬛ Kazus nie podaje treści umów ani etapu, na którym się znajdują.</w:t>
      </w:r>
    </w:p>
    <w:p>
      <w:pPr>
        <w:pStyle w:val="BodyText"/>
      </w:pPr>
      <w:r>
        <w:t xml:space="preserve">Relacja publicznoprawna. Awaryjny wał finansowany ze środków publicznych jest wydatkiem gminy poniesionym w następstwie stanu, który powstał wskutek zabudowy dopuszczonej jej własną uchwałą. Jest to sytuacja, w której koszt zewnętrzny inwestycji prywatnej przenosi się na budżet publiczny — i jeżeli którakolwiek z osi tej sprawy zasługuje na rozstrzygnięcie o charakterze systemowym, to właśnie ta. Podstawy odzyskania tych kosztów od inwestora kazus nie wskazuje. ⬛ i uczciwe stwierdzenie granicy: bez ustalenia, czy inwestor naruszył warunki decyzji, roszczenie regresowe gminy nie ma oczywistej podstawy, a próba jej konstruowania z ogólnych przepisów o czynach niedozwolonych wymagałaby wykazania bezprawności, której samo korzystanie z ważnego pozwolenia nie tworzy.</w:t>
      </w:r>
    </w:p>
    <w:p>
      <w:pPr>
        <w:pStyle w:val="BodyText"/>
      </w:pPr>
      <w:r>
        <w:t xml:space="preserve">Art. 161 § 3 KPA jest tu przepisem najbardziej praktycznym i najczęściej pomijanym: jeżeli organ sięgnie po tryb nadzwyczajny, aby usunąć stan zagrożenia, stronie poszkodowanej uchyleniem lub zmianą decyzji służy roszczenie o odszkodowanie. Wybór drogi administracyjnej przesądza więc o rozkładzie kosztów, a nie tylko o tempie działania.</w:t>
      </w:r>
    </w:p>
    <w:bookmarkEnd w:id="28"/>
    <w:bookmarkEnd w:id="29"/>
    <w:bookmarkStart w:id="30" w:name="macierz-argumentów"/>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skarżących</w:t>
            </w:r>
          </w:p>
        </w:tc>
        <w:tc>
          <w:tcPr/>
          <w:p>
            <w:pPr>
              <w:pStyle w:val="Compact"/>
              <w:jc w:val="left"/>
            </w:pPr>
            <w:r>
              <w:t xml:space="preserve">Argument gminy i inwestora</w:t>
            </w:r>
          </w:p>
        </w:tc>
      </w:tr>
      <w:tr>
        <w:tc>
          <w:tcPr/>
          <w:p>
            <w:pPr>
              <w:pStyle w:val="Compact"/>
              <w:jc w:val="left"/>
            </w:pPr>
            <w:r>
              <w:t xml:space="preserve">Konflikt interesów</w:t>
            </w:r>
          </w:p>
        </w:tc>
        <w:tc>
          <w:tcPr/>
          <w:p>
            <w:pPr>
              <w:pStyle w:val="Compact"/>
              <w:jc w:val="left"/>
            </w:pPr>
            <w:r>
              <w:t xml:space="preserve">Powiązania radnych z podwykonawcą podważają bezstronność i uwiarygodniają celowe oparcie prognozy na starych mapach</w:t>
            </w:r>
          </w:p>
        </w:tc>
        <w:tc>
          <w:tcPr/>
          <w:p>
            <w:pPr>
              <w:pStyle w:val="Compact"/>
              <w:jc w:val="left"/>
            </w:pPr>
            <w:r>
              <w:t xml:space="preserve">Art. 25a dotyczy interesu prawnego radnego; powiązania rodzinne z podwykonawcą tej przesłanki nie wypełniają</w:t>
            </w:r>
          </w:p>
        </w:tc>
      </w:tr>
      <w:tr>
        <w:tc>
          <w:tcPr/>
          <w:p>
            <w:pPr>
              <w:pStyle w:val="Compact"/>
              <w:jc w:val="left"/>
            </w:pPr>
            <w:r>
              <w:t xml:space="preserve">Ważność planu</w:t>
            </w:r>
          </w:p>
        </w:tc>
        <w:tc>
          <w:tcPr/>
          <w:p>
            <w:pPr>
              <w:pStyle w:val="Compact"/>
              <w:jc w:val="left"/>
            </w:pPr>
            <w:r>
              <w:t xml:space="preserve">Prognoza na nieaktualnych mapach i pozorny udział społeczeństwa to istotne naruszenie zasad i trybu (art. 28 ust. 1)</w:t>
            </w:r>
          </w:p>
        </w:tc>
        <w:tc>
          <w:tcPr/>
          <w:p>
            <w:pPr>
              <w:pStyle w:val="Compact"/>
              <w:jc w:val="left"/>
            </w:pPr>
            <w:r>
              <w:t xml:space="preserve">Naruszenia mają charakter nieistotny; plan przyjęto w trybie ustawowym, a mapy były aktualne w dacie sporządzania prognozy</w:t>
            </w:r>
          </w:p>
        </w:tc>
      </w:tr>
      <w:tr>
        <w:tc>
          <w:tcPr/>
          <w:p>
            <w:pPr>
              <w:pStyle w:val="Compact"/>
              <w:jc w:val="left"/>
            </w:pPr>
            <w:r>
              <w:t xml:space="preserve">Jedno przedsięwzięcie</w:t>
            </w:r>
          </w:p>
        </w:tc>
        <w:tc>
          <w:tcPr/>
          <w:p>
            <w:pPr>
              <w:pStyle w:val="Compact"/>
              <w:jc w:val="left"/>
            </w:pPr>
            <w:r>
              <w:t xml:space="preserve">Zbiornik obsługuje wyłącznie osiedle — powiązanie technologiczne przesądza o jedności przedsięwzięcia (art. 3 ust. 1 pkt 13)</w:t>
            </w:r>
          </w:p>
        </w:tc>
        <w:tc>
          <w:tcPr/>
          <w:p>
            <w:pPr>
              <w:pStyle w:val="Compact"/>
              <w:jc w:val="left"/>
            </w:pPr>
            <w:r>
              <w:t xml:space="preserve">Trzy zamierzenia mają odrębne funkcje i odrębne parametry; kryterium jest technologiczne, a nie funkcjonalno-gospodarcze</w:t>
            </w:r>
          </w:p>
        </w:tc>
      </w:tr>
      <w:tr>
        <w:tc>
          <w:tcPr/>
          <w:p>
            <w:pPr>
              <w:pStyle w:val="Compact"/>
              <w:jc w:val="left"/>
            </w:pPr>
            <w:r>
              <w:t xml:space="preserve">Ocena skumulowana</w:t>
            </w:r>
          </w:p>
        </w:tc>
        <w:tc>
          <w:tcPr/>
          <w:p>
            <w:pPr>
              <w:pStyle w:val="Compact"/>
              <w:jc w:val="left"/>
            </w:pPr>
            <w:r>
              <w:t xml:space="preserve">Nawet przy odrębności obowiązek uwzględnienia kumulacji istnieje samodzielnie</w:t>
            </w:r>
          </w:p>
        </w:tc>
        <w:tc>
          <w:tcPr/>
          <w:p>
            <w:pPr>
              <w:pStyle w:val="Compact"/>
              <w:jc w:val="left"/>
            </w:pPr>
            <w:r>
              <w:t xml:space="preserve">Kumulację uwzględniono w zakresie wynikającym z ówczesnego stanu wiedzy</w:t>
            </w:r>
          </w:p>
        </w:tc>
      </w:tr>
      <w:tr>
        <w:tc>
          <w:tcPr/>
          <w:p>
            <w:pPr>
              <w:pStyle w:val="Compact"/>
              <w:jc w:val="left"/>
            </w:pPr>
            <w:r>
              <w:t xml:space="preserve">Wstrzymanie robót</w:t>
            </w:r>
          </w:p>
        </w:tc>
        <w:tc>
          <w:tcPr/>
          <w:p>
            <w:pPr>
              <w:pStyle w:val="Compact"/>
              <w:jc w:val="left"/>
            </w:pPr>
            <w:r>
              <w:t xml:space="preserve">Zalanie drogi i wykopu dowodzi zagrożenia bezpieczeństwa</w:t>
            </w:r>
          </w:p>
        </w:tc>
        <w:tc>
          <w:tcPr/>
          <w:p>
            <w:pPr>
              <w:pStyle w:val="Compact"/>
              <w:jc w:val="left"/>
            </w:pPr>
            <w:r>
              <w:t xml:space="preserve">Art. 50 ust. 1 pkt 2 dotyczy sposobu wykonywania robót; roboty prowadzono zgodnie z pozwoleniem</w:t>
            </w:r>
          </w:p>
        </w:tc>
      </w:tr>
      <w:tr>
        <w:tc>
          <w:tcPr/>
          <w:p>
            <w:pPr>
              <w:pStyle w:val="Compact"/>
              <w:jc w:val="left"/>
            </w:pPr>
            <w:r>
              <w:t xml:space="preserve">Wznowienie</w:t>
            </w:r>
          </w:p>
        </w:tc>
        <w:tc>
          <w:tcPr/>
          <w:p>
            <w:pPr>
              <w:pStyle w:val="Compact"/>
              <w:jc w:val="left"/>
            </w:pPr>
            <w:r>
              <w:t xml:space="preserve">Zagrożenie powodziowe istniało w dniu wydania decyzji i było organowi nieznane (art. 145 § 1 pkt 5)</w:t>
            </w:r>
          </w:p>
        </w:tc>
        <w:tc>
          <w:tcPr/>
          <w:p>
            <w:pPr>
              <w:pStyle w:val="Compact"/>
              <w:jc w:val="left"/>
            </w:pPr>
            <w:r>
              <w:t xml:space="preserve">Mapa powstała po wydaniu decyzji, więc nie jest dowodem istniejącym w tej dacie; stan wiedzy nie jest okolicznością faktyczną</w:t>
            </w:r>
          </w:p>
        </w:tc>
      </w:tr>
      <w:tr>
        <w:tc>
          <w:tcPr/>
          <w:p>
            <w:pPr>
              <w:pStyle w:val="Compact"/>
              <w:jc w:val="left"/>
            </w:pPr>
            <w:r>
              <w:t xml:space="preserve">Tryb nadzwyczajny</w:t>
            </w:r>
          </w:p>
        </w:tc>
        <w:tc>
          <w:tcPr/>
          <w:p>
            <w:pPr>
              <w:pStyle w:val="Compact"/>
              <w:jc w:val="left"/>
            </w:pPr>
            <w:r>
              <w:t xml:space="preserve">Stan zagrożenia życia uzasadnia art. 161 § 1</w:t>
            </w:r>
          </w:p>
        </w:tc>
        <w:tc>
          <w:tcPr/>
          <w:p>
            <w:pPr>
              <w:pStyle w:val="Compact"/>
              <w:jc w:val="left"/>
            </w:pPr>
            <w:r>
              <w:t xml:space="preserve">Przesłanka jest subsydiarna; skoro dostępne jest wznowienie, art. 161 nie ma zastosowania</w:t>
            </w:r>
          </w:p>
        </w:tc>
      </w:tr>
      <w:tr>
        <w:tc>
          <w:tcPr/>
          <w:p>
            <w:pPr>
              <w:pStyle w:val="Compact"/>
              <w:jc w:val="left"/>
            </w:pPr>
            <w:r>
              <w:t xml:space="preserve">Legitymacja</w:t>
            </w:r>
          </w:p>
        </w:tc>
        <w:tc>
          <w:tcPr/>
          <w:p>
            <w:pPr>
              <w:pStyle w:val="Compact"/>
              <w:jc w:val="left"/>
            </w:pPr>
            <w:r>
              <w:t xml:space="preserve">Sąsiedzi z art. 101 ust. 1, organizacja z art. 44 ust. 2 ustawy ocenowej także bez udziału w pierwszej instancji</w:t>
            </w:r>
          </w:p>
        </w:tc>
        <w:tc>
          <w:tcPr/>
          <w:p>
            <w:pPr>
              <w:pStyle w:val="Compact"/>
              <w:jc w:val="left"/>
            </w:pPr>
            <w:r>
              <w:t xml:space="preserve">Sąsiedzi nie wykazali naruszenia interesu prawnego; organizacja nie spełnia wymogu dwunastu miesięcy</w:t>
            </w:r>
          </w:p>
        </w:tc>
      </w:tr>
      <w:tr>
        <w:tc>
          <w:tcPr/>
          <w:p>
            <w:pPr>
              <w:pStyle w:val="Compact"/>
              <w:jc w:val="left"/>
            </w:pPr>
            <w:r>
              <w:t xml:space="preserve">Rozkład kosztów</w:t>
            </w:r>
          </w:p>
        </w:tc>
        <w:tc>
          <w:tcPr/>
          <w:p>
            <w:pPr>
              <w:pStyle w:val="Compact"/>
              <w:jc w:val="left"/>
            </w:pPr>
            <w:r>
              <w:t xml:space="preserve">Koszt wału obciąża inwestora, którego przedsięwzięcie stan ten wywołało</w:t>
            </w:r>
          </w:p>
        </w:tc>
        <w:tc>
          <w:tcPr/>
          <w:p>
            <w:pPr>
              <w:pStyle w:val="Compact"/>
              <w:jc w:val="left"/>
            </w:pPr>
            <w:r>
              <w:t xml:space="preserve">Inwestor działał na podstawie ważnych decyzji; przy uchyleniu decyzji przysługuje mu odszkodowanie z art. 161 § 3</w:t>
            </w:r>
          </w:p>
        </w:tc>
      </w:tr>
    </w:tbl>
    <w:bookmarkEnd w:id="30"/>
    <w:bookmarkStart w:id="31" w:name="braki-faktyczne-i-dowody-rozstrzygające"/>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Chronologia: uchwalenie planu, pozwolenie, sporządzenie nowej mapy, sprzedaż lokali</w:t>
            </w:r>
          </w:p>
        </w:tc>
        <w:tc>
          <w:tcPr/>
          <w:p>
            <w:pPr>
              <w:pStyle w:val="Compact"/>
              <w:jc w:val="left"/>
            </w:pPr>
            <w:r>
              <w:t xml:space="preserve">Warunek oceny terminu nadzorczego i przesłanki „istniejące w dniu wydania decyzji”</w:t>
            </w:r>
          </w:p>
        </w:tc>
        <w:tc>
          <w:tcPr/>
          <w:p>
            <w:pPr>
              <w:pStyle w:val="Compact"/>
              <w:jc w:val="left"/>
            </w:pPr>
            <w:r>
              <w:t xml:space="preserve">Uchwała i decyzja z datami, dokumentacja mapy, umowy deweloperskie</w:t>
            </w:r>
          </w:p>
        </w:tc>
      </w:tr>
      <w:tr>
        <w:tc>
          <w:tcPr/>
          <w:p>
            <w:pPr>
              <w:pStyle w:val="Compact"/>
              <w:jc w:val="left"/>
            </w:pPr>
            <w:r>
              <w:t xml:space="preserve">Czy którykolwiek radny ma tytuł prawny do nieruchomości objętej planem</w:t>
            </w:r>
          </w:p>
        </w:tc>
        <w:tc>
          <w:tcPr/>
          <w:p>
            <w:pPr>
              <w:pStyle w:val="Compact"/>
              <w:jc w:val="left"/>
            </w:pPr>
            <w:r>
              <w:t xml:space="preserve">Jedyna droga do zastosowania art. 25a</w:t>
            </w:r>
          </w:p>
        </w:tc>
        <w:tc>
          <w:tcPr/>
          <w:p>
            <w:pPr>
              <w:pStyle w:val="Compact"/>
              <w:jc w:val="left"/>
            </w:pPr>
            <w:r>
              <w:t xml:space="preserve">Rejestr gruntów, oświadczenia majątkowe radnych, protokoły głosowań</w:t>
            </w:r>
          </w:p>
        </w:tc>
      </w:tr>
      <w:tr>
        <w:tc>
          <w:tcPr/>
          <w:p>
            <w:pPr>
              <w:pStyle w:val="Compact"/>
              <w:jc w:val="left"/>
            </w:pPr>
            <w:r>
              <w:t xml:space="preserve">Czy aktualne mapy były dostępne w dacie sporządzania prognozy</w:t>
            </w:r>
          </w:p>
        </w:tc>
        <w:tc>
          <w:tcPr/>
          <w:p>
            <w:pPr>
              <w:pStyle w:val="Compact"/>
              <w:jc w:val="left"/>
            </w:pPr>
            <w:r>
              <w:t xml:space="preserve">Odróżnia wadę od niemożności; przesądza istotność naruszenia</w:t>
            </w:r>
          </w:p>
        </w:tc>
        <w:tc>
          <w:tcPr/>
          <w:p>
            <w:pPr>
              <w:pStyle w:val="Compact"/>
              <w:jc w:val="left"/>
            </w:pPr>
            <w:r>
              <w:t xml:space="preserve">Dokumentacja prognozy, korespondencja z Wodami Polskimi, daty publikacji map</w:t>
            </w:r>
          </w:p>
        </w:tc>
      </w:tr>
      <w:tr>
        <w:tc>
          <w:tcPr/>
          <w:p>
            <w:pPr>
              <w:pStyle w:val="Compact"/>
              <w:jc w:val="left"/>
            </w:pPr>
            <w:r>
              <w:t xml:space="preserve">Przebieg drogi i jej status w układzie komunikacyjnym gminy</w:t>
            </w:r>
          </w:p>
        </w:tc>
        <w:tc>
          <w:tcPr/>
          <w:p>
            <w:pPr>
              <w:pStyle w:val="Compact"/>
              <w:jc w:val="left"/>
            </w:pPr>
            <w:r>
              <w:t xml:space="preserve">Warunek oceny powiązania technologicznego</w:t>
            </w:r>
          </w:p>
        </w:tc>
        <w:tc>
          <w:tcPr/>
          <w:p>
            <w:pPr>
              <w:pStyle w:val="Compact"/>
              <w:jc w:val="left"/>
            </w:pPr>
            <w:r>
              <w:t xml:space="preserve">Projekt drogowy, uchwała o zaliczeniu do kategorii dróg, dokumentacja planistyczna</w:t>
            </w:r>
          </w:p>
        </w:tc>
      </w:tr>
      <w:tr>
        <w:tc>
          <w:tcPr/>
          <w:p>
            <w:pPr>
              <w:pStyle w:val="Compact"/>
              <w:jc w:val="left"/>
            </w:pPr>
            <w:r>
              <w:t xml:space="preserve">Parametry zbiornika wobec potrzeb odwodnienia osiedla</w:t>
            </w:r>
          </w:p>
        </w:tc>
        <w:tc>
          <w:tcPr/>
          <w:p>
            <w:pPr>
              <w:pStyle w:val="Compact"/>
              <w:jc w:val="left"/>
            </w:pPr>
            <w:r>
              <w:t xml:space="preserve">Rdzeń testu powiązania technologicznego</w:t>
            </w:r>
          </w:p>
        </w:tc>
        <w:tc>
          <w:tcPr/>
          <w:p>
            <w:pPr>
              <w:pStyle w:val="Compact"/>
              <w:jc w:val="left"/>
            </w:pPr>
            <w:r>
              <w:t xml:space="preserve">Operat wodnoprawny, obliczenia hydrologiczne, stanowisko Wód Polskich</w:t>
            </w:r>
          </w:p>
        </w:tc>
      </w:tr>
      <w:tr>
        <w:tc>
          <w:tcPr/>
          <w:p>
            <w:pPr>
              <w:pStyle w:val="Compact"/>
              <w:jc w:val="left"/>
            </w:pPr>
            <w:r>
              <w:t xml:space="preserve">Czy zalanie drogi i wykopu wiązało się z odstępstwem od projektu</w:t>
            </w:r>
          </w:p>
        </w:tc>
        <w:tc>
          <w:tcPr/>
          <w:p>
            <w:pPr>
              <w:pStyle w:val="Compact"/>
              <w:jc w:val="left"/>
            </w:pPr>
            <w:r>
              <w:t xml:space="preserve">Przesądza między pkt 2 a pkt 4 art. 50 ust. 1 Prawa budowlanego</w:t>
            </w:r>
          </w:p>
        </w:tc>
        <w:tc>
          <w:tcPr/>
          <w:p>
            <w:pPr>
              <w:pStyle w:val="Compact"/>
              <w:jc w:val="left"/>
            </w:pPr>
            <w:r>
              <w:t xml:space="preserve">Protokół nadzoru, dziennik budowy, dokumentacja powykonawcza</w:t>
            </w:r>
          </w:p>
        </w:tc>
      </w:tr>
      <w:tr>
        <w:tc>
          <w:tcPr/>
          <w:p>
            <w:pPr>
              <w:pStyle w:val="Compact"/>
              <w:jc w:val="left"/>
            </w:pPr>
            <w:r>
              <w:t xml:space="preserve">Treść postanowienia nadzoru budowlanego i wskazana w nim podstawa</w:t>
            </w:r>
          </w:p>
        </w:tc>
        <w:tc>
          <w:tcPr/>
          <w:p>
            <w:pPr>
              <w:pStyle w:val="Compact"/>
              <w:jc w:val="left"/>
            </w:pPr>
            <w:r>
              <w:t xml:space="preserve">Warunek oceny zasadności zażalenia</w:t>
            </w:r>
          </w:p>
        </w:tc>
        <w:tc>
          <w:tcPr/>
          <w:p>
            <w:pPr>
              <w:pStyle w:val="Compact"/>
              <w:jc w:val="left"/>
            </w:pPr>
            <w:r>
              <w:t xml:space="preserve">Postanowienie z uzasadnieniem</w:t>
            </w:r>
          </w:p>
        </w:tc>
      </w:tr>
      <w:tr>
        <w:tc>
          <w:tcPr/>
          <w:p>
            <w:pPr>
              <w:pStyle w:val="Compact"/>
              <w:jc w:val="left"/>
            </w:pPr>
            <w:r>
              <w:t xml:space="preserve">Czy wojewoda wszczął postępowanie nadzorcze i czy upłynął termin</w:t>
            </w:r>
          </w:p>
        </w:tc>
        <w:tc>
          <w:tcPr/>
          <w:p>
            <w:pPr>
              <w:pStyle w:val="Compact"/>
              <w:jc w:val="left"/>
            </w:pPr>
            <w:r>
              <w:t xml:space="preserve">Przesądza między drogą nadzorczą a skargą do sądu</w:t>
            </w:r>
          </w:p>
        </w:tc>
        <w:tc>
          <w:tcPr/>
          <w:p>
            <w:pPr>
              <w:pStyle w:val="Compact"/>
              <w:jc w:val="left"/>
            </w:pPr>
            <w:r>
              <w:t xml:space="preserve">Zawiadomienie o wszczęciu, rozstrzygnięcie nadzorcze, dziennik urzędowy</w:t>
            </w:r>
          </w:p>
        </w:tc>
      </w:tr>
      <w:tr>
        <w:tc>
          <w:tcPr/>
          <w:p>
            <w:pPr>
              <w:pStyle w:val="Compact"/>
              <w:jc w:val="left"/>
            </w:pPr>
            <w:r>
              <w:t xml:space="preserve">Staż działalności statutowej organizacji ekologicznej i zgłoszenie udziału</w:t>
            </w:r>
          </w:p>
        </w:tc>
        <w:tc>
          <w:tcPr/>
          <w:p>
            <w:pPr>
              <w:pStyle w:val="Compact"/>
              <w:jc w:val="left"/>
            </w:pPr>
            <w:r>
              <w:t xml:space="preserve">Warunek z art. 44 ust. 1 ustawy ocenowej</w:t>
            </w:r>
          </w:p>
        </w:tc>
        <w:tc>
          <w:tcPr/>
          <w:p>
            <w:pPr>
              <w:pStyle w:val="Compact"/>
              <w:jc w:val="left"/>
            </w:pPr>
            <w:r>
              <w:t xml:space="preserve">Statut, KRS, sprawozdania, pismo zgłaszające udział</w:t>
            </w:r>
          </w:p>
        </w:tc>
      </w:tr>
      <w:tr>
        <w:tc>
          <w:tcPr/>
          <w:p>
            <w:pPr>
              <w:pStyle w:val="Compact"/>
              <w:jc w:val="left"/>
            </w:pPr>
            <w:r>
              <w:t xml:space="preserve">Zakres oddziaływania obiektu wobec nieruchomości sąsiadów</w:t>
            </w:r>
          </w:p>
        </w:tc>
        <w:tc>
          <w:tcPr/>
          <w:p>
            <w:pPr>
              <w:pStyle w:val="Compact"/>
              <w:jc w:val="left"/>
            </w:pPr>
            <w:r>
              <w:t xml:space="preserve">Warunek legitymacji z art. 101 ust. 1</w:t>
            </w:r>
          </w:p>
        </w:tc>
        <w:tc>
          <w:tcPr/>
          <w:p>
            <w:pPr>
              <w:pStyle w:val="Compact"/>
              <w:jc w:val="left"/>
            </w:pPr>
            <w:r>
              <w:t xml:space="preserve">Projekt zagospodarowania, analiza obszaru oddziaływania, wypisy z rejestru</w:t>
            </w:r>
          </w:p>
        </w:tc>
      </w:tr>
      <w:tr>
        <w:tc>
          <w:tcPr/>
          <w:p>
            <w:pPr>
              <w:pStyle w:val="Compact"/>
              <w:jc w:val="left"/>
            </w:pPr>
            <w:r>
              <w:t xml:space="preserve">Treść umów deweloperskich w zakresie ryzyka zmiany warunków</w:t>
            </w:r>
          </w:p>
        </w:tc>
        <w:tc>
          <w:tcPr/>
          <w:p>
            <w:pPr>
              <w:pStyle w:val="Compact"/>
              <w:jc w:val="left"/>
            </w:pPr>
            <w:r>
              <w:t xml:space="preserve">Rozstrzyga roszczenia nabywców</w:t>
            </w:r>
          </w:p>
        </w:tc>
        <w:tc>
          <w:tcPr/>
          <w:p>
            <w:pPr>
              <w:pStyle w:val="Compact"/>
              <w:jc w:val="left"/>
            </w:pPr>
            <w:r>
              <w:t xml:space="preserve">Umowy, prospekt informacyjny, korespondencja</w:t>
            </w:r>
          </w:p>
        </w:tc>
      </w:tr>
      <w:tr>
        <w:tc>
          <w:tcPr/>
          <w:p>
            <w:pPr>
              <w:pStyle w:val="Compact"/>
              <w:jc w:val="left"/>
            </w:pPr>
            <w:r>
              <w:t xml:space="preserve">Czy inwestor naruszył warunki którejkolwiek decyzji</w:t>
            </w:r>
          </w:p>
        </w:tc>
        <w:tc>
          <w:tcPr/>
          <w:p>
            <w:pPr>
              <w:pStyle w:val="Compact"/>
              <w:jc w:val="left"/>
            </w:pPr>
            <w:r>
              <w:t xml:space="preserve">Warunek jakiegokolwiek roszczenia regresowego gminy</w:t>
            </w:r>
          </w:p>
        </w:tc>
        <w:tc>
          <w:tcPr/>
          <w:p>
            <w:pPr>
              <w:pStyle w:val="Compact"/>
              <w:jc w:val="left"/>
            </w:pPr>
            <w:r>
              <w:t xml:space="preserve">Protokoły kontroli, dziennik budowy, decyzje nadzoru</w:t>
            </w:r>
          </w:p>
        </w:tc>
      </w:tr>
    </w:tbl>
    <w:bookmarkEnd w:id="31"/>
    <w:bookmarkStart w:id="32" w:name="proponowane-rozstrzygnięcie"/>
    <w:p>
      <w:pPr>
        <w:pStyle w:val="Heading2"/>
      </w:pPr>
      <w:r>
        <w:t xml:space="preserve">Proponowane rozstrzygnięcie</w:t>
      </w:r>
    </w:p>
    <w:p>
      <w:pPr>
        <w:pStyle w:val="FirstParagraph"/>
      </w:pPr>
      <w:r>
        <w:t xml:space="preserve">W zakresie planu: nie budować zarzutu na art. 25a ustawy o samorządzie gminnym, ponieważ powiązania rodzinne z podwykonawcą nie wypełniają przesłanki interesu prawnego radnego. Zamiast tego oprzeć wniosek na art. 28 ust. 1 ustawy o planowaniu, wskazując dwa niezależne naruszenia: sporządzenie prognozy na nieaktualnych mapach jako istotne naruszenie zasad sporządzania planu oraz pozorny udział społeczeństwa jako istotne naruszenie trybu. Powiązania radnych podnieść jako okoliczność dowodową przemawiającą za istotnością pierwszego z tych naruszeń, a nie jako samodzielną podstawę. Wnosić o stwierdzenie nieważności w części dotyczącej terenu zalewowego, nie całej uchwały, i wskazać art. 28 ust. 2 jako określający zakres ponowienia czynności.</w:t>
      </w:r>
    </w:p>
    <w:p>
      <w:pPr>
        <w:pStyle w:val="BodyText"/>
      </w:pPr>
      <w:r>
        <w:t xml:space="preserve">W zakresie oceny oddziaływania: wnosić o ustalenie, że osiedle i zbiornik retencyjny stanowią jedno przedsięwzięcie w rozumieniu art. 3 ust. 1 pkt 13 ustawy ocenowej ze względu na powiązanie technologiczne, a co do drogi wydać rozstrzygnięcie warunkowe zależne od jej statusu w układzie komunikacyjnym. Zastrzec równolegle, że nawet przy uznaniu odrębności obowiązek uwzględnienia oddziaływania skumulowanego istnieje samodzielnie — tak by oddalenie wniosku o jedność przedsięwzięcia nie zamykało zarzutu.</w:t>
      </w:r>
    </w:p>
    <w:p>
      <w:pPr>
        <w:pStyle w:val="BodyText"/>
      </w:pPr>
      <w:r>
        <w:t xml:space="preserve">W zakresie robót w toku: zażalić postanowienie nadzoru budowlanego, jeżeli oparto je wyłącznie na art. 50 ust. 1 pkt 2, wskazując, że przesłanka dotyczy sposobu wykonywania robót, a nie właściwości terenu. Jednocześnie — i to jest wniosek dla organu, nie przeciwko niemu — wskazać właściwą podstawę: pkt 4 tego samego ustępu, jeżeli ustalone zostanie odstępstwo od projektu. Nie wnosić o odblokowanie robót bez rozstrzygnięcia o pozwoleniu; wstrzymanie oparte na wadliwej podstawie należy zastąpić poprawną, a nie znieść.</w:t>
      </w:r>
    </w:p>
    <w:p>
      <w:pPr>
        <w:pStyle w:val="BodyText"/>
      </w:pPr>
      <w:r>
        <w:t xml:space="preserve">W zakresie decyzji ostatecznych: złożyć wniosek o wznowienie postępowania w sprawie pozwolenia na budowę na podstawie art. 145 § 1 pkt 5 KPA, formułując go jako powołanie się na</w:t>
      </w:r>
      <w:r>
        <w:t xml:space="preserve"> </w:t>
      </w:r>
      <w:r>
        <w:rPr>
          <w:bCs/>
          <w:b/>
        </w:rPr>
        <w:t xml:space="preserve">nową okoliczność faktyczną</w:t>
      </w:r>
      <w:r>
        <w:t xml:space="preserve"> </w:t>
      </w:r>
      <w:r>
        <w:t xml:space="preserve">— zagrożenie powodziowe istniejące w dniu wydania decyzji i wówczas organowi nieznane — a nową mapę traktując wyłącznie jako środek dowodowy tej okoliczności. Nie opierać wniosku na mapie jako „nowym dowodzie”, bo warunek istnienia w dacie decyzji nie byłby spełniony. Tryb z art. 161 § 1 KPA zarezerwować na wypadek, gdyby wznowienie okazało się niedostępne lub niewystarczające, i przy jego stosowaniu z góry uwzględnić roszczenie odszkodowawcze z § 3. Drogę z art. 155 KPA odnotować jako niedostępną wobec braku zgody inwestora.</w:t>
      </w:r>
    </w:p>
    <w:p>
      <w:pPr>
        <w:pStyle w:val="BodyText"/>
      </w:pPr>
      <w:r>
        <w:t xml:space="preserve">W zakresie legitymacji: sąsiedzi — skarga z art. 101 ust. 1 ustawy o samorządzie gminnym, po wykazaniu naruszenia interesu prawnego przez tytuł do nieruchomości w zasięgu oddziaływania, z rozważeniem trybu z ust. 2a i z koordynacją wynikającą z ust. 2. Organizacja ekologiczna — udział na prawach strony z art. 44 ust. 1 ustawy ocenowej, a gdy nie brała udziału w pierwszej instancji, odwołanie z art. 44 ust. 2, które samo w sobie jest zgłoszeniem udziału. Nabywcom lokali wskazać wprost, że ich droga jest cywilna, a nie administracyjna, i że oczekiwanie ochrony w postępowaniach administracyjnych jest w ich przypadku oczekiwaniem nieuzasadnionym.</w:t>
      </w:r>
    </w:p>
    <w:p>
      <w:pPr>
        <w:pStyle w:val="BodyText"/>
      </w:pPr>
      <w:r>
        <w:t xml:space="preserve">W zakresie rozliczeń: rozdzielić trzy relacje i nie mieszać ich w jednym żądaniu. Roszczenie inwestora wobec gminy oprzeć na wadliwości prognozy, a nie na zmianie stanu wiedzy. Roszczenia nabywców skierować przeciwko deweloperowi. Co do kosztu awaryjnego wału stwierdzić wprost, że bez ustalenia naruszenia warunków decyzji przez inwestora roszczenie regresowe gminy nie ma oczywistej podstawy — i że jest to luka w konstrukcji odpowiedzialności za koszty zewnętrzne inwestycji, a nie luka w rozumowaniu.</w:t>
      </w:r>
    </w:p>
    <w:bookmarkEnd w:id="32"/>
    <w:bookmarkStart w:id="33" w:name="bramka-środka-naprawczego-rem-gate-pl-02"/>
    <w:p>
      <w:pPr>
        <w:pStyle w:val="Heading2"/>
      </w:pPr>
      <w:r>
        <w:t xml:space="preserve">Bramka środka naprawczego (REM-GATE) — PL-02</w:t>
      </w:r>
    </w:p>
    <w:p>
      <w:pPr>
        <w:pStyle w:val="FirstParagraph"/>
      </w:pPr>
      <w:r>
        <w:t xml:space="preserve">REM-0 próby: 5 powołań, 5 prób, 5 odzyskanych, 0 porażek. Rejestr ELI wydał metadane wraz z listami tekstów jednolitych, dzięki czemu wszystkie pięć numerów pozycji ustalono z rejestru, a nie z pamięci modelu. Jest to istotne dla klasy błędu polegającej na przypisaniu numeru należącego do innego aktu o pokrewnym tytule.</w:t>
      </w:r>
    </w:p>
    <w:p>
      <w:pPr>
        <w:pStyle w:val="BodyText"/>
      </w:pPr>
      <w:r>
        <w:t xml:space="preserve">REM-1 oddalenia: 3 oddalone (zarzut z art. 25a ustawy o samorządzie gminnym; wstrzymanie robót na podstawie art. 50 ust. 1 pkt 2 Prawa budowlanego; wznowienie oparte na mapie jako nowym dowodzie), 3 sparowane alternatywy rozwinięte na tę samą głębokość (art. 28 ust. 1 ustawy o planowaniu, z powiązaniami radnych jako materiałem dowodowym istotności; art. 50 ust. 1 pkt 4 jako podstawa poprawna; wznowienie oparte na nowej okoliczności faktycznej). Sprawdzona i odrzucona droga alternatywna dla wzruszenia pozwolenia: art. 155 KPA — wymaga zgody strony, której inwestor nie udzieli.</w:t>
      </w:r>
    </w:p>
    <w:p>
      <w:pPr>
        <w:pStyle w:val="BodyText"/>
      </w:pPr>
      <w:r>
        <w:t xml:space="preserve">REM-2 braki: 12 pozycji ⬛, 12 rozstrzygnięć warunkowych, 0 blokad. Pozycja o chronologii zdarzeń jest najbliższa blokadzie i nią nie jest, ponieważ każda z gałęzi czasowych prowadzi do innej, ale istniejącej drogi — nadzorczej albo sądowoadministracyjnej.</w:t>
      </w:r>
    </w:p>
    <w:p>
      <w:pPr>
        <w:pStyle w:val="BodyText"/>
      </w:pPr>
      <w:r>
        <w:t xml:space="preserve">REM-3 instrumenty o niższej mocy: brak. Cała argumentacja spoczywa na ustawach zweryfikowanych na RZĘDZIE 1.</w:t>
      </w:r>
    </w:p>
    <w:p>
      <w:pPr>
        <w:pStyle w:val="BodyText"/>
      </w:pPr>
      <w:r>
        <w:t xml:space="preserve">REM-4 pokrycie: legalność planu — PEŁNA; jedność przedsięwzięcia i ocena skumulowana — PEŁNA; wzruszenie decyzji ostatecznych i roboty w toku — PEŁNA; legitymacja — PEŁNA; rozliczenia majątkowe — CIENKA i deklaruję to wprost: relacja inwestor–nabywcy oraz podstawy regresu gminy wymagają przepisów prawa cywilnego i ustawy deweloperskiej, których w tej partii nie weryfikowałem, a konstruowanie ich z pamięci naruszałoby bramkę cytowania. Reżim wodnoprawny statusu map zagrożenia powodziowego — ⬛, oś wskazana jako istniejąca i nierozwinięta z tego samego powodu.</w:t>
      </w:r>
    </w:p>
    <w:bookmarkEnd w:id="33"/>
    <w:bookmarkStart w:id="34" w:name="zweryfikowane-pozycje-źródłowe-pl-02"/>
    <w:p>
      <w:pPr>
        <w:pStyle w:val="Heading2"/>
      </w:pPr>
      <w:r>
        <w:t xml:space="preserve">Zweryfikowane pozycje źródłowe (PL-02)</w:t>
      </w:r>
    </w:p>
    <w:p>
      <w:pPr>
        <w:pStyle w:val="FirstParagraph"/>
      </w:pPr>
      <w:r>
        <w:t xml:space="preserve">Ustawa z dnia 27 marca 2003 r. o planowaniu i zagospodarowaniu przestrzennym, tekst jednolity Dz.U. 2026 poz. 538 (numer ustalony z listy tekstów jednolitych w rejestrze ELI) — sprawdzono art. 28 ust. 1–2 oraz art. 29 ust. 1. ✅ [VER: api.sejm.gov.pl/eli, curl 200, pełny tekst PDF, RZĄD 1, 2026-09-06]</w:t>
      </w:r>
    </w:p>
    <w:p>
      <w:pPr>
        <w:pStyle w:val="BodyText"/>
      </w:pPr>
      <w:r>
        <w:t xml:space="preserve">Ustawa z dnia 8 marca 1990 r. o samorządzie gminnym, tekst jednolity Dz.U. 2026 poz. 662 — sprawdzono art. 25a, art. 25b oraz art. 101 ust. 1, 2 i 2a. ✅ [VER: api.sejm.gov.pl/eli, curl 200, pełny tekst PDF, RZĄD 1, 2026-09-06]</w:t>
      </w:r>
    </w:p>
    <w:p>
      <w:pPr>
        <w:pStyle w:val="BodyText"/>
      </w:pPr>
      <w:r>
        <w:t xml:space="preserve">Ustawa z dnia 7 lipca 1994 r. — Prawo budowlane, tekst jednolity Dz.U. 2026 poz. 524 — sprawdzono art. 36a ust. 1 i 1a, art. 50 ust. 1 pkt 1–4 oraz ust. 2–3, art. 51 ust. 1 pkt 1–3. ✅ [VER: api.sejm.gov.pl/eli, curl 200, pełny tekst PDF, RZĄD 1, 2026-09-06]</w:t>
      </w:r>
    </w:p>
    <w:p>
      <w:pPr>
        <w:pStyle w:val="BodyText"/>
      </w:pPr>
      <w:r>
        <w:t xml:space="preserve">Ustawa z dnia 3 października 2008 r. o udostępnianiu informacji o środowisku i jego ochronie, udziale społeczeństwa w ochronie środowiska oraz o ocenach oddziaływania na środowisko, tekst jednolity Dz.U. 2026 poz. 670 — sprawdzono art. 3 ust. 1 pkt 13 i 14, art. 44 ust. 1–2 oraz przepisy nakazujące uwzględnianie oddziaływań skumulowanych i powiązań z innymi przedsięwzięciami. ✅ [VER: api.sejm.gov.pl/eli, curl 200, pełny tekst PDF, RZĄD 1, 2026-09-06]</w:t>
      </w:r>
    </w:p>
    <w:p>
      <w:pPr>
        <w:pStyle w:val="BodyText"/>
      </w:pPr>
      <w:r>
        <w:t xml:space="preserve">Ustawa z dnia 14 czerwca 1960 r. — Kodeks postępowania administracyjnego, tekst jednolity Dz.U. 2025 poz. 1691 — sprawdzono art. 145 § 1 pkt 1–8 i § 2, art. 155, art. 155a, art. 161 § 1–3. ✅ [VER: api.sejm.gov.pl/eli, curl 200, pełny tekst PDF, RZĄD 1, 2026-09-06]</w:t>
      </w:r>
    </w:p>
    <w:p>
      <w:pPr>
        <w:pStyle w:val="BodyText"/>
      </w:pPr>
      <w:r>
        <w:t xml:space="preserve">Nie przypisano jednostkom redakcyjnym i przedstawiono jako standard doktrynalny: rozumienie interesu prawnego przy skardze z art. 101 ustawy o samorządzie gminnym w orzecznictwie sądów administracyjnych; kryteria odróżniania istotnego i nieistotnego naruszenia trybu sporządzania planu; skutki stwierdzenia nieważności uchwały planistycznej dla decyzji wydanych na jej podstawie; reżim map zagrożenia powodziowego w Prawie wodnym; podstawy odpowiedzialności odszkodowawczej gminy i roszczeń nabywców lokali. Wymagają samodzielnego potwierdzenia w tekstach źródłowych i w orzecznictwie.</w:t>
      </w:r>
    </w:p>
    <w:bookmarkEnd w:id="34"/>
    <w:bookmarkEnd w:id="35"/>
    <w:bookmarkStart w:id="36" w:name="nota-do-partii-11"/>
    <w:p>
      <w:pPr>
        <w:pStyle w:val="Heading1"/>
      </w:pPr>
      <w:r>
        <w:t xml:space="preserve">Nota do partii 11</w:t>
      </w:r>
    </w:p>
    <w:p>
      <w:pPr>
        <w:pStyle w:val="FirstParagraph"/>
      </w:pPr>
      <w:r>
        <w:t xml:space="preserve">Trzy obserwacje.</w:t>
      </w:r>
    </w:p>
    <w:p>
      <w:pPr>
        <w:pStyle w:val="BodyText"/>
      </w:pPr>
      <w:r>
        <w:t xml:space="preserve">Najgłośniejszy wątek okazał się najsłabszą podstawą. Powiązania rodzinne radnych z podwykonawcą inwestora są w tym stanie faktycznym elementem, który organizuje uwagę czytelnika — a art. 25a ustawy o samorządzie gminnym mówi o interesie prawnym samego radnego i tej sytuacji nie obejmuje. Pismo zbudowane wokół konfliktu interesów przegrywa na przesłance; pismo zbudowane wokół art. 28 ust. 1 ustawy o planowaniu, z konfliktem interesów jako materiałem dowodowym istotności naruszenia, wykorzystuje ten sam fakt bez narażania się na oddalenie.</w:t>
      </w:r>
    </w:p>
    <w:p>
      <w:pPr>
        <w:pStyle w:val="BodyText"/>
      </w:pPr>
      <w:r>
        <w:t xml:space="preserve">Przesłanka opisująca sposób działania nie obejmuje właściwości terenu. Art. 50 ust. 1 pkt 2 Prawa budowlanego pozwala wstrzymać roboty wykonywane „w sposób mogący spowodować zagrożenie” — a gdy roboty prowadzi się zgodnie z pozwoleniem na terenie, który okazał się zalewowy, źródłem zagrożenia jest decyzja, nie sposób wykonania. Ta sama klasa błędu wystąpiła w kazusie K-06 przy odpowiedzialności absolutnej i w K-05 przy rozwiązaniu umowy o dostawę partiami: przepis brzmi trafnie, a jego przesłanka opisuje coś innego.</w:t>
      </w:r>
    </w:p>
    <w:p>
      <w:pPr>
        <w:pStyle w:val="BodyText"/>
      </w:pPr>
      <w:r>
        <w:t xml:space="preserve">Rozróżnienie redakcyjne przesądziło o dopuszczalności wniosku. Art. 145 § 1 pkt 5 KPA wymaga, by nowe okoliczności lub dowody istniały w dniu wydania decyzji. Mapa powstała później i jako dowód warunku nie spełnia; zagrożenie, które opisuje, istniało wcześniej i jako okoliczność go spełnia. Różnica między „powołuję nowy dowód” a „powołuję nową okoliczność, którą ten dowód wykazuje” jest różnicą w jednym zdaniu wniosku i różnicą między rozpoznaniem a oddaleniem.</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kazusów wieloaspektowych — arkusz odpowiedzi</dc:title>
  <dc:creator/>
  <cp:keywords/>
  <dcterms:created xsi:type="dcterms:W3CDTF">2026-09-07T16:16:10Z</dcterms:created>
  <dcterms:modified xsi:type="dcterms:W3CDTF">2026-09-07T16:16:10Z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Partia 11: PL-02</vt:lpwstr>
  </property>
</Properties>
</file>