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12:</w:t>
      </w:r>
      <w:r>
        <w:t xml:space="preserve"> </w:t>
      </w:r>
      <w:r>
        <w:t xml:space="preserve">PL-03</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PL-03</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Ze skillami — router prawny v3.41, ścieżka UP-1/UP-2/UP-4/UP-6, fasada prawo-polskie-v2, PRIMARY DR-02 (moduł ustawy o fundacji rodzinnej), SECONDARY DR-06</w:t>
            </w:r>
          </w:p>
        </w:tc>
      </w:tr>
      <w:tr>
        <w:tc>
          <w:tcPr/>
          <w:p>
            <w:pPr>
              <w:pStyle w:val="Compact"/>
              <w:jc w:val="left"/>
            </w:pPr>
            <w:r>
              <w:t xml:space="preserve">Weryfikacja źródeł</w:t>
            </w:r>
          </w:p>
        </w:tc>
        <w:tc>
          <w:tcPr/>
          <w:p>
            <w:pPr>
              <w:pStyle w:val="Compact"/>
              <w:jc w:val="left"/>
            </w:pPr>
            <w:r>
              <w:t xml:space="preserve">API ELI Sejmu (curl, RZĄD 1), sekwencja B-T1→B-T3 — teksty jednolite ustalone z rejestru i pobrane jako PDF, nie z pamięci modelu: fundacja rodzinna Dz.U. 2023 poz. 326 ze zm. poz. 825 (tekst ujednolicony Kancelarii Sejmu), KC Dz.U. 2026 poz. 795, KRO Dz.U. 2026 poz. 236, Prawo upadłościowe Dz.U. 2026 poz. 913, CIT Dz.U. 2026 poz. 554, PIT Dz.U. 2026 poz. 592</w:t>
            </w:r>
          </w:p>
        </w:tc>
      </w:tr>
      <w:tr>
        <w:tc>
          <w:tcPr/>
          <w:p>
            <w:pPr>
              <w:pStyle w:val="Compact"/>
              <w:jc w:val="left"/>
            </w:pPr>
            <w:r>
              <w:t xml:space="preserve">Data sporządzenia</w:t>
            </w:r>
          </w:p>
        </w:tc>
        <w:tc>
          <w:tcPr/>
          <w:p>
            <w:pPr>
              <w:pStyle w:val="Compact"/>
              <w:jc w:val="left"/>
            </w:pPr>
            <w:r>
              <w:t xml:space="preserve">7 września 2026 r.</w:t>
            </w:r>
          </w:p>
        </w:tc>
      </w:tr>
      <w:tr>
        <w:tc>
          <w:tcPr/>
          <w:p>
            <w:pPr>
              <w:pStyle w:val="Compact"/>
              <w:jc w:val="left"/>
            </w:pPr>
            <w:r>
              <w:t xml:space="preserve">Uwaga</w:t>
            </w:r>
          </w:p>
        </w:tc>
        <w:tc>
          <w:tcPr/>
          <w:p>
            <w:pPr>
              <w:pStyle w:val="Compact"/>
              <w:jc w:val="left"/>
            </w:pPr>
            <w:r>
              <w:t xml:space="preserve">Pozostaje PL-04–PL-07</w:t>
            </w:r>
          </w:p>
        </w:tc>
      </w:tr>
    </w:tbl>
    <w:bookmarkEnd w:id="20"/>
    <w:bookmarkStart w:id="35" w:name="pl-03-fundacja-po-śmierci-fundatora"/>
    <w:p>
      <w:pPr>
        <w:pStyle w:val="Heading1"/>
      </w:pPr>
      <w:r>
        <w:t xml:space="preserve">PL-03 Fundacja po śmierci fundatora</w:t>
      </w:r>
    </w:p>
    <w:bookmarkStart w:id="21" w:name="teza-wstępna"/>
    <w:p>
      <w:pPr>
        <w:pStyle w:val="Heading2"/>
      </w:pPr>
      <w:r>
        <w:t xml:space="preserve">Teza wstępna</w:t>
      </w:r>
    </w:p>
    <w:p>
      <w:pPr>
        <w:pStyle w:val="FirstParagraph"/>
      </w:pPr>
      <w:r>
        <w:t xml:space="preserve">Kazus wygląda na spór o zachowek i o ważność wniesienia majątku wspólnego, a rozstrzyga się na czterech ustaleniach tekstowych, z których każde przenosi zarzut na inną podstawę niż ta, po którą sięga się odruchowo.</w:t>
      </w:r>
    </w:p>
    <w:p>
      <w:pPr>
        <w:pStyle w:val="BodyText"/>
      </w:pPr>
      <w:r>
        <w:t xml:space="preserve">Pierwsze. Art. 37 § 1 Kodeksu rodzinnego i opiekuńczego zawiera katalog zamknięty czynności wymagających zgody drugiego małżonka: nieruchomości i użytkowanie wieczyste, prawa rzeczowe do budynku lub lokalu, gospodarstwo rolne lub przedsiębiorstwo, darowizna z majątku wspólnego. Akcje spółki nie mieszczą się w żadnym z czterech punktów — nie są nieruchomością, nie są prawem rzeczowym do lokalu i nie są przedsiębiorstwem, a wniesienie mienia na pokrycie funduszu założycielskiego w rozumieniu art. 17 ustawy o fundacji rodzinnej nie jest darowizną. Zarzut żony rozpada się zatem na dwa różne rozstrzygnięcia zależnie od rodzaju składnika, a nie na jedno wspólne.</w:t>
      </w:r>
    </w:p>
    <w:p>
      <w:pPr>
        <w:pStyle w:val="BodyText"/>
      </w:pPr>
      <w:r>
        <w:t xml:space="preserve">Drugie. Art. 993 § 2 Kodeksu cywilnego nakazuje doliczyć do spadku fundusz założycielski, „w przypadku gdy fundacja ta nie jest ustanowiona w testamencie”. Fundacja Jana powstała za jego życia i została jedynie powołana do spadku w testamencie — to nie jest to samo co ustanowienie w testamencie, co ustawodawca rozróżnia wprost w art. 927 § 3 KC, dopuszczając dziedziczenie przez fundację ustanowioną w testamencie pod warunkiem wpisu do rejestru w ciągu dwóch lat od jego ogłoszenia. Doliczenie działa. Jednocześnie art. 994¹ § 1 KC odbiera dziesięcioletnią cezurę ochronną słowami „chyba że fundacja rodzinna jest spadkobiercą” — a fundacja Jana spadkobiercą jest. Testament, który miał zabezpieczyć fundację, sam wyłączył jej najmocniejszą tarczę czasową.</w:t>
      </w:r>
    </w:p>
    <w:p>
      <w:pPr>
        <w:pStyle w:val="BodyText"/>
      </w:pPr>
      <w:r>
        <w:t xml:space="preserve">Trzecie. Art. 36 ust. 1 ustawy o fundacji rodzinnej zakazuje spełnienia świadczenia, gdy zagraża ono „wypłacalności fundacji rodzinnej wobec jej wierzycieli niebędących beneficjentami fundacji rodzinnej”. Przesłanka opisuje wypłacalność fundacji, nie kondycję spółki, której akcje fundacja posiada. Utrata płynności przez spółkę nie wypełnia jej samodzielnie — art. 16 ustawy przesądza rozdzielność majątkową w jedną stronę, a żaden przepis nie tworzy odpowiedzialności odwrotnej.</w:t>
      </w:r>
    </w:p>
    <w:p>
      <w:pPr>
        <w:pStyle w:val="BodyText"/>
      </w:pPr>
      <w:r>
        <w:t xml:space="preserve">Czwarte, ustalenie porządkujące, które domyka zagadnienie trzecie. Art. 127 ust. 1 Prawa upadłościowego dotyczy „czynności prawnych dokonanych przez upadłego”. Upadłym w tym stanie faktycznym byłaby spółka, a znak towarowy przeniósł Jan — zakres podmiotowy przepisu tej czynności nie obejmuje i nie da się go rozciągnąć. Właściwym narzędziem wobec transferu znaku jest skarga pauliańska, a wobec opłat licencyjnych płaconych przez spółkę — art. 128 ust. 2 Prawa upadłościowego, przepis o innym terminie, innym ciężarze dowodu i innym organie orzekającym.</w:t>
      </w:r>
    </w:p>
    <w:p>
      <w:pPr>
        <w:pStyle w:val="BodyText"/>
      </w:pPr>
      <w:r>
        <w:t xml:space="preserve">Ustalenie piąte, które łączy trzecie z czwartym. Art. 8 ust. 1 ustawy o fundacji rodzinnej czyni fundację dłużnikiem solidarnym za zobowiązania fundatora „powstałe przed jej ustanowieniem”. Jeżeli poręczenie Jana powstało przed ustanowieniem fundacji, wierzyciel z poręczenia jest wierzycielem fundacji niebędącym beneficjentem — a wtedy przesłanka art. 36 ust. 1, która sama z siebie nie działała, zostaje wypełniona i cały łańcuch sankcyjny się domyka.</w:t>
      </w:r>
    </w:p>
    <w:bookmarkEnd w:id="21"/>
    <w:bookmarkStart w:id="22" w:name="mapa-jurysdykcji-źródeł-i-kompetencji"/>
    <w:p>
      <w:pPr>
        <w:pStyle w:val="Heading2"/>
      </w:pPr>
      <w:r>
        <w:t xml:space="preserve">Mapa jurysdykcji, źródeł i kompetencji</w:t>
      </w:r>
    </w:p>
    <w:p>
      <w:pPr>
        <w:pStyle w:val="FirstParagraph"/>
      </w:pPr>
      <w:r>
        <w:t xml:space="preserve">Fora i ich zakres. Sąd Okręgowy w Piotrkowie Trybunalskim jako sąd rejestrowy fundacji rodzinnych (art. 4 ust. 2 ustawy), prowadzący postępowanie według przepisów o nieprocesie. Sąd cywilny właściwy ogólnie — dla powództwa o zachowek, dla powództwa pauliańskiego, dla powództw o uchylenie i o stwierdzenie nieważności uchwał organów fundacji (art. 82–83 ustawy), dla roszczeń odszkodowawczych wobec członków zarządu (art. 75). Sąd spadku — dla stwierdzenia nabycia spadku, spisu inwentarza i skutków przyjęcia. Sąd upadłościowy — wyłącznie dla spółki i wyłącznie po złożeniu wniosku; sędzia-komisarz orzeka o bezskuteczności z art. 128, syndyk wytacza powództwa z art. 132. Organ Krajowej Administracji Skarbowej — w trybie art. 84 ustawy o fundacji rodzinnej oraz w postępowaniu podatkowym dotyczącym CIT fundacji i PIT beneficjentów.</w:t>
      </w:r>
    </w:p>
    <w:p>
      <w:pPr>
        <w:pStyle w:val="BodyText"/>
      </w:pPr>
      <w:r>
        <w:t xml:space="preserve">Pięć warstw, których nie wolno łączyć. Skuteczność nabycia poszczególnych składników przez fundację; roszczenia spadkowe wobec fundacji i beneficjentów; ochrona wierzycieli fundatora i wierzycieli spółki; ład wewnętrzny fundacji i ważność jej uchwał; obciążenia podatkowe. Nieskuteczne wniesienie nieruchomości nie unieważnia statutu ani wypłat; wygrana o zachowek nie odwraca transferu znaku towarowego; bezskuteczność wobec masy upadłości spółki nie działa wobec wierzycieli osobistych Jana. Każda warstwa ma własny podmiot bierny, własny termin i własny skutek.</w:t>
      </w:r>
    </w:p>
    <w:p>
      <w:pPr>
        <w:pStyle w:val="BodyText"/>
      </w:pPr>
      <w:r>
        <w:t xml:space="preserve">Reżimy i ich wzajemna relacja. Ustawa o fundacji rodzinnej reguluje ustrój i wypłaty; KRO — skuteczność rozporządzeń majątkiem wspólnym; KC — zachowek, ochronę wierzycieli i odpowiedzialność za długi spadkowe; Prawo upadłościowe — bezskuteczność czynności wobec masy; CIT i PIT — opodatkowanie fundacji i beneficjentów. Ustawa o fundacji rodzinnej nie zawiera własnej reguły o zgodzie małżonka i nie modyfikuje art. 37 KRO; nie zawiera też reguły wyłączenia członka organu przy sprzeczności interesów, co ma dla zagadnienia czwartego znaczenie rozstrzygające.</w:t>
      </w:r>
    </w:p>
    <w:bookmarkEnd w:id="22"/>
    <w:bookmarkStart w:id="23" w:name="X2c962981bc6e07552afb414ed1892c6a6805b44"/>
    <w:p>
      <w:pPr>
        <w:pStyle w:val="Heading2"/>
      </w:pPr>
      <w:r>
        <w:t xml:space="preserve">Bramki weryfikacyjne (CN-GATE, kontrola zakresu)</w:t>
      </w:r>
    </w:p>
    <w:p>
      <w:pPr>
        <w:pStyle w:val="FirstParagraph"/>
      </w:pPr>
      <w:r>
        <w:t xml:space="preserve">Kontrola czasowa (OŚ-GATE). ⬛ Kazus nie podaje ani jednej daty — ustanowienia fundacji, wniesienia funduszu, zawarcia poręczenia, przeniesienia znaku towarowego, otwarcia spadku, ogłoszenia testamentu, wniosku upadłościowego. Blok wykonuję w formie skróconej z zerem trafień liczbowych, przy czym odnotowuję, że co najmniej pięć przesłanek w tej sprawie jest funkcją odstępu między datami, nie samych zdarzeń: cezura dziesięcioletnia z art. 994¹ § 1 KC, przedawnienia z art. 1007 § 1 i § 3 KC, pięcioletni termin z art. 534 KC, roczny i sześciomiesięczny termin z art. 127 ust. 1 i art. 128 ust. 1 Prawa upadłościowego oraz terminy zaskarżenia uchwał z art. 82 ust. 2 i art. 83 ust. 2 ustawy. Braki chronologiczne przechodzą do REM-GATE jako rozstrzygnięcia warunkowe, nie jako blokada — każda gałąź czasowa prowadzi do innej, ale istniejącej drogi.</w:t>
      </w:r>
    </w:p>
    <w:p>
      <w:pPr>
        <w:pStyle w:val="BodyText"/>
      </w:pPr>
      <w:r>
        <w:t xml:space="preserve">WYJ-GATE — art. 37 KRO (Dz.U. 2026 poz. 236), art. 993 KC (Dz.U. 2026 poz. 795), art. 36 ustawy o fundacji rodzinnej (Dz.U. 2023 poz. 326 ze zm.). S1 sąsiedztwo — art. 36 i art. 36¹ KRO (zarząd majątkiem wspólnym i sprzeciw), art. 38 i art. 39 KRO ⚑ art. 38 chroni osobę trzecią w dobrej wierze, art. 39 daje zastępczą zgodę sądu; art. 992 i art. 994 KC, art. 994¹ KC ⚑ jednostka z indeksem górnym, odrębna od art. 994; art. 35 i art. 37–38 ustawy ⚑ pierwszeństwo roszczeń alimentacyjnych i miarkowanie świadczeń. S2 krawędzie jednostki — art. 31 KRO (początek działu o wspólności) i art. 46 KRO (odesłanie do przepisów o wspólności majątku spadkowego); art. 991 i art. 1011 KC jako granice tytułu o zachowku; art. 1 i art. 16 ustawy. S3 akty powiązane — ⚑ CIT art. 6 ust. 7 i 8 oraz art. 24q i 24r wyłączają i modyfikują zwolnienie podmiotowe fundacji; ⚑ PIT art. 21 ust. 1 pkt 157 i ust. 49 zwalnia świadczenia dla kręgu z art. 4a ustawy o podatku od spadków i darowizn; ⚑ Prawo upadłościowe art. 127–132 jako reżim szczególny wobec art. 527 KC, z odesłaniem zwrotnym w art. 131. S4 przepisy przejściowe — ustawa o fundacji rodzinnej ma jedną nowelizację (Dz.U. 2023 poz. 825), niedotyczącą przepisów powołanych w tym arkuszu; nowelizacja CIT z 12 września 2025 r. (Dz.U. poz. 1426, wejście 22 października 2025 r.) zmieniła brzmienie art. 24q — ⬛ bez daty czynności nie da się przesądzić, która wersja ma zastosowanie do transakcji powiązanej.</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Czas</w:t>
            </w:r>
          </w:p>
        </w:tc>
        <w:tc>
          <w:tcPr/>
          <w:p>
            <w:pPr>
              <w:pStyle w:val="Compact"/>
              <w:jc w:val="left"/>
            </w:pPr>
            <w:r>
              <w:t xml:space="preserve">Podmiot</w:t>
            </w:r>
          </w:p>
        </w:tc>
        <w:tc>
          <w:tcPr/>
          <w:p>
            <w:pPr>
              <w:pStyle w:val="Compact"/>
              <w:jc w:val="left"/>
            </w:pPr>
            <w:r>
              <w:t xml:space="preserve">Przedmiot</w:t>
            </w:r>
          </w:p>
        </w:tc>
      </w:tr>
      <w:tr>
        <w:tc>
          <w:tcPr/>
          <w:p>
            <w:pPr>
              <w:pStyle w:val="Compact"/>
              <w:jc w:val="left"/>
            </w:pPr>
            <w:r>
              <w:t xml:space="preserve">Wniesienie akcji bez zgody żony</w:t>
            </w:r>
          </w:p>
        </w:tc>
        <w:tc>
          <w:tcPr/>
          <w:p>
            <w:pPr>
              <w:pStyle w:val="Compact"/>
              <w:jc w:val="left"/>
            </w:pPr>
            <w:r>
              <w:t xml:space="preserve">art. 37 § 1 KRO</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katalog zamknięty nie obejmuje akcji ani wniesienia na fundusz założycielski</w:t>
            </w:r>
          </w:p>
        </w:tc>
      </w:tr>
      <w:tr>
        <w:tc>
          <w:tcPr/>
          <w:p>
            <w:pPr>
              <w:pStyle w:val="Compact"/>
              <w:jc w:val="left"/>
            </w:pPr>
            <w:r>
              <w:t xml:space="preserve">Wniesienie nieruchomości bez zgody żony</w:t>
            </w:r>
          </w:p>
        </w:tc>
        <w:tc>
          <w:tcPr/>
          <w:p>
            <w:pPr>
              <w:pStyle w:val="Compact"/>
              <w:jc w:val="left"/>
            </w:pPr>
            <w:r>
              <w:t xml:space="preserve">art. 37 § 1 pkt 1 KRO</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Sankcja braku zgody</w:t>
            </w:r>
          </w:p>
        </w:tc>
        <w:tc>
          <w:tcPr/>
          <w:p>
            <w:pPr>
              <w:pStyle w:val="Compact"/>
              <w:jc w:val="left"/>
            </w:pPr>
            <w:r>
              <w:t xml:space="preserve">art. 37 § 2 wobec art. 37 § 4 KRO</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zależy od tego, czy wniesienie było umową, czy czynnością jednostronną</w:t>
            </w:r>
          </w:p>
        </w:tc>
      </w:tr>
      <w:tr>
        <w:tc>
          <w:tcPr/>
          <w:p>
            <w:pPr>
              <w:pStyle w:val="Compact"/>
              <w:jc w:val="left"/>
            </w:pPr>
            <w:r>
              <w:t xml:space="preserve">Doliczenie funduszu założycielskiego</w:t>
            </w:r>
          </w:p>
        </w:tc>
        <w:tc>
          <w:tcPr/>
          <w:p>
            <w:pPr>
              <w:pStyle w:val="Compact"/>
              <w:jc w:val="left"/>
            </w:pPr>
            <w:r>
              <w:t xml:space="preserve">art. 993 § 2 KC</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fundacja nie została ustanowiona w testamencie, lecz w nim powołana</w:t>
            </w:r>
          </w:p>
        </w:tc>
      </w:tr>
      <w:tr>
        <w:tc>
          <w:tcPr/>
          <w:p>
            <w:pPr>
              <w:pStyle w:val="Compact"/>
              <w:jc w:val="left"/>
            </w:pPr>
            <w:r>
              <w:t xml:space="preserve">Cezura dziesięcioletnia funduszu</w:t>
            </w:r>
          </w:p>
        </w:tc>
        <w:tc>
          <w:tcPr/>
          <w:p>
            <w:pPr>
              <w:pStyle w:val="Compact"/>
              <w:jc w:val="left"/>
            </w:pPr>
            <w:r>
              <w:t xml:space="preserve">art. 994¹ § 1 KC</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wyłączenie nie działa, bo fundacja jest spadkobiercą</w:t>
            </w:r>
          </w:p>
        </w:tc>
      </w:tr>
      <w:tr>
        <w:tc>
          <w:tcPr/>
          <w:p>
            <w:pPr>
              <w:pStyle w:val="Compact"/>
              <w:jc w:val="left"/>
            </w:pPr>
            <w:r>
              <w:t xml:space="preserve">Roszczenie dzieci wobec fundacji jako spadkobiercy</w:t>
            </w:r>
          </w:p>
        </w:tc>
        <w:tc>
          <w:tcPr/>
          <w:p>
            <w:pPr>
              <w:pStyle w:val="Compact"/>
              <w:jc w:val="left"/>
            </w:pPr>
            <w:r>
              <w:t xml:space="preserve">art. 991 § 2 KC</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Roszczenie wobec fundacji z tytułu funduszu</w:t>
            </w:r>
          </w:p>
        </w:tc>
        <w:tc>
          <w:tcPr/>
          <w:p>
            <w:pPr>
              <w:pStyle w:val="Compact"/>
              <w:jc w:val="left"/>
            </w:pPr>
            <w:r>
              <w:t xml:space="preserve">art. 1000 § 4 KC</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subsydiarne — otwiera się dopiero przy ograniczeniu z art. 1031 § 2 KC</w:t>
            </w:r>
          </w:p>
        </w:tc>
      </w:tr>
      <w:tr>
        <w:tc>
          <w:tcPr/>
          <w:p>
            <w:pPr>
              <w:pStyle w:val="Compact"/>
              <w:jc w:val="left"/>
            </w:pPr>
            <w:r>
              <w:t xml:space="preserve">Pozbawienie syna zachowku statutem</w:t>
            </w:r>
          </w:p>
        </w:tc>
        <w:tc>
          <w:tcPr/>
          <w:p>
            <w:pPr>
              <w:pStyle w:val="Compact"/>
              <w:jc w:val="left"/>
            </w:pPr>
            <w:r>
              <w:t xml:space="preserve">art. 1008 KC</w:t>
            </w:r>
          </w:p>
        </w:tc>
        <w:tc>
          <w:tcPr/>
          <w:p>
            <w:pPr>
              <w:pStyle w:val="Compact"/>
              <w:jc w:val="left"/>
            </w:pPr>
            <w:r>
              <w:t xml:space="preserve">TAK</w:t>
            </w:r>
          </w:p>
        </w:tc>
        <w:tc>
          <w:tcPr/>
          <w:p>
            <w:pPr>
              <w:pStyle w:val="Compact"/>
              <w:jc w:val="left"/>
            </w:pPr>
            <w:r>
              <w:t xml:space="preserve">NIE — wydziedziczenie wymaga testamentu; statut fundacji nim nie jest</w:t>
            </w:r>
          </w:p>
        </w:tc>
        <w:tc>
          <w:tcPr/>
          <w:p>
            <w:pPr>
              <w:pStyle w:val="Compact"/>
              <w:jc w:val="left"/>
            </w:pPr>
            <w:r>
              <w:t xml:space="preserve">—</w:t>
            </w:r>
          </w:p>
        </w:tc>
      </w:tr>
      <w:tr>
        <w:tc>
          <w:tcPr/>
          <w:p>
            <w:pPr>
              <w:pStyle w:val="Compact"/>
              <w:jc w:val="left"/>
            </w:pPr>
            <w:r>
              <w:t xml:space="preserve">Odpowiedzialność fundacji za poręczenie</w:t>
            </w:r>
          </w:p>
        </w:tc>
        <w:tc>
          <w:tcPr/>
          <w:p>
            <w:pPr>
              <w:pStyle w:val="Compact"/>
              <w:jc w:val="left"/>
            </w:pPr>
            <w:r>
              <w:t xml:space="preserve">art. 8 ust. 1 ustawy o fundacji rodzinnej</w:t>
            </w:r>
          </w:p>
        </w:tc>
        <w:tc>
          <w:tcPr/>
          <w:p>
            <w:pPr>
              <w:pStyle w:val="Compact"/>
              <w:jc w:val="left"/>
            </w:pPr>
            <w:r>
              <w:t xml:space="preserve">⬛ zależy od daty poręczenia względem ustanowienia fundacji</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Wstrzymanie świadczeń dla córki</w:t>
            </w:r>
          </w:p>
        </w:tc>
        <w:tc>
          <w:tcPr/>
          <w:p>
            <w:pPr>
              <w:pStyle w:val="Compact"/>
              <w:jc w:val="left"/>
            </w:pPr>
            <w:r>
              <w:t xml:space="preserve">art. 36 ust. 1 ustawy o fundacji rodzinnej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jeżeli jedynym kryzysem jest płynność spółki; TAK, gdy fundacja ma wierzyciela z art. 8</w:t>
            </w:r>
          </w:p>
        </w:tc>
      </w:tr>
      <w:tr>
        <w:tc>
          <w:tcPr/>
          <w:p>
            <w:pPr>
              <w:pStyle w:val="Compact"/>
              <w:jc w:val="left"/>
            </w:pPr>
            <w:r>
              <w:t xml:space="preserve">Wyłączenie członka organu przy sprzeczności interesów</w:t>
            </w:r>
          </w:p>
        </w:tc>
        <w:tc>
          <w:tcPr/>
          <w:p>
            <w:pPr>
              <w:pStyle w:val="Compact"/>
              <w:jc w:val="left"/>
            </w:pPr>
            <w:r>
              <w:t xml:space="preserve">brak jednostki redakcyjnej w ustawie o fundacji rodzinnej</w:t>
            </w:r>
          </w:p>
        </w:tc>
        <w:tc>
          <w:tcPr/>
          <w:p>
            <w:pPr>
              <w:pStyle w:val="Compact"/>
              <w:jc w:val="left"/>
            </w:pPr>
            <w:r>
              <w:t xml:space="preserve">—</w:t>
            </w:r>
          </w:p>
        </w:tc>
        <w:tc>
          <w:tcPr/>
          <w:p>
            <w:pPr>
              <w:pStyle w:val="Compact"/>
              <w:jc w:val="left"/>
            </w:pPr>
            <w:r>
              <w:t xml:space="preserve">—</w:t>
            </w:r>
          </w:p>
        </w:tc>
        <w:tc>
          <w:tcPr/>
          <w:p>
            <w:pPr>
              <w:pStyle w:val="Compact"/>
              <w:jc w:val="left"/>
            </w:pPr>
            <w:r>
              <w:t xml:space="preserve">NIE — ustawa nie zawiera reguły wyłączeniowej; kontrola jest następcza</w:t>
            </w:r>
          </w:p>
        </w:tc>
      </w:tr>
      <w:tr>
        <w:tc>
          <w:tcPr/>
          <w:p>
            <w:pPr>
              <w:pStyle w:val="Compact"/>
              <w:jc w:val="left"/>
            </w:pPr>
            <w:r>
              <w:t xml:space="preserve">Reprezentacja przy transakcji powiązanej</w:t>
            </w:r>
          </w:p>
        </w:tc>
        <w:tc>
          <w:tcPr/>
          <w:p>
            <w:pPr>
              <w:pStyle w:val="Compact"/>
              <w:jc w:val="left"/>
            </w:pPr>
            <w:r>
              <w:t xml:space="preserve">art. 63 ust. 1 ustawy o fundacji rodzinnej</w:t>
            </w:r>
          </w:p>
        </w:tc>
        <w:tc>
          <w:tcPr/>
          <w:p>
            <w:pPr>
              <w:pStyle w:val="Compact"/>
              <w:jc w:val="left"/>
            </w:pPr>
            <w:r>
              <w:t xml:space="preserve">TAK</w:t>
            </w:r>
          </w:p>
        </w:tc>
        <w:tc>
          <w:tcPr/>
          <w:p>
            <w:pPr>
              <w:pStyle w:val="Compact"/>
              <w:jc w:val="left"/>
            </w:pPr>
            <w:r>
              <w:t xml:space="preserve">NIE — przepis dotyczy umowy z członkiem zarządu, nie z podmiotem powiązanym</w:t>
            </w:r>
          </w:p>
        </w:tc>
        <w:tc>
          <w:tcPr/>
          <w:p>
            <w:pPr>
              <w:pStyle w:val="Compact"/>
              <w:jc w:val="left"/>
            </w:pPr>
            <w:r>
              <w:t xml:space="preserve">—</w:t>
            </w:r>
          </w:p>
        </w:tc>
      </w:tr>
      <w:tr>
        <w:tc>
          <w:tcPr/>
          <w:p>
            <w:pPr>
              <w:pStyle w:val="Compact"/>
              <w:jc w:val="left"/>
            </w:pPr>
            <w:r>
              <w:t xml:space="preserve">Sprzedaż nieruchomości poza katalogiem działalności</w:t>
            </w:r>
          </w:p>
        </w:tc>
        <w:tc>
          <w:tcPr/>
          <w:p>
            <w:pPr>
              <w:pStyle w:val="Compact"/>
              <w:jc w:val="left"/>
            </w:pPr>
            <w:r>
              <w:t xml:space="preserve">art. 5 ust. 1 pkt 1 ustawy o fundacji rodzinnej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mienie nie zostało nabyte wyłącznie w celu dalszego zbycia</w:t>
            </w:r>
          </w:p>
        </w:tc>
      </w:tr>
      <w:tr>
        <w:tc>
          <w:tcPr/>
          <w:p>
            <w:pPr>
              <w:pStyle w:val="Compact"/>
              <w:jc w:val="left"/>
            </w:pPr>
            <w:r>
              <w:t xml:space="preserve">Sankcja dwudziestopięcioprocentowa</w:t>
            </w:r>
          </w:p>
        </w:tc>
        <w:tc>
          <w:tcPr/>
          <w:p>
            <w:pPr>
              <w:pStyle w:val="Compact"/>
              <w:jc w:val="left"/>
            </w:pPr>
            <w:r>
              <w:t xml:space="preserve">art. 24r ust. 1 CIT</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czynność mieści się w art. 5 ustawy</w:t>
            </w:r>
          </w:p>
        </w:tc>
      </w:tr>
      <w:tr>
        <w:tc>
          <w:tcPr/>
          <w:p>
            <w:pPr>
              <w:pStyle w:val="Compact"/>
              <w:jc w:val="left"/>
            </w:pPr>
            <w:r>
              <w:t xml:space="preserve">Ukryte zyski w transakcji powiązanej</w:t>
            </w:r>
          </w:p>
        </w:tc>
        <w:tc>
          <w:tcPr/>
          <w:p>
            <w:pPr>
              <w:pStyle w:val="Compact"/>
              <w:jc w:val="left"/>
            </w:pPr>
            <w:r>
              <w:t xml:space="preserve">art. 24q ust. 1a pkt 4 CIT</w:t>
            </w:r>
          </w:p>
        </w:tc>
        <w:tc>
          <w:tcPr/>
          <w:p>
            <w:pPr>
              <w:pStyle w:val="Compact"/>
              <w:jc w:val="left"/>
            </w:pPr>
            <w:r>
              <w:t xml:space="preserve">⬛ wersja sprzed czy po 22 października 2025 r.</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Opłaty licencyjne od spółki</w:t>
            </w:r>
          </w:p>
        </w:tc>
        <w:tc>
          <w:tcPr/>
          <w:p>
            <w:pPr>
              <w:pStyle w:val="Compact"/>
              <w:jc w:val="left"/>
            </w:pPr>
            <w:r>
              <w:t xml:space="preserve">art. 6 ust. 8 CIT</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zależy od progu 5% i od kwalifikacji licencji jako umowy o podobnym charakterze</w:t>
            </w:r>
          </w:p>
        </w:tc>
      </w:tr>
      <w:tr>
        <w:tc>
          <w:tcPr/>
          <w:p>
            <w:pPr>
              <w:pStyle w:val="Compact"/>
              <w:jc w:val="left"/>
            </w:pPr>
            <w:r>
              <w:t xml:space="preserve">Bezskuteczność opłat licencyjnych wobec masy</w:t>
            </w:r>
          </w:p>
        </w:tc>
        <w:tc>
          <w:tcPr/>
          <w:p>
            <w:pPr>
              <w:pStyle w:val="Compact"/>
              <w:jc w:val="left"/>
            </w:pPr>
            <w:r>
              <w:t xml:space="preserve">art. 128 ust. 2 Prawa upadłościowego</w:t>
            </w:r>
          </w:p>
        </w:tc>
        <w:tc>
          <w:tcPr/>
          <w:p>
            <w:pPr>
              <w:pStyle w:val="Compact"/>
              <w:jc w:val="left"/>
            </w:pPr>
            <w:r>
              <w:t xml:space="preserve">⬛ sześć miesięcy przed wnioskiem</w:t>
            </w:r>
          </w:p>
        </w:tc>
        <w:tc>
          <w:tcPr/>
          <w:p>
            <w:pPr>
              <w:pStyle w:val="Compact"/>
              <w:jc w:val="left"/>
            </w:pPr>
            <w:r>
              <w:t xml:space="preserve">TAK — fundacja jako akcjonariusz spółki</w:t>
            </w:r>
          </w:p>
        </w:tc>
        <w:tc>
          <w:tcPr/>
          <w:p>
            <w:pPr>
              <w:pStyle w:val="Compact"/>
              <w:jc w:val="left"/>
            </w:pPr>
            <w:r>
              <w:t xml:space="preserve">TAK</w:t>
            </w:r>
          </w:p>
        </w:tc>
      </w:tr>
      <w:tr>
        <w:tc>
          <w:tcPr/>
          <w:p>
            <w:pPr>
              <w:pStyle w:val="Compact"/>
              <w:jc w:val="left"/>
            </w:pPr>
            <w:r>
              <w:t xml:space="preserve">Bezskuteczność przeniesienia znaku wobec masy spółki</w:t>
            </w:r>
          </w:p>
        </w:tc>
        <w:tc>
          <w:tcPr/>
          <w:p>
            <w:pPr>
              <w:pStyle w:val="Compact"/>
              <w:jc w:val="left"/>
            </w:pPr>
            <w:r>
              <w:t xml:space="preserve">art. 127 ust. 1 Prawa upadłościowego</w:t>
            </w:r>
          </w:p>
        </w:tc>
        <w:tc>
          <w:tcPr/>
          <w:p>
            <w:pPr>
              <w:pStyle w:val="Compact"/>
              <w:jc w:val="left"/>
            </w:pPr>
            <w:r>
              <w:t xml:space="preserve">—</w:t>
            </w:r>
          </w:p>
        </w:tc>
        <w:tc>
          <w:tcPr/>
          <w:p>
            <w:pPr>
              <w:pStyle w:val="Compact"/>
              <w:jc w:val="left"/>
            </w:pPr>
            <w:r>
              <w:t xml:space="preserve">NIE — przepis obejmuje czynności upadłego, a znak przeniósł Jan, nie spółka</w:t>
            </w:r>
          </w:p>
        </w:tc>
        <w:tc>
          <w:tcPr/>
          <w:p>
            <w:pPr>
              <w:pStyle w:val="Compact"/>
              <w:jc w:val="left"/>
            </w:pPr>
            <w:r>
              <w:t xml:space="preserve">—</w:t>
            </w:r>
          </w:p>
        </w:tc>
      </w:tr>
      <w:tr>
        <w:tc>
          <w:tcPr/>
          <w:p>
            <w:pPr>
              <w:pStyle w:val="Compact"/>
              <w:jc w:val="left"/>
            </w:pPr>
            <w:r>
              <w:t xml:space="preserve">Skarga pauliańska wobec fundacji</w:t>
            </w:r>
          </w:p>
        </w:tc>
        <w:tc>
          <w:tcPr/>
          <w:p>
            <w:pPr>
              <w:pStyle w:val="Compact"/>
              <w:jc w:val="left"/>
            </w:pPr>
            <w:r>
              <w:t xml:space="preserve">art. 527 § 1 w zw. z art. 528 KC</w:t>
            </w:r>
          </w:p>
        </w:tc>
        <w:tc>
          <w:tcPr/>
          <w:p>
            <w:pPr>
              <w:pStyle w:val="Compact"/>
              <w:jc w:val="left"/>
            </w:pPr>
            <w:r>
              <w:t xml:space="preserve">⬛ pięć lat od czynności (art. 534 KC)</w:t>
            </w:r>
          </w:p>
        </w:tc>
        <w:tc>
          <w:tcPr/>
          <w:p>
            <w:pPr>
              <w:pStyle w:val="Compact"/>
              <w:jc w:val="left"/>
            </w:pPr>
            <w:r>
              <w:t xml:space="preserve">TAK</w:t>
            </w:r>
          </w:p>
        </w:tc>
        <w:tc>
          <w:tcPr/>
          <w:p>
            <w:pPr>
              <w:pStyle w:val="Compact"/>
              <w:jc w:val="left"/>
            </w:pPr>
            <w:r>
              <w:t xml:space="preserve">TAK</w:t>
            </w:r>
          </w:p>
        </w:tc>
      </w:tr>
    </w:tbl>
    <w:p>
      <w:pPr>
        <w:pStyle w:val="BodyText"/>
      </w:pPr>
      <w:r>
        <w:t xml:space="preserve">Pięć wyników „NIE” jest rozstrzygających i każdy przenosi zarzut na inną podstawę: z art. 37 § 1 KRO co do akcji na rozliczenie przy podziale majątku wspólnego; z art. 994¹ § 1 KC na jego własny wyjątek; z art. 1008 KC na art. 991 § 2 KC; z art. 24r CIT na art. 24q ust. 1a pkt 4 i art. 6 ust. 8 CIT; z art. 127 ust. 1 Prawa upadłościowego na art. 128 ust. 2 tej ustawy oraz na art. 527 KC. Osiem pozycji ⬛ przechodzi do REM-GATE jako rozstrzygnięcia warunkowe.</w:t>
      </w:r>
    </w:p>
    <w:bookmarkEnd w:id="23"/>
    <w:bookmarkStart w:id="29" w:name="analiza-materialna-według-zagadnień"/>
    <w:p>
      <w:pPr>
        <w:pStyle w:val="Heading2"/>
      </w:pPr>
      <w:r>
        <w:t xml:space="preserve">Analiza materialna według zagadnień</w:t>
      </w:r>
    </w:p>
    <w:bookmarkStart w:id="24" w:name="X0b6f087a559e7fa4d0acaadcb4b0a1e17d3a21d"/>
    <w:p>
      <w:pPr>
        <w:pStyle w:val="Heading3"/>
      </w:pPr>
      <w:r>
        <w:t xml:space="preserve">Zagadnienie 1: które aktywa weszły do fundacji i jakie znaczenie ma majątek wspólny</w:t>
      </w:r>
    </w:p>
    <w:p>
      <w:pPr>
        <w:pStyle w:val="FirstParagraph"/>
      </w:pPr>
      <w:r>
        <w:t xml:space="preserve">Zarzut trzeba rozłożyć na trzy pytania, ponieważ odpowiedzi na nie są różne, a wynik zależy od rodzaju składnika, nie od intencji żony.</w:t>
      </w:r>
    </w:p>
    <w:p>
      <w:pPr>
        <w:pStyle w:val="BodyText"/>
      </w:pPr>
      <w:r>
        <w:t xml:space="preserve">Czy czynność wymagała zgody. Art. 37 § 1 KRO wylicza cztery kategorie i jest to wyliczenie zamknięte: czynność prowadząca do zbycia, obciążenia lub odpłatnego nabycia nieruchomości albo użytkowania wieczystego oraz do oddania nieruchomości do używania lub pobierania z niej pożytków (pkt 1); czynność dotycząca prawa rzeczowego, którego przedmiotem jest budynek lub lokal (pkt 2); czynność dotycząca gospodarstwa rolnego lub przedsiębiorstwa (pkt 3); darowizna z majątku wspólnego, z wyjątkiem drobnych darowizn zwyczajowo przyjętych (pkt 4). Nieruchomości Jana są objęte pkt 1 bez wątpliwości. Akcje spółki nie są objęte żadnym punktem: nie są nieruchomością, nie są prawem rzeczowym do budynku lub lokalu, nie są przedsiębiorstwem w rozumieniu art. 55¹ KC, a wniesienie ich na pokrycie funduszu założycielskiego nie jest darowizną — art. 17 ustawy o fundacji rodzinnej opisuje odrębną czynność wniesienia mienia, a art. 20 zakazuje zwrotu tego mienia fundatorowi, co jest konstrukcją obcą darowiźnie. Zarzut żony co do akcji upada na CN-3.</w:t>
      </w:r>
    </w:p>
    <w:p>
      <w:pPr>
        <w:pStyle w:val="BodyText"/>
      </w:pPr>
      <w:r>
        <w:t xml:space="preserve">Jaka jest sankcja tam, gdzie zgoda była wymagana. Rozróżnienie jest redakcyjne i ma skutek nieodwracalny. Art. 37 § 2 KRO uzależnia ważność</w:t>
      </w:r>
      <w:r>
        <w:t xml:space="preserve"> </w:t>
      </w:r>
      <w:r>
        <w:rPr>
          <w:bCs/>
          <w:b/>
        </w:rPr>
        <w:t xml:space="preserve">umowy</w:t>
      </w:r>
      <w:r>
        <w:t xml:space="preserve"> </w:t>
      </w:r>
      <w:r>
        <w:t xml:space="preserve">zawartej bez zgody od jej potwierdzenia przez drugiego małżonka, a art. 37 § 3 pozwala drugiej stronie wyznaczyć termin do potwierdzenia. Art. 37 § 4 stanowi natomiast, że</w:t>
      </w:r>
      <w:r>
        <w:t xml:space="preserve"> </w:t>
      </w:r>
      <w:r>
        <w:rPr>
          <w:bCs/>
          <w:b/>
        </w:rPr>
        <w:t xml:space="preserve">jednostronna</w:t>
      </w:r>
      <w:r>
        <w:t xml:space="preserve"> </w:t>
      </w:r>
      <w:r>
        <w:t xml:space="preserve">czynność prawna dokonana bez wymaganej zgody jest nieważna — bez możliwości konwalidacji. Wniesienie mienia do fundacji rodzinnej może przybrać obie postacie: oświadczenie o ustanowieniu fundacji w akcie założycielskim (art. 21 pkt 1, art. 22 ustawy) jest czynnością jednostronną, natomiast przeniesienie własności nieruchomości na fundację w organizacji wymaga umowy przenoszącej własność. ⬛ Kazus nie podaje formy. Rozstrzygnięcie warunkowe: jeżeli przeniesienie nastąpiło umową — czynność jest dotknięta bezskutecznością zawieszoną, a po śmierci Jana potwierdzenie stało się niemożliwe, więc umowa jest definitywnie nieważna, chyba że żona potwierdzi ją sama, co leży w jej interesie tylko przy określonej strukturze rozliczeń; jeżeli oświadczeniem jednostronnym — nieważność następuje z mocy prawa i nie podlega sanowaniu.</w:t>
      </w:r>
    </w:p>
    <w:p>
      <w:pPr>
        <w:pStyle w:val="BodyText"/>
      </w:pPr>
      <w:r>
        <w:t xml:space="preserve">Co pozostaje żonie tam, gdzie zgoda nie była wymagana. Nie sankcja nieważności, lecz rozliczenie. Art. 45 § 1 KRO nakazuje zwrot wydatków i nakładów między majątkami i stosuje się odpowiednio, gdy dług jednego z małżonków został zaspokojony z majątku wspólnego (§ 3); zwrotu dokonuje się przy podziale majątku wspólnego (§ 2). Uszczuplenie majątku wspólnego przez rozporządzenie jednego z małżonków rozlicza się w postępowaniu o podział majątku — jest to standard doktrynalny i orzeczniczy, którego nie przypisuję konkretnej jednostce redakcyjnej. Skutek praktyczny jest istotny: żona nie odzyskuje akcji, lecz zwiększa swój udział rozliczeniowy, a fundacja pozostaje ich właścicielem i akcjonariuszem spółki.</w:t>
      </w:r>
    </w:p>
    <w:p>
      <w:pPr>
        <w:pStyle w:val="BodyText"/>
      </w:pPr>
      <w:r>
        <w:t xml:space="preserve">⬛ Kazus nie podaje, czy między małżonkami obowiązywał ustrój ustawowy, czy umowny, ani które konkretnie nieruchomości pochodziły z majątku wspólnego. Rozstrzygnięcie warunkowe: przy rozdzielności majątkowej cały zarzut odpada u podstaw, przy wspólności ustawowej działa podział na dwie ścieżki opisany wyżej. Odnotowuję również art. 38 KRO, który chroni osobę trzecią nabywającą prawo w dobrej wierze — wobec fundacji, której organem był lub jest sam fundator albo osoba przez niego powołana, powołanie się na dobrą wiarę będzie utrudnione, choć nie jest wykluczone z góry.</w:t>
      </w:r>
    </w:p>
    <w:bookmarkEnd w:id="24"/>
    <w:bookmarkStart w:id="25" w:name="X202c3ac5d6f4f41486da3b265978e9c41be696a"/>
    <w:p>
      <w:pPr>
        <w:pStyle w:val="Heading3"/>
      </w:pPr>
      <w:r>
        <w:t xml:space="preserve">Zagadnienie 2: roszczenia spadkowe przy transferach za życia i świadczeniach fundacyjnych</w:t>
      </w:r>
    </w:p>
    <w:p>
      <w:pPr>
        <w:pStyle w:val="FirstParagraph"/>
      </w:pPr>
      <w:r>
        <w:t xml:space="preserve">Substrat zachowku. Art. 993 § 1 KC nakazuje doliczyć darowizny i zapisy windykacyjne, § 2 — fundusz założycielski wniesiony przez spadkodawcę, gdy fundacja nie jest ustanowiona w testamencie, § 3 — mienie w związku z rozwiązaniem fundacji do wysokości funduszu. Rozróżnienie z § 2 jest tu rozstrzygające i łatwe do przeoczenia: fundacja Jana została</w:t>
      </w:r>
      <w:r>
        <w:t xml:space="preserve"> </w:t>
      </w:r>
      <w:r>
        <w:rPr>
          <w:bCs/>
          <w:b/>
        </w:rPr>
        <w:t xml:space="preserve">ustanowiona za jego życia</w:t>
      </w:r>
      <w:r>
        <w:t xml:space="preserve"> </w:t>
      </w:r>
      <w:r>
        <w:t xml:space="preserve">i jedynie</w:t>
      </w:r>
      <w:r>
        <w:t xml:space="preserve"> </w:t>
      </w:r>
      <w:r>
        <w:rPr>
          <w:bCs/>
          <w:b/>
        </w:rPr>
        <w:t xml:space="preserve">powołana do spadku</w:t>
      </w:r>
      <w:r>
        <w:t xml:space="preserve"> </w:t>
      </w:r>
      <w:r>
        <w:t xml:space="preserve">w testamencie. Ustawodawca traktuje te dwie sytuacje odrębnie, co widać w art. 927 § 3 KC, który dopuszcza dziedziczenie przez fundację ustanowioną w testamencie pod dodatkowym warunkiem wpisu do rejestru w ciągu dwóch lat od jego ogłoszenia — warunek bezprzedmiotowy dla fundacji już wpisanej. Fundusz założycielski Jana podlega zatem doliczeniu.</w:t>
      </w:r>
    </w:p>
    <w:p>
      <w:pPr>
        <w:pStyle w:val="BodyText"/>
      </w:pPr>
      <w:r>
        <w:t xml:space="preserve">Cezura czasowa i jej wyjątek. Art. 994¹ § 1 KC wyłącza doliczenie funduszu wniesionego przed więcej niż dziesięciu laty przed otwarciem spadku — „chyba że fundacja rodzinna jest spadkobiercą”. Ponieważ testament pozostawia fundacji niemal cały pozostały majątek, fundacja jest spadkobiercą i wyjątek działa: cezura dziesięcioletnia nie chroni funduszu niezależnie od tego, kiedy został wniesiony. Jest to wynik odwrotny do intuicji planistycznej, według której wczesne wniesienie majątku „wyprowadza go z zachowku” — testament na rzecz tej samej fundacji tę ochronę anuluje. Wartość ustala się według art. 995 § 3 KC: stan z chwili przekazania, ceny z chwili ustalania zachowku.</w:t>
      </w:r>
    </w:p>
    <w:p>
      <w:pPr>
        <w:pStyle w:val="BodyText"/>
      </w:pPr>
      <w:r>
        <w:t xml:space="preserve">Znak towarowy przeniesiony po zaniżonej cenie. Nie jest funduszem założycielskim, bo przeniesiono go po ustanowieniu fundacji — art. 993 § 2 KC obejmuje wyłącznie fundusz założycielski, nie każde późniejsze przysporzenie. Doliczeniu podlega natomiast w części nieodpłatnej jako darowizna w rozumieniu art. 993 § 1 KC; kwalifikacja umowy sprzedaży za cenę rażąco odbiegającą od wartości rynkowej jako czynności mieszanej, w której nadwyżka wartości nad ceną stanowi darowiznę, jest standardem doktrynalnym i orzeczniczym, którego nie przypisuję jednostce redakcyjnej. Cezura z art. 994 § 1 KC i tak nie działa, ponieważ dotyczy darowizn na rzecz osób niebędących spadkobiercami ani uprawnionymi do zachowku, a fundacja jest spadkobiercą.</w:t>
      </w:r>
    </w:p>
    <w:p>
      <w:pPr>
        <w:pStyle w:val="BodyText"/>
      </w:pPr>
      <w:r>
        <w:t xml:space="preserve">Zaliczenie świadczeń na zachowek — asymetria między rodzeństwem. Art. 991 § 2 KC wymienia świadczenie od fundacji rodzinnej i mienie w związku z jej rozwiązaniem jako postacie, w których uprawniony może otrzymać zachowek, a art. 996 § 2 KC nakazuje zaliczyć je na należny mu zachowek. Córka, która świadczenia otrzymuje, zalicza je na swój zachowek i realnie może nie mieć roszczenia albo mieć je znacznie obniżone. Syn, którego świadczenia uzależniono od terapii i który ich nie pobiera, zachowuje roszczenie w pełnej wysokości. Statutowe uprzywilejowanie córki nie jest zatem instrumentem odbierającym synowi zachowek, lecz instrumentem, który zachowek córki konsumuje.</w:t>
      </w:r>
    </w:p>
    <w:p>
      <w:pPr>
        <w:pStyle w:val="BodyText"/>
      </w:pPr>
      <w:r>
        <w:t xml:space="preserve">Warunkowanie świadczeń terapią nie jest wydziedziczeniem. Art. 1008 KC pozwala pozbawić zstępnego zachowku wyłącznie w testamencie i wyłącznie z przyczyn tam wymienionych, a art. 1009 KC wymaga, by przyczyna wynikała z treści testamentu. Statut fundacji nie jest testamentem i nie wywołuje skutku wydziedziczenia, choćby jego postanowienia były surowsze niż jakikolwiek zapis testamentowy. Odrębnie art. 34 ust. 1 ustawy o fundacji rodzinnej wprost dopuszcza przyznanie świadczenia pod warunkiem albo z zastrzeżeniem terminu — warunek terapii jest więc na gruncie ustawy dopuszczalny i jednocześnie prawnie obojętny dla zachowku.</w:t>
      </w:r>
    </w:p>
    <w:p>
      <w:pPr>
        <w:pStyle w:val="BodyText"/>
      </w:pPr>
      <w:r>
        <w:t xml:space="preserve">Przeciwko komu i w jakiej kolejności. Fundacja występuje w dwóch różnych rolach, z dwoma różnymi limitami odpowiedzialności i dwoma różnymi terminami przedawnienia. Jako spadkobierca odpowiada z art. 991 § 2 KC, przy czym art. 1015 § 2 KC czyni domyślnym przyjęcie z dobrodziejstwem inwentarza, a art. 1031 § 2 KC ogranicza wówczas odpowiedzialność do stanu czynnego spadku; roszczenie przedawnia się z upływem pięciu lat od ogłoszenia testamentu (art. 1007 § 1 KC). Jako podmiot, któremu doliczono fundusz założycielski, odpowiada subsydiarnie z art. 1000 § 4 KC — „jeżeli uprawniony nie może otrzymać należnego mu zachowku od spadkobiercy” — i tylko w granicach wzbogacenia będącego skutkiem pokrycia funduszu; ten termin biegnie pięć lat od otwarcia spadku (art. 1007 § 3 KC). Ponieważ Jan przeniósł majątek za życia, stan czynny spadku może być niewielki, a wtedy droga z art. 1000 § 4 KC nie jest teoretyczna, lecz jedyna realna. Odnotowuję również art. 997¹ KC, który pozwala obowiązanemu żądać odroczenia, rozłożenia na raty do pięciu lat, a wyjątkowo obniżenia zachowku — to główna linia obrony fundacji, spójna z jej sytuacją płynnościową.</w:t>
      </w:r>
    </w:p>
    <w:p>
      <w:pPr>
        <w:pStyle w:val="BodyText"/>
      </w:pPr>
      <w:r>
        <w:t xml:space="preserve">⬛ Kazus nie podaje wartości funduszu założycielskiego, wartości znaku towarowego i zapłaconej ceny, stanu czynnego spadku ani daty ogłoszenia testamentu. Rozstrzygnięcie warunkowe: przy istotnym stanie czynnym spadku roszczenia kieruje się wyłącznie przeciwko fundacji jako spadkobiercy w trybie art. 991 § 2 KC; przy stanie czynnym niewystarczającym otwiera się dodatkowo art. 1000 § 4 KC, a przy transferach na rzecz osób trzecich — art. 1000 § 1 KC.</w:t>
      </w:r>
    </w:p>
    <w:bookmarkEnd w:id="25"/>
    <w:bookmarkStart w:id="26" w:name="X3455cc283124469d22e4dcda36ed7c535cffc79"/>
    <w:p>
      <w:pPr>
        <w:pStyle w:val="Heading3"/>
      </w:pPr>
      <w:r>
        <w:t xml:space="preserve">Zagadnienie 3: środki wierzycieli wobec fundacji, beneficjentów i spółki</w:t>
      </w:r>
    </w:p>
    <w:p>
      <w:pPr>
        <w:pStyle w:val="FirstParagraph"/>
      </w:pPr>
      <w:r>
        <w:t xml:space="preserve">Wierzyciele Jana wobec fundacji — droga ustawowa przed pauliańską. Art. 8 ust. 1 ustawy o fundacji rodzinnej stanowi, że fundacja odpowiada solidarnie z fundatorem za jego zobowiązania powstałe przed jej ustanowieniem, a odpowiedzialności tej nie można bez zgody wierzyciela wyłączyć ani ograniczyć. Jest to odpowiedzialność ustawowa, bezpośrednia i niewymagająca ani wykazania pokrzywdzenia, ani świadomości po stronie fundacji — dowodzi się wyłącznie istnienia zobowiązania i jego powstania przed ustanowieniem fundacji. Art. 9 ustawy ogranicza ją do wartości mienia wniesionego przez fundatora, według stanu z chwili wniesienia i cen z chwili zaspokojenia wierzyciela. Wierzyciel, który dysponuje tą drogą, nie powinien zaczynać od skargi pauliańskiej.</w:t>
      </w:r>
    </w:p>
    <w:p>
      <w:pPr>
        <w:pStyle w:val="BodyText"/>
      </w:pPr>
      <w:r>
        <w:t xml:space="preserve">Kluczowa jest kwalifikacja poręczenia. ⬛ Kazus nie podaje daty zawarcia umowy poręczenia ani daty ustanowienia fundacji, nie podaje też, czy zobowiązanie poręczyciela należy uznać za powstałe z chwilą zawarcia umowy poręczenia, czy dopiero z chwilą aktualizacji odpowiedzialności wobec niewykonania zobowiązania przez dłużnika głównego — to pytanie wykładnicze o charakterze doktrynalnym, którego nie przypisuję jednostce redakcyjnej. Rozstrzygnięcie warunkowe: jeżeli zobowiązanie z poręczenia powstało przed ustanowieniem fundacji, wierzyciel pozywa fundację bezpośrednio na podstawie art. 8 ust. 1 z ograniczeniem z art. 9; jeżeli powstało później, art. 8 ust. 1 nie działa (ust. 2 rozciąga odpowiedzialność na zobowiązania późniejsze wyłącznie alimentacyjne) i pozostaje wyłącznie skarga pauliańska.</w:t>
      </w:r>
    </w:p>
    <w:p>
      <w:pPr>
        <w:pStyle w:val="BodyText"/>
      </w:pPr>
      <w:r>
        <w:t xml:space="preserve">Skarga pauliańska wobec transferów Jana. Art. 527 § 1 KC wymaga pokrzywdzenia wierzycieli, świadomości dłużnika i wiedzy osoby trzeciej. Trzecia przesłanka odpada tam, gdzie korzyść była bezpłatna: art. 528 KC pozwala żądać uznania czynności za bezskuteczną, choćby osoba trzecia nie wiedziała i przy należytej staranności nie mogła się dowiedzieć. Wniesienie mienia na pokrycie funduszu założycielskiego jest przysporzeniem bez ekwiwalentu — art. 20 ustawy zakazuje wręcz zwrotu tego mienia fundatorowi — więc art. 528 KC stosuje się do niego wprost. Wobec przeniesienia znaku towarowego po zaniżonej cenie art. 528 KC obejmie różnicę między wartością a ceną. Art. 529 KC dodaje domniemanie świadomości pokrzywdzenia, gdy dłużnik był niewypłacalny w chwili darowizny lub stał się niewypłacalny wskutek niej. Art. 530 KC otwiera drogę wobec wierzycieli przyszłych, przy czym przy korzyści odpłatnej wymaga wiedzy osoby trzeciej o zamiarze dłużnika. Art. 534 KC zamyka wszystko terminem pięciu lat od daty czynności. Skutek: art. 532 KC daje wierzycielowi pierwszeństwo zaspokojenia z przedmiotów, które wyszły z majątku dłużnika, a art. 533 KC pozwala fundacji zwolnić się przez zaspokojenie wierzyciela albo wskazanie wystarczającego mienia.</w:t>
      </w:r>
    </w:p>
    <w:p>
      <w:pPr>
        <w:pStyle w:val="BodyText"/>
      </w:pPr>
      <w:r>
        <w:t xml:space="preserve">Wierzyciele wobec beneficjentów. Art. 39 ust. 1 ustawy czyni prawa i obowiązki beneficjenta niezbywalnymi, z wyjątkiem wierzytelności beneficjenta — a to oznacza, że wymagalna wierzytelność córki o świadczenie może być przedmiotem zajęcia, natomiast sam status beneficjenta i ekspektatywa przyszłych świadczeń — nie. Odrębną podstawą jest art. 40 ust. 1 ustawy: beneficjent, na rzecz którego spełniono świadczenie wbrew przepisom prawa lub statutowi, jest obowiązany do jego zwrotu, a członkowie zarządu odpowiedzialni za spełnienie takiego świadczenia odpowiadają za zwrot solidarnie z nim; roszczenie to przysługuje jednak fundacji, nie wierzycielowi bezpośrednio, więc wierzyciel sięga po nie w trybie art. 887 KPC albo przez skargę pauliańską wobec samej wypłaty. Odnotowuję też art. 16 ustawy: fundator nie odpowiada za zobowiązania fundacji — reguła działa wyłącznie w tę stronę i nie tworzy odpowiedzialności fundacji za zobowiązania spółki.</w:t>
      </w:r>
    </w:p>
    <w:p>
      <w:pPr>
        <w:pStyle w:val="BodyText"/>
      </w:pPr>
      <w:r>
        <w:t xml:space="preserve">Wierzyciele spółki. Tu reżim jest inny i podmiotowo zamknięty. Art. 127 ust. 1 Prawa upadłościowego czyni bezskutecznymi wobec masy czynności prawne dokonane przez</w:t>
      </w:r>
      <w:r>
        <w:t xml:space="preserve"> </w:t>
      </w:r>
      <w:r>
        <w:rPr>
          <w:bCs/>
          <w:b/>
        </w:rPr>
        <w:t xml:space="preserve">upadłego</w:t>
      </w:r>
      <w:r>
        <w:t xml:space="preserve"> </w:t>
      </w:r>
      <w:r>
        <w:t xml:space="preserve">w ciągu roku przed dniem złożenia wniosku, jeżeli były nieodpłatne albo rażąco nieekwiwalentne. Upadłym byłaby spółka; przeniesienie znaku towarowego było czynnością Jana, nie spółki, więc przepis go nie obejmuje — jest to wynik zakresu podmiotowego, nie oceny słuszności. Obejmuje natomiast</w:t>
      </w:r>
      <w:r>
        <w:t xml:space="preserve"> </w:t>
      </w:r>
      <w:r>
        <w:rPr>
          <w:bCs/>
          <w:b/>
        </w:rPr>
        <w:t xml:space="preserve">opłaty licencyjne płacone przez spółkę fundacji</w:t>
      </w:r>
      <w:r>
        <w:t xml:space="preserve">: art. 128 ust. 2 Prawa upadłościowego nakazuje sędziemu-komisarzowi uznać za bezskuteczną odpłatną czynność prawną dokonaną przez upadłego będącego spółką z jej wspólnikami w terminie sześciu miesięcy przed dniem złożenia wniosku, chyba że druga strona wykaże, że nie doszło do pokrzywdzenia wierzycieli — a fundacja jest akcjonariuszem spółki. Odwrócenie ciężaru dowodu jest tu rozstrzygające. Poza tym terminem działa art. 131 Prawa upadłościowego, odsyłający do przepisów KC o ochronie wierzyciela, oraz art. 132 ust. 1 i 3: powództwo wytacza syndyk, a żądanie wygasa po dwóch latach od ogłoszenia upadłości, chyba że zgłoszono je zarzutem.</w:t>
      </w:r>
    </w:p>
    <w:p>
      <w:pPr>
        <w:pStyle w:val="BodyText"/>
      </w:pPr>
      <w:r>
        <w:t xml:space="preserve">⬛ Kazus nie podaje, czy złożono wniosek o ogłoszenie upadłości spółki i kiedy, ani jaka jest podstawa i data powstania roszczenia odszkodowawczego wierzycieli. Rozstrzygnięcie warunkowe: bez wniosku upadłościowego cały reżim art. 127–132 pozostaje nieaktywny i jedyną drogą jest art. 527 KC w relacji wierzyciel–fundacja; po złożeniu wniosku legitymacja przechodzi na syndyka, a wierzyciel indywidualny traci możliwość samodzielnego zaskarżania czynności objętych masą.</w:t>
      </w:r>
    </w:p>
    <w:bookmarkEnd w:id="26"/>
    <w:bookmarkStart w:id="27" w:name="X7bf68be800679e217cea43392b7910d36034681"/>
    <w:p>
      <w:pPr>
        <w:pStyle w:val="Heading3"/>
      </w:pPr>
      <w:r>
        <w:t xml:space="preserve">Zagadnienie 4: konflikt interesów, wypłaty i transakcja powiązana</w:t>
      </w:r>
    </w:p>
    <w:p>
      <w:pPr>
        <w:pStyle w:val="FirstParagraph"/>
      </w:pPr>
      <w:r>
        <w:t xml:space="preserve">Ustawa nie zawiera reguły wyłączenia. To ustalenie negatywne jest najważniejsze w tym zagadnieniu i najczęściej pomijane. Ustawa o fundacji rodzinnej nie zawiera odpowiednika art. 209 i art. 377 Kodeksu spółek handlowych — nie ma przepisu nakazującego członkowi organu wstrzymanie się od udziału w rozstrzyganiu spraw, w których zachodzi sprzeczność interesów. Art. 50–52 regulują kworum, większość, protokół i jawność głosowania, nie wyłączenia. Art. 63 ust. 1 przewiduje szczególną reprezentację fundacji przez radę nadzorczą albo pełnomocnika powołanego uchwałą zgromadzenia beneficjentów, ale wyłącznie „w umowie między fundacją rodzinną a członkiem zarządu oraz w sporze fundacji rodzinnej z członkiem zarządu” — nie w umowie z podmiotem powiązanym z beneficjentem ani z samym beneficjentem. Sprzedaż nieruchomości podmiotowi powiązanemu nie jest zatem objęta art. 63 ust. 1, chyba że nabywcą jest członek zarządu; ⬛ kazus tego nie przesądza. Kontrola konfliktu interesów jest w tej ustawie następcza, nie uprzednia.</w:t>
      </w:r>
    </w:p>
    <w:p>
      <w:pPr>
        <w:pStyle w:val="BodyText"/>
      </w:pPr>
      <w:r>
        <w:t xml:space="preserve">Czym się ją prowadzi. Art. 55 ust. 1 nakłada na członka zarządu obowiązek należytej staranności i lojalności wobec fundacji. Art. 75 ust. 1 czyni go odpowiedzialnym wobec fundacji za szkodę wyrządzoną działaniem lub zaniechaniem sprzecznym z prawem lub statutem, chyba że nie ponosi winy; ust. 2 zawiera regułę uzasadnionego ryzyka gospodarczego, wyłączającą naruszenie staranności przy lojalnym działaniu na podstawie informacji, analiz i opinii, które w danych okolicznościach należało uwzględnić — sprzedaż podmiotowi powiązanemu bez wyceny rynkowej z tej reguły nie korzysta. Art. 76 ustanawia solidarność przy wspólnym wyrządzeniu szkody.</w:t>
      </w:r>
    </w:p>
    <w:p>
      <w:pPr>
        <w:pStyle w:val="BodyText"/>
      </w:pPr>
      <w:r>
        <w:t xml:space="preserve">Zaskarżenie uchwały. Art. 82 ust. 1 daje fundatorowi, beneficjentowi i członkowi organu powództwo o uchylenie uchwały sprzecznej ze statutem lub celem fundacji, w terminie miesiąca od otrzymania wiadomości o uchwale i nie później niż sześciu miesięcy od jej podjęcia (ust. 2). Art. 83 ust. 1 daje tym samym podmiotom powództwo o stwierdzenie nieważności uchwały sprzecznej z ustawą, z wyłączeniem art. 189 KPC, przy terminie sześciu miesięcy od powzięcia wiadomości i nie później niż dwóch lat od podjęcia (ust. 2). Katalog legitymowanych jest zamknięty i nie obejmuje wierzycieli — to dla nich ustalenie rozstrzygające: wierzyciel nie zaskarży uchwały o wypłacie, lecz sięgnie po art. 527 KC albo po zajęcie roszczenia fundacji z art. 40 ust. 1. Syn jako beneficjent legitymację ma; ⬛ kazus nie potwierdza, czy żona jest beneficjentką ani czy ustanowiono radę nadzorczą (art. 64 ust. 1 czyni ją fakultatywną), co przesądza o trybie reprezentacji z art. 63 ust. 1.</w:t>
      </w:r>
    </w:p>
    <w:p>
      <w:pPr>
        <w:pStyle w:val="BodyText"/>
      </w:pPr>
      <w:r>
        <w:t xml:space="preserve">Wypłaty na rzecz córki. Art. 36 ust. 1 zakazuje spełnienia świadczenia zagrażającego wypłacalności fundacji wobec jej wierzycieli niebędących beneficjentami i uzależnia je każdorazowo od bieżącej sytuacji finansowej; ust. 2 definiuje wypłacalność jako zdolność do wykonywania wymagalnych zobowiązań pieniężnych przy opóźnieniu nieprzekraczającym trzech miesięcy. Przesłanka dotyczy fundacji, nie spółki — samo pogorszenie kondycji spółki jej nie wypełnia. Wypełnia ją natomiast istnienie wierzyciela fundacji z art. 8 ust. 1, jeżeli poręczenie powstało przed ustanowieniem fundacji. Wówczas art. 38 nakazywał zarządowi miarkowanie świadczeń, a wypłata pełnych świadczeń córce była spełnieniem świadczenia wbrew przepisom prawa w rozumieniu art. 40 ust. 1 — z obowiązkiem zwrotu przez córkę i solidarną odpowiedzialnością członków zarządu, których art. 40 ust. 2 nie pozwala zwolnić. Odnotowuję również art. 37, przyznający pierwszeństwo roszczeniom osób, wobec których fundatora obciąża obowiązek alimentacyjny — ⬛ kazus nie wskazuje takich osób, więc pozycja zamyka się wpisem „brak zastosowania”.</w:t>
      </w:r>
    </w:p>
    <w:bookmarkEnd w:id="27"/>
    <w:bookmarkStart w:id="28" w:name="Xf0ab1649e1c9fb6b239421049318c17ebcbb6c2"/>
    <w:p>
      <w:pPr>
        <w:pStyle w:val="Heading3"/>
      </w:pPr>
      <w:r>
        <w:t xml:space="preserve">Zagadnienie 5: rozdzielenie kryzysu fundacji, niewypłacalności spółki i ryzyka podatkowego</w:t>
      </w:r>
    </w:p>
    <w:p>
      <w:pPr>
        <w:pStyle w:val="FirstParagraph"/>
      </w:pPr>
      <w:r>
        <w:t xml:space="preserve">Trzy stany niewypłacalności, trzy różne definicje. Art. 11 ust. 1 Prawa upadłościowego definiuje niewypłacalność jako utratę zdolności do wykonywania wymagalnych zobowiązań pieniężnych, z domniemaniem po trzech miesiącach opóźnienia (ust. 1a); ust. 2 dodaje dla osób prawnych przesłankę nadwyżki zobowiązań nad majątkiem utrzymującą się ponad dwadzieścia cztery miesiące. Art. 36 ust. 2 ustawy o fundacji rodzinnej definiuje wypłacalność fundacji własnym, węższym testem — wyłącznie zdolność do wykonywania wymagalnych zobowiązań pieniężnych przy opóźnieniu nieprzekraczającym trzech miesięcy, bez przesłanki bilansowej. Art. 18 ustawy dodaje trzeci mechanizm: gdy wartość aktywów fundacji jest niższa niż wartość zobowiązań według zatwierdzonego sprawozdania, zysk przeznacza się na pokrycie przyszłych strat. Trzy testy działają równolegle i nie wolno przenosić wyniku jednego na drugi.</w:t>
      </w:r>
    </w:p>
    <w:p>
      <w:pPr>
        <w:pStyle w:val="BodyText"/>
      </w:pPr>
      <w:r>
        <w:t xml:space="preserve">Zdolność upadłościowa fundacji. Art. 5 ust. 1 Prawa upadłościowego stosuje ustawę do przedsiębiorców w rozumieniu KC, a art. 43¹ KC uznaje za przedsiębiorcę osobę prawną prowadzącą we własnym imieniu działalność gospodarczą. Fundacja rodzinna prowadząca działalność w zakresie art. 5 ust. 1 ustawy jest zatem przedsiębiorcą i ma zdolność upadłościową; art. 6 Prawa upadłościowego jej nie wyłącza, ponieważ nie jest osobą prawną utworzoną w drodze ustawy. ⬛ Kazus nie przesądza, czy fundacja faktycznie prowadzi działalność gospodarczą, czy wyłącznie posiada akcje. Rozstrzygnięcie warunkowe: przy prowadzeniu działalności z art. 5 fundacja ma zdolność upadłościową i jej zarząd podlega obowiązkowi z art. 21 ust. 1 Prawa upadłościowego; przy czystym posiadaniu aktywów kwalifikacja wymaga odrębnej analizy, a jej brak nie zwalnia zarządu z art. 36 i art. 38 ustawy.</w:t>
      </w:r>
    </w:p>
    <w:p>
      <w:pPr>
        <w:pStyle w:val="BodyText"/>
      </w:pPr>
      <w:r>
        <w:t xml:space="preserve">Katalog działalności a stawka sankcyjna. Sprzedaż nieruchomości podmiotowi powiązanemu mieści się w art. 5 ust. 1 pkt 1 ustawy — zbywanie mienia, „o ile mienie to nie zostało nabyte wyłącznie w celu dalszego zbycia”. Nieruchomości wniesione przez fundatora na pokrycie funduszu założycielskiego nie zostały nabyte wyłącznie w celu dalszego zbycia, więc warunek negatywny nie działa i czynność pozostaje w katalogu. Konsekwencja jest dla oceny podatkowej rozstrzygająca: art. 24r ust. 1 CIT, przewidujący stawkę 25% dla działalności wykraczającej poza art. 5 ustawy, oraz art. 6 ust. 7 CIT, wyłączający zwolnienie dla takiej działalności,</w:t>
      </w:r>
      <w:r>
        <w:t xml:space="preserve"> </w:t>
      </w:r>
      <w:r>
        <w:rPr>
          <w:bCs/>
          <w:b/>
        </w:rPr>
        <w:t xml:space="preserve">nie mają zastosowania</w:t>
      </w:r>
      <w:r>
        <w:t xml:space="preserve">. Odruch sięgający po sankcję dwudziestopięcioprocentową chybia.</w:t>
      </w:r>
    </w:p>
    <w:p>
      <w:pPr>
        <w:pStyle w:val="BodyText"/>
      </w:pPr>
      <w:r>
        <w:t xml:space="preserve">Gdzie zatem leży obciążenie. Po pierwsze, art. 24q ust. 1a pkt 4 CIT kwalifikuje jako ukryte zyski różnicę między wartością rynkową transakcji ustaloną zgodnie z art. 11c a ceną ustaloną — w transakcjach między fundacją a beneficjentem, fundatorem lub podmiotem powiązanym; stawka wynosi 15% podstawy (art. 24q ust. 1), a art. 24q ust. 7 wyłącza dla tego właśnie punktu próg pięcioprocentowy stosowany do pozostałych postaci ukrytych zysków. Sprzedaż nieruchomości poniżej wartości rynkowej podmiotowi powiązanemu generuje więc podatek od samej różnicy, niezależnie od tego, że mieści się w katalogu działalności. Po drugie, art. 6 ust. 8 CIT wyłącza zwolnienie dla przychodów z najmu, dzierżawy lub innej umowy o podobnym charakterze, której przedmiotem są składniki majątku służące prowadzeniu działalności przez beneficjenta, fundatora lub podmiot powiązany, przy udziale co najmniej 5%. Opłaty licencyjne za znak towarowy używany przez spółkę są największą ekspozycją w tej sprawie: znak służy prowadzeniu działalności przez podmiot powiązany, a licencja jest udostępnieniem mienia do korzystania. ⬛ Kazus nie podaje udziału fundacji w spółce ani konstrukcji umowy licencyjnej, a kwalifikacja licencji jako „umowy o podobnym charakterze” do najmu i dzierżawy jest sporna. Rozstrzygnięcie warunkowe: przy spełnieniu obu warunków przychody licencyjne są opodatkowane na zasadach ogólnych stawką z art. 19 CIT, a nie stawką sankcyjną z art. 24r; przy niespełnieniu pozostają objęte zwolnieniem z art. 6 ust. 1 pkt 25, a ryzyko przenosi się na wysokość opłat jako element cen transferowych. Po trzecie, świadczenia dla córki podlegają art. 24q ust. 1 pkt 1 CIT (15% po stronie fundacji), przy czym art. 21 ust. 1 pkt 157 lit. b PIT zwalnia je po stronie beneficjenta należącego do kręgu z art. 4a ustawy o podatku od spadków i darowizn, w części odpowiadającej proporcji z art. 27 ust. 4 ustawy o fundacji rodzinnej (art. 21 ust. 49 PIT).</w:t>
      </w:r>
    </w:p>
    <w:p>
      <w:pPr>
        <w:pStyle w:val="BodyText"/>
      </w:pPr>
      <w:r>
        <w:t xml:space="preserve">Postępowanie organu i sankcja karna. Art. 84 ustawy zobowiązuje fundację do przekazania organowi KAS, w terminie nie krótszym niż czternaście dni, danych z listy beneficjentów, spisu mienia oraz informacji o świadczeniach i mieniu przekazanym w związku z rozwiązaniem. Art. 128 ust. 1 ustawy penalizuje niewykonanie tego obowiązku grzywną od 240 stawek dziennych, ust. 2 zrównuje z tym utrudnianie lub udaremnianie, a ust. 3 przewiduje grzywnę od 360 stawek dziennych za podanie nieprawdziwych informacji. Odnotowuję to jako realne ryzyko osobiste członków zarządu, odrębne od ryzyka podatkowego fundacji; kwalifikacja karnomaterialna wykracza poza zakres tego arkusza i wymaga odrębnego przebiegu. Termin sprawozdawczy fundacji określa art. 24s ust. 1 CIT — koniec trzeciego miesiąca roku następnego.</w:t>
      </w:r>
    </w:p>
    <w:p>
      <w:pPr>
        <w:pStyle w:val="BodyText"/>
      </w:pPr>
      <w:r>
        <w:t xml:space="preserve">Czego nie wolno połączyć. Utrata płynności przez spółkę nie jest niewypłacalnością fundacji, nie uruchamia art. 21 Prawa upadłościowego po stronie zarządu fundacji i nie jest sama przez się podstawą wstrzymania świadczeń z art. 36 ust. 1 ustawy. Odwrotnie — bezskuteczność opłat licencyjnych wobec masy upadłości spółki (art. 128 ust. 2 Prawa upadłościowego) nie zmienia kwalifikacji podatkowej tych przychodów u fundacji za lata, w których je uzyskała; korekta wymagałaby odrębnej podstawy w Ordynacji podatkowej, której w tym arkuszu nie przesądzam.</w:t>
      </w:r>
    </w:p>
    <w:bookmarkEnd w:id="28"/>
    <w:bookmarkEnd w:id="29"/>
    <w:bookmarkStart w:id="30"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rodziny i wierzycieli</w:t>
            </w:r>
          </w:p>
        </w:tc>
        <w:tc>
          <w:tcPr/>
          <w:p>
            <w:pPr>
              <w:pStyle w:val="Compact"/>
              <w:jc w:val="left"/>
            </w:pPr>
            <w:r>
              <w:t xml:space="preserve">Argument fundacji i córki</w:t>
            </w:r>
          </w:p>
        </w:tc>
      </w:tr>
      <w:tr>
        <w:tc>
          <w:tcPr/>
          <w:p>
            <w:pPr>
              <w:pStyle w:val="Compact"/>
              <w:jc w:val="left"/>
            </w:pPr>
            <w:r>
              <w:t xml:space="preserve">Majątek wspólny</w:t>
            </w:r>
          </w:p>
        </w:tc>
        <w:tc>
          <w:tcPr/>
          <w:p>
            <w:pPr>
              <w:pStyle w:val="Compact"/>
              <w:jc w:val="left"/>
            </w:pPr>
            <w:r>
              <w:t xml:space="preserve">Wniesienie mienia wspólnego bez zgody żony narusza art. 37 KRO i pozbawia fundację tytułu</w:t>
            </w:r>
          </w:p>
        </w:tc>
        <w:tc>
          <w:tcPr/>
          <w:p>
            <w:pPr>
              <w:pStyle w:val="Compact"/>
              <w:jc w:val="left"/>
            </w:pPr>
            <w:r>
              <w:t xml:space="preserve">Katalog art. 37 § 1 KRO jest zamknięty i nie obejmuje akcji; wobec nieruchomości brak zgody rodzi co najwyżej bezskuteczność zawieszoną, nie automatyczną nieważność</w:t>
            </w:r>
          </w:p>
        </w:tc>
      </w:tr>
      <w:tr>
        <w:tc>
          <w:tcPr/>
          <w:p>
            <w:pPr>
              <w:pStyle w:val="Compact"/>
              <w:jc w:val="left"/>
            </w:pPr>
            <w:r>
              <w:t xml:space="preserve">Forma wniesienia</w:t>
            </w:r>
          </w:p>
        </w:tc>
        <w:tc>
          <w:tcPr/>
          <w:p>
            <w:pPr>
              <w:pStyle w:val="Compact"/>
              <w:jc w:val="left"/>
            </w:pPr>
            <w:r>
              <w:t xml:space="preserve">Oświadczenie o ustanowieniu fundacji jest czynnością jednostronną, więc art. 37 § 4 KRO daje nieważność bezwzględną</w:t>
            </w:r>
          </w:p>
        </w:tc>
        <w:tc>
          <w:tcPr/>
          <w:p>
            <w:pPr>
              <w:pStyle w:val="Compact"/>
              <w:jc w:val="left"/>
            </w:pPr>
            <w:r>
              <w:t xml:space="preserve">Przeniesienie własności nieruchomości nastąpiło umową, a umowa podlega art. 37 § 2 KRO i może zostać potwierdzona przez żonę</w:t>
            </w:r>
          </w:p>
        </w:tc>
      </w:tr>
      <w:tr>
        <w:tc>
          <w:tcPr/>
          <w:p>
            <w:pPr>
              <w:pStyle w:val="Compact"/>
              <w:jc w:val="left"/>
            </w:pPr>
            <w:r>
              <w:t xml:space="preserve">Doliczenie funduszu</w:t>
            </w:r>
          </w:p>
        </w:tc>
        <w:tc>
          <w:tcPr/>
          <w:p>
            <w:pPr>
              <w:pStyle w:val="Compact"/>
              <w:jc w:val="left"/>
            </w:pPr>
            <w:r>
              <w:t xml:space="preserve">Fundacja nie została ustanowiona w testamencie, więc art. 993 § 2 KC nakazuje doliczenie, a art. 994¹ § 1 KC nie chroni, bo fundacja jest spadkobiercą</w:t>
            </w:r>
          </w:p>
        </w:tc>
        <w:tc>
          <w:tcPr/>
          <w:p>
            <w:pPr>
              <w:pStyle w:val="Compact"/>
              <w:jc w:val="left"/>
            </w:pPr>
            <w:r>
              <w:t xml:space="preserve">Wartość funduszu należy ustalić według stanu z chwili przekazania (art. 995 § 3 KC), a nie według dzisiejszej wartości spółki</w:t>
            </w:r>
          </w:p>
        </w:tc>
      </w:tr>
      <w:tr>
        <w:tc>
          <w:tcPr/>
          <w:p>
            <w:pPr>
              <w:pStyle w:val="Compact"/>
              <w:jc w:val="left"/>
            </w:pPr>
            <w:r>
              <w:t xml:space="preserve">Zachowek syna</w:t>
            </w:r>
          </w:p>
        </w:tc>
        <w:tc>
          <w:tcPr/>
          <w:p>
            <w:pPr>
              <w:pStyle w:val="Compact"/>
              <w:jc w:val="left"/>
            </w:pPr>
            <w:r>
              <w:t xml:space="preserve">Warunek terapii w statucie nie jest wydziedziczeniem (art. 1008–1009 KC), więc roszczenie przysługuje w pełnej wysokości</w:t>
            </w:r>
          </w:p>
        </w:tc>
        <w:tc>
          <w:tcPr/>
          <w:p>
            <w:pPr>
              <w:pStyle w:val="Compact"/>
              <w:jc w:val="left"/>
            </w:pPr>
            <w:r>
              <w:t xml:space="preserve">Roszczenie kieruje się przeciwko spadkobiercy, a odpowiedzialność ogranicza art. 1031 § 2 KC; art. 997¹ KC pozwala rozłożyć zachowek na raty i wyjątkowo go obniżyć</w:t>
            </w:r>
          </w:p>
        </w:tc>
      </w:tr>
      <w:tr>
        <w:tc>
          <w:tcPr/>
          <w:p>
            <w:pPr>
              <w:pStyle w:val="Compact"/>
              <w:jc w:val="left"/>
            </w:pPr>
            <w:r>
              <w:t xml:space="preserve">Zachowek córki</w:t>
            </w:r>
          </w:p>
        </w:tc>
        <w:tc>
          <w:tcPr/>
          <w:p>
            <w:pPr>
              <w:pStyle w:val="Compact"/>
              <w:jc w:val="left"/>
            </w:pPr>
            <w:r>
              <w:t xml:space="preserve">Świadczenia otrzymane od fundacji zalicza się na jej zachowek (art. 996 § 2 KC), więc jej roszczenie jest skonsumowane</w:t>
            </w:r>
          </w:p>
        </w:tc>
        <w:tc>
          <w:tcPr/>
          <w:p>
            <w:pPr>
              <w:pStyle w:val="Compact"/>
              <w:jc w:val="left"/>
            </w:pPr>
            <w:r>
              <w:t xml:space="preserve">To samo zaliczenie działa na korzyść fundacji, zmniejszając łączny ciężar zachowkowy</w:t>
            </w:r>
          </w:p>
        </w:tc>
      </w:tr>
      <w:tr>
        <w:tc>
          <w:tcPr/>
          <w:p>
            <w:pPr>
              <w:pStyle w:val="Compact"/>
              <w:jc w:val="left"/>
            </w:pPr>
            <w:r>
              <w:t xml:space="preserve">Poręczenie</w:t>
            </w:r>
          </w:p>
        </w:tc>
        <w:tc>
          <w:tcPr/>
          <w:p>
            <w:pPr>
              <w:pStyle w:val="Compact"/>
              <w:jc w:val="left"/>
            </w:pPr>
            <w:r>
              <w:t xml:space="preserve">Zobowiązanie powstało z chwilą zawarcia umowy poręczenia, czyli przed ustanowieniem fundacji — działa art. 8 ust. 1 ustawy</w:t>
            </w:r>
          </w:p>
        </w:tc>
        <w:tc>
          <w:tcPr/>
          <w:p>
            <w:pPr>
              <w:pStyle w:val="Compact"/>
              <w:jc w:val="left"/>
            </w:pPr>
            <w:r>
              <w:t xml:space="preserve">Zobowiązanie poręczyciela aktualizuje się dopiero wobec niewykonania przez dłużnika głównego, a to nastąpiło po ustanowieniu fundacji</w:t>
            </w:r>
          </w:p>
        </w:tc>
      </w:tr>
      <w:tr>
        <w:tc>
          <w:tcPr/>
          <w:p>
            <w:pPr>
              <w:pStyle w:val="Compact"/>
              <w:jc w:val="left"/>
            </w:pPr>
            <w:r>
              <w:t xml:space="preserve">Transfery za życia</w:t>
            </w:r>
          </w:p>
        </w:tc>
        <w:tc>
          <w:tcPr/>
          <w:p>
            <w:pPr>
              <w:pStyle w:val="Compact"/>
              <w:jc w:val="left"/>
            </w:pPr>
            <w:r>
              <w:t xml:space="preserve">Wniesienie mienia jest przysporzeniem nieodpłatnym, więc art. 528 KC zwalnia z dowodu wiedzy fundacji</w:t>
            </w:r>
          </w:p>
        </w:tc>
        <w:tc>
          <w:tcPr/>
          <w:p>
            <w:pPr>
              <w:pStyle w:val="Compact"/>
              <w:jc w:val="left"/>
            </w:pPr>
            <w:r>
              <w:t xml:space="preserve">Termin z art. 534 KC upłynął, a art. 533 KC pozwala zwolnić się przez wskazanie mienia dłużnika</w:t>
            </w:r>
          </w:p>
        </w:tc>
      </w:tr>
      <w:tr>
        <w:tc>
          <w:tcPr/>
          <w:p>
            <w:pPr>
              <w:pStyle w:val="Compact"/>
              <w:jc w:val="left"/>
            </w:pPr>
            <w:r>
              <w:t xml:space="preserve">Opłaty licencyjne</w:t>
            </w:r>
          </w:p>
        </w:tc>
        <w:tc>
          <w:tcPr/>
          <w:p>
            <w:pPr>
              <w:pStyle w:val="Compact"/>
              <w:jc w:val="left"/>
            </w:pPr>
            <w:r>
              <w:t xml:space="preserve">Art. 128 ust. 2 Prawa upadłościowego odwraca ciężar dowodu wobec czynności spółki z akcjonariuszem</w:t>
            </w:r>
          </w:p>
        </w:tc>
        <w:tc>
          <w:tcPr/>
          <w:p>
            <w:pPr>
              <w:pStyle w:val="Compact"/>
              <w:jc w:val="left"/>
            </w:pPr>
            <w:r>
              <w:t xml:space="preserve">Fundacja wykaże brak pokrzywdzenia wierzycieli, bo licencja miała realną wartość gospodarczą</w:t>
            </w:r>
          </w:p>
        </w:tc>
      </w:tr>
      <w:tr>
        <w:tc>
          <w:tcPr/>
          <w:p>
            <w:pPr>
              <w:pStyle w:val="Compact"/>
              <w:jc w:val="left"/>
            </w:pPr>
            <w:r>
              <w:t xml:space="preserve">Wypłaty w kryzysie</w:t>
            </w:r>
          </w:p>
        </w:tc>
        <w:tc>
          <w:tcPr/>
          <w:p>
            <w:pPr>
              <w:pStyle w:val="Compact"/>
              <w:jc w:val="left"/>
            </w:pPr>
            <w:r>
              <w:t xml:space="preserve">Zarząd naruszył art. 36 ust. 1 i art. 38 ustawy, co uruchamia art. 40 ust. 1 i art. 75 ust. 1</w:t>
            </w:r>
          </w:p>
        </w:tc>
        <w:tc>
          <w:tcPr/>
          <w:p>
            <w:pPr>
              <w:pStyle w:val="Compact"/>
              <w:jc w:val="left"/>
            </w:pPr>
            <w:r>
              <w:t xml:space="preserve">Art. 36 ust. 1 dotyczy wypłacalności fundacji wobec jej własnych wierzycieli; kryzys spółki tej przesłanki nie wypełnia</w:t>
            </w:r>
          </w:p>
        </w:tc>
      </w:tr>
      <w:tr>
        <w:tc>
          <w:tcPr/>
          <w:p>
            <w:pPr>
              <w:pStyle w:val="Compact"/>
              <w:jc w:val="left"/>
            </w:pPr>
            <w:r>
              <w:t xml:space="preserve">Transakcja powiązana</w:t>
            </w:r>
          </w:p>
        </w:tc>
        <w:tc>
          <w:tcPr/>
          <w:p>
            <w:pPr>
              <w:pStyle w:val="Compact"/>
              <w:jc w:val="left"/>
            </w:pPr>
            <w:r>
              <w:t xml:space="preserve">Sprzedaż poniżej wartości rynkowej narusza art. 55 ust. 1 ustawy i generuje ukryte zyski z art. 24q ust. 1a pkt 4 CIT</w:t>
            </w:r>
          </w:p>
        </w:tc>
        <w:tc>
          <w:tcPr/>
          <w:p>
            <w:pPr>
              <w:pStyle w:val="Compact"/>
              <w:jc w:val="left"/>
            </w:pPr>
            <w:r>
              <w:t xml:space="preserve">Czynność mieści się w art. 5 ust. 1 pkt 1 ustawy, więc art. 24r CIT nie działa; art. 63 ust. 1 nie wymagał szczególnej reprezentacji</w:t>
            </w:r>
          </w:p>
        </w:tc>
      </w:tr>
      <w:tr>
        <w:tc>
          <w:tcPr/>
          <w:p>
            <w:pPr>
              <w:pStyle w:val="Compact"/>
              <w:jc w:val="left"/>
            </w:pPr>
            <w:r>
              <w:t xml:space="preserve">Legitymacja</w:t>
            </w:r>
          </w:p>
        </w:tc>
        <w:tc>
          <w:tcPr/>
          <w:p>
            <w:pPr>
              <w:pStyle w:val="Compact"/>
              <w:jc w:val="left"/>
            </w:pPr>
            <w:r>
              <w:t xml:space="preserve">Beneficjent i członek organu mogą zaskarżyć uchwały z art. 82 i 83 ustawy</w:t>
            </w:r>
          </w:p>
        </w:tc>
        <w:tc>
          <w:tcPr/>
          <w:p>
            <w:pPr>
              <w:pStyle w:val="Compact"/>
              <w:jc w:val="left"/>
            </w:pPr>
            <w:r>
              <w:t xml:space="preserve">Katalog legitymowanych jest zamknięty i nie obejmuje wierzycieli ani osób spoza kręgu z art. 82 ust. 1</w:t>
            </w:r>
          </w:p>
        </w:tc>
      </w:tr>
      <w:tr>
        <w:tc>
          <w:tcPr/>
          <w:p>
            <w:pPr>
              <w:pStyle w:val="Compact"/>
              <w:jc w:val="left"/>
            </w:pPr>
            <w:r>
              <w:t xml:space="preserve">Podatki</w:t>
            </w:r>
          </w:p>
        </w:tc>
        <w:tc>
          <w:tcPr/>
          <w:p>
            <w:pPr>
              <w:pStyle w:val="Compact"/>
              <w:jc w:val="left"/>
            </w:pPr>
            <w:r>
              <w:t xml:space="preserve">Opłaty licencyjne wypadają ze zwolnienia przez art. 6 ust. 8 CIT</w:t>
            </w:r>
          </w:p>
        </w:tc>
        <w:tc>
          <w:tcPr/>
          <w:p>
            <w:pPr>
              <w:pStyle w:val="Compact"/>
              <w:jc w:val="left"/>
            </w:pPr>
            <w:r>
              <w:t xml:space="preserve">Licencja znaku nie jest umową o charakterze podobnym do najmu i dzierżawy, a próg 5% nie został wykazany</w:t>
            </w:r>
          </w:p>
        </w:tc>
      </w:tr>
    </w:tbl>
    <w:bookmarkEnd w:id="30"/>
    <w:bookmarkStart w:id="31"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Data ustanowienia fundacji wobec daty zawarcia poręczenia</w:t>
            </w:r>
          </w:p>
        </w:tc>
        <w:tc>
          <w:tcPr/>
          <w:p>
            <w:pPr>
              <w:pStyle w:val="Compact"/>
              <w:jc w:val="left"/>
            </w:pPr>
            <w:r>
              <w:t xml:space="preserve">Przesądza między art. 8 ust. 1 ustawy a skargą pauliańską</w:t>
            </w:r>
          </w:p>
        </w:tc>
        <w:tc>
          <w:tcPr/>
          <w:p>
            <w:pPr>
              <w:pStyle w:val="Compact"/>
              <w:jc w:val="left"/>
            </w:pPr>
            <w:r>
              <w:t xml:space="preserve">Akt założycielski, postanowienie o wpisie, umowa poręczenia z datą pewną</w:t>
            </w:r>
          </w:p>
        </w:tc>
      </w:tr>
      <w:tr>
        <w:tc>
          <w:tcPr/>
          <w:p>
            <w:pPr>
              <w:pStyle w:val="Compact"/>
              <w:jc w:val="left"/>
            </w:pPr>
            <w:r>
              <w:t xml:space="preserve">Forma wniesienia nieruchomości: akt jednostronny czy umowa</w:t>
            </w:r>
          </w:p>
        </w:tc>
        <w:tc>
          <w:tcPr/>
          <w:p>
            <w:pPr>
              <w:pStyle w:val="Compact"/>
              <w:jc w:val="left"/>
            </w:pPr>
            <w:r>
              <w:t xml:space="preserve">Przesądza między art. 37 § 2 a art. 37 § 4 KRO, czyli między sanowalnością a nieważnością</w:t>
            </w:r>
          </w:p>
        </w:tc>
        <w:tc>
          <w:tcPr/>
          <w:p>
            <w:pPr>
              <w:pStyle w:val="Compact"/>
              <w:jc w:val="left"/>
            </w:pPr>
            <w:r>
              <w:t xml:space="preserve">Akt notarialny ustanowienia fundacji, umowa przenosząca własność, wpisy w księgach wieczystych</w:t>
            </w:r>
          </w:p>
        </w:tc>
      </w:tr>
      <w:tr>
        <w:tc>
          <w:tcPr/>
          <w:p>
            <w:pPr>
              <w:pStyle w:val="Compact"/>
              <w:jc w:val="left"/>
            </w:pPr>
            <w:r>
              <w:t xml:space="preserve">Ustrój majątkowy małżonków i pochodzenie poszczególnych składników</w:t>
            </w:r>
          </w:p>
        </w:tc>
        <w:tc>
          <w:tcPr/>
          <w:p>
            <w:pPr>
              <w:pStyle w:val="Compact"/>
              <w:jc w:val="left"/>
            </w:pPr>
            <w:r>
              <w:t xml:space="preserve">Warunek jakiegokolwiek zarzutu z art. 37 KRO</w:t>
            </w:r>
          </w:p>
        </w:tc>
        <w:tc>
          <w:tcPr/>
          <w:p>
            <w:pPr>
              <w:pStyle w:val="Compact"/>
              <w:jc w:val="left"/>
            </w:pPr>
            <w:r>
              <w:t xml:space="preserve">Umowa majątkowa małżeńska, akty nabycia, wyciągi z rachunków</w:t>
            </w:r>
          </w:p>
        </w:tc>
      </w:tr>
      <w:tr>
        <w:tc>
          <w:tcPr/>
          <w:p>
            <w:pPr>
              <w:pStyle w:val="Compact"/>
              <w:jc w:val="left"/>
            </w:pPr>
            <w:r>
              <w:t xml:space="preserve">Data wniesienia funduszu założycielskiego wobec otwarcia spadku</w:t>
            </w:r>
          </w:p>
        </w:tc>
        <w:tc>
          <w:tcPr/>
          <w:p>
            <w:pPr>
              <w:pStyle w:val="Compact"/>
              <w:jc w:val="left"/>
            </w:pPr>
            <w:r>
              <w:t xml:space="preserve">Warunek cezury z art. 994¹ § 1 KC, choć wyjątek i tak może ją znieść</w:t>
            </w:r>
          </w:p>
        </w:tc>
        <w:tc>
          <w:tcPr/>
          <w:p>
            <w:pPr>
              <w:pStyle w:val="Compact"/>
              <w:jc w:val="left"/>
            </w:pPr>
            <w:r>
              <w:t xml:space="preserve">Spis mienia, protokół wniesienia, sprawozdania finansowe fundacji</w:t>
            </w:r>
          </w:p>
        </w:tc>
      </w:tr>
      <w:tr>
        <w:tc>
          <w:tcPr/>
          <w:p>
            <w:pPr>
              <w:pStyle w:val="Compact"/>
              <w:jc w:val="left"/>
            </w:pPr>
            <w:r>
              <w:t xml:space="preserve">Czy fundacja przyjęła spadek i w jakim trybie</w:t>
            </w:r>
          </w:p>
        </w:tc>
        <w:tc>
          <w:tcPr/>
          <w:p>
            <w:pPr>
              <w:pStyle w:val="Compact"/>
              <w:jc w:val="left"/>
            </w:pPr>
            <w:r>
              <w:t xml:space="preserve">Przesądza między pełną odpowiedzialnością a ograniczeniem z art. 1031 § 2 KC, a przez to otwiera lub zamyka art. 1000 § 4 KC</w:t>
            </w:r>
          </w:p>
        </w:tc>
        <w:tc>
          <w:tcPr/>
          <w:p>
            <w:pPr>
              <w:pStyle w:val="Compact"/>
              <w:jc w:val="left"/>
            </w:pPr>
            <w:r>
              <w:t xml:space="preserve">Postanowienie o stwierdzeniu nabycia spadku, oświadczenie o przyjęciu, wykaz albo spis inwentarza</w:t>
            </w:r>
          </w:p>
        </w:tc>
      </w:tr>
      <w:tr>
        <w:tc>
          <w:tcPr/>
          <w:p>
            <w:pPr>
              <w:pStyle w:val="Compact"/>
              <w:jc w:val="left"/>
            </w:pPr>
            <w:r>
              <w:t xml:space="preserve">Data ogłoszenia testamentu</w:t>
            </w:r>
          </w:p>
        </w:tc>
        <w:tc>
          <w:tcPr/>
          <w:p>
            <w:pPr>
              <w:pStyle w:val="Compact"/>
              <w:jc w:val="left"/>
            </w:pPr>
            <w:r>
              <w:t xml:space="preserve">Początek biegu terminu z art. 1007 § 1 KC</w:t>
            </w:r>
          </w:p>
        </w:tc>
        <w:tc>
          <w:tcPr/>
          <w:p>
            <w:pPr>
              <w:pStyle w:val="Compact"/>
              <w:jc w:val="left"/>
            </w:pPr>
            <w:r>
              <w:t xml:space="preserve">Protokół otwarcia i ogłoszenia testamentu</w:t>
            </w:r>
          </w:p>
        </w:tc>
      </w:tr>
      <w:tr>
        <w:tc>
          <w:tcPr/>
          <w:p>
            <w:pPr>
              <w:pStyle w:val="Compact"/>
              <w:jc w:val="left"/>
            </w:pPr>
            <w:r>
              <w:t xml:space="preserve">Wartość funduszu założycielskiego i wartość mienia wniesionego później</w:t>
            </w:r>
          </w:p>
        </w:tc>
        <w:tc>
          <w:tcPr/>
          <w:p>
            <w:pPr>
              <w:pStyle w:val="Compact"/>
              <w:jc w:val="left"/>
            </w:pPr>
            <w:r>
              <w:t xml:space="preserve">Rdzeń obliczenia substratu zachowku i granicy wzbogacenia z art. 1000 § 4 KC</w:t>
            </w:r>
          </w:p>
        </w:tc>
        <w:tc>
          <w:tcPr/>
          <w:p>
            <w:pPr>
              <w:pStyle w:val="Compact"/>
              <w:jc w:val="left"/>
            </w:pPr>
            <w:r>
              <w:t xml:space="preserve">Spis mienia, wyceny, sprawozdania finansowe</w:t>
            </w:r>
          </w:p>
        </w:tc>
      </w:tr>
      <w:tr>
        <w:tc>
          <w:tcPr/>
          <w:p>
            <w:pPr>
              <w:pStyle w:val="Compact"/>
              <w:jc w:val="left"/>
            </w:pPr>
            <w:r>
              <w:t xml:space="preserve">Wartość rynkowa znaku towarowego i cena zapłacona przez fundację</w:t>
            </w:r>
          </w:p>
        </w:tc>
        <w:tc>
          <w:tcPr/>
          <w:p>
            <w:pPr>
              <w:pStyle w:val="Compact"/>
              <w:jc w:val="left"/>
            </w:pPr>
            <w:r>
              <w:t xml:space="preserve">Przesądza rozmiar darowizny doliczanej z art. 993 § 1 KC i podstawę z art. 24q ust. 1a pkt 4 CIT</w:t>
            </w:r>
          </w:p>
        </w:tc>
        <w:tc>
          <w:tcPr/>
          <w:p>
            <w:pPr>
              <w:pStyle w:val="Compact"/>
              <w:jc w:val="left"/>
            </w:pPr>
            <w:r>
              <w:t xml:space="preserve">Umowa przeniesienia, wycena znaku, dokumentacja cen transferowych</w:t>
            </w:r>
          </w:p>
        </w:tc>
      </w:tr>
      <w:tr>
        <w:tc>
          <w:tcPr/>
          <w:p>
            <w:pPr>
              <w:pStyle w:val="Compact"/>
              <w:jc w:val="left"/>
            </w:pPr>
            <w:r>
              <w:t xml:space="preserve">Wysokość opłat licencyjnych wobec wartości rynkowej licencji</w:t>
            </w:r>
          </w:p>
        </w:tc>
        <w:tc>
          <w:tcPr/>
          <w:p>
            <w:pPr>
              <w:pStyle w:val="Compact"/>
              <w:jc w:val="left"/>
            </w:pPr>
            <w:r>
              <w:t xml:space="preserve">Warunek art. 128 ust. 2 Prawa upadłościowego i art. 6 ust. 8 CIT</w:t>
            </w:r>
          </w:p>
        </w:tc>
        <w:tc>
          <w:tcPr/>
          <w:p>
            <w:pPr>
              <w:pStyle w:val="Compact"/>
              <w:jc w:val="left"/>
            </w:pPr>
            <w:r>
              <w:t xml:space="preserve">Umowa licencyjna, faktury, analiza porównawcza</w:t>
            </w:r>
          </w:p>
        </w:tc>
      </w:tr>
      <w:tr>
        <w:tc>
          <w:tcPr/>
          <w:p>
            <w:pPr>
              <w:pStyle w:val="Compact"/>
              <w:jc w:val="left"/>
            </w:pPr>
            <w:r>
              <w:t xml:space="preserve">Udział fundacji w kapitale spółki</w:t>
            </w:r>
          </w:p>
        </w:tc>
        <w:tc>
          <w:tcPr/>
          <w:p>
            <w:pPr>
              <w:pStyle w:val="Compact"/>
              <w:jc w:val="left"/>
            </w:pPr>
            <w:r>
              <w:t xml:space="preserve">Warunek progu 5% z art. 6 ust. 8 CIT</w:t>
            </w:r>
          </w:p>
        </w:tc>
        <w:tc>
          <w:tcPr/>
          <w:p>
            <w:pPr>
              <w:pStyle w:val="Compact"/>
              <w:jc w:val="left"/>
            </w:pPr>
            <w:r>
              <w:t xml:space="preserve">Księga akcyjna, odpis z rejestru przedsiębiorców, spis mienia</w:t>
            </w:r>
          </w:p>
        </w:tc>
      </w:tr>
      <w:tr>
        <w:tc>
          <w:tcPr/>
          <w:p>
            <w:pPr>
              <w:pStyle w:val="Compact"/>
              <w:jc w:val="left"/>
            </w:pPr>
            <w:r>
              <w:t xml:space="preserve">Czy złożono wniosek o ogłoszenie upadłości spółki i kiedy</w:t>
            </w:r>
          </w:p>
        </w:tc>
        <w:tc>
          <w:tcPr/>
          <w:p>
            <w:pPr>
              <w:pStyle w:val="Compact"/>
              <w:jc w:val="left"/>
            </w:pPr>
            <w:r>
              <w:t xml:space="preserve">Uruchamia albo wyłącza cały reżim art. 127–132 Prawa upadłościowego oraz legitymację syndyka</w:t>
            </w:r>
          </w:p>
        </w:tc>
        <w:tc>
          <w:tcPr/>
          <w:p>
            <w:pPr>
              <w:pStyle w:val="Compact"/>
              <w:jc w:val="left"/>
            </w:pPr>
            <w:r>
              <w:t xml:space="preserve">Wniosek z prezentatą, postanowienie sądu upadłościowego</w:t>
            </w:r>
          </w:p>
        </w:tc>
      </w:tr>
      <w:tr>
        <w:tc>
          <w:tcPr/>
          <w:p>
            <w:pPr>
              <w:pStyle w:val="Compact"/>
              <w:jc w:val="left"/>
            </w:pPr>
            <w:r>
              <w:t xml:space="preserve">Podstawa i data powstania roszczenia odszkodowawczego wierzycieli</w:t>
            </w:r>
          </w:p>
        </w:tc>
        <w:tc>
          <w:tcPr/>
          <w:p>
            <w:pPr>
              <w:pStyle w:val="Compact"/>
              <w:jc w:val="left"/>
            </w:pPr>
            <w:r>
              <w:t xml:space="preserve">Warunek kwalifikacji z art. 8 ust. 1 ustawy oraz oceny pokrzywdzenia z art. 527 § 2 KC</w:t>
            </w:r>
          </w:p>
        </w:tc>
        <w:tc>
          <w:tcPr/>
          <w:p>
            <w:pPr>
              <w:pStyle w:val="Compact"/>
              <w:jc w:val="left"/>
            </w:pPr>
            <w:r>
              <w:t xml:space="preserve">Wezwania do zapłaty, pozwy, dokumentacja zdarzenia szkodzącego</w:t>
            </w:r>
          </w:p>
        </w:tc>
      </w:tr>
      <w:tr>
        <w:tc>
          <w:tcPr/>
          <w:p>
            <w:pPr>
              <w:pStyle w:val="Compact"/>
              <w:jc w:val="left"/>
            </w:pPr>
            <w:r>
              <w:t xml:space="preserve">Czy fundacja ma wierzycieli niebędących beneficjentami</w:t>
            </w:r>
          </w:p>
        </w:tc>
        <w:tc>
          <w:tcPr/>
          <w:p>
            <w:pPr>
              <w:pStyle w:val="Compact"/>
              <w:jc w:val="left"/>
            </w:pPr>
            <w:r>
              <w:t xml:space="preserve">Jedyna droga do zastosowania art. 36 ust. 1 i art. 38 ustawy, a przez nie art. 40 ust. 1</w:t>
            </w:r>
          </w:p>
        </w:tc>
        <w:tc>
          <w:tcPr/>
          <w:p>
            <w:pPr>
              <w:pStyle w:val="Compact"/>
              <w:jc w:val="left"/>
            </w:pPr>
            <w:r>
              <w:t xml:space="preserve">Księgi fundacji, sprawozdania finansowe, rejestr zobowiązań</w:t>
            </w:r>
          </w:p>
        </w:tc>
      </w:tr>
      <w:tr>
        <w:tc>
          <w:tcPr/>
          <w:p>
            <w:pPr>
              <w:pStyle w:val="Compact"/>
              <w:jc w:val="left"/>
            </w:pPr>
            <w:r>
              <w:t xml:space="preserve">Czy statut ustanowił radę nadzorczą i czy nabywca nieruchomości jest członkiem zarządu</w:t>
            </w:r>
          </w:p>
        </w:tc>
        <w:tc>
          <w:tcPr/>
          <w:p>
            <w:pPr>
              <w:pStyle w:val="Compact"/>
              <w:jc w:val="left"/>
            </w:pPr>
            <w:r>
              <w:t xml:space="preserve">Warunek trybu reprezentacji z art. 63 ust. 1 ustawy</w:t>
            </w:r>
          </w:p>
        </w:tc>
        <w:tc>
          <w:tcPr/>
          <w:p>
            <w:pPr>
              <w:pStyle w:val="Compact"/>
              <w:jc w:val="left"/>
            </w:pPr>
            <w:r>
              <w:t xml:space="preserve">Statut, uchwały o powołaniu organów, odpis z rejestru fundacji</w:t>
            </w:r>
          </w:p>
        </w:tc>
      </w:tr>
      <w:tr>
        <w:tc>
          <w:tcPr/>
          <w:p>
            <w:pPr>
              <w:pStyle w:val="Compact"/>
              <w:jc w:val="left"/>
            </w:pPr>
            <w:r>
              <w:t xml:space="preserve">Czy syn jest wpisany na listę beneficjentów</w:t>
            </w:r>
          </w:p>
        </w:tc>
        <w:tc>
          <w:tcPr/>
          <w:p>
            <w:pPr>
              <w:pStyle w:val="Compact"/>
              <w:jc w:val="left"/>
            </w:pPr>
            <w:r>
              <w:t xml:space="preserve">Warunek legitymacji z art. 82 ust. 1 i art. 83 ust. 1 ustawy</w:t>
            </w:r>
          </w:p>
        </w:tc>
        <w:tc>
          <w:tcPr/>
          <w:p>
            <w:pPr>
              <w:pStyle w:val="Compact"/>
              <w:jc w:val="left"/>
            </w:pPr>
            <w:r>
              <w:t xml:space="preserve">Lista beneficjentów, statut, korespondencja z zarządem</w:t>
            </w:r>
          </w:p>
        </w:tc>
      </w:tr>
      <w:tr>
        <w:tc>
          <w:tcPr/>
          <w:p>
            <w:pPr>
              <w:pStyle w:val="Compact"/>
              <w:jc w:val="left"/>
            </w:pPr>
            <w:r>
              <w:t xml:space="preserve">Data transakcji powiązanej wobec 22 października 2025 r.</w:t>
            </w:r>
          </w:p>
        </w:tc>
        <w:tc>
          <w:tcPr/>
          <w:p>
            <w:pPr>
              <w:pStyle w:val="Compact"/>
              <w:jc w:val="left"/>
            </w:pPr>
            <w:r>
              <w:t xml:space="preserve">Przesądza, w jakim brzmieniu stosuje się art. 24q CIT</w:t>
            </w:r>
          </w:p>
        </w:tc>
        <w:tc>
          <w:tcPr/>
          <w:p>
            <w:pPr>
              <w:pStyle w:val="Compact"/>
              <w:jc w:val="left"/>
            </w:pPr>
            <w:r>
              <w:t xml:space="preserve">Umowa sprzedaży, akt notarialny, ewidencje podatkowe</w:t>
            </w:r>
          </w:p>
        </w:tc>
      </w:tr>
    </w:tbl>
    <w:bookmarkEnd w:id="31"/>
    <w:bookmarkStart w:id="32" w:name="proponowane-rozstrzygnięcie"/>
    <w:p>
      <w:pPr>
        <w:pStyle w:val="Heading2"/>
      </w:pPr>
      <w:r>
        <w:t xml:space="preserve">Proponowane rozstrzygnięcie</w:t>
      </w:r>
    </w:p>
    <w:p>
      <w:pPr>
        <w:pStyle w:val="FirstParagraph"/>
      </w:pPr>
      <w:r>
        <w:t xml:space="preserve">W zakresie skuteczności nabycia: rozdzielić żądanie żony na dwie ścieżki i nie budować go jako jednego zarzutu. Co do akcji nie powoływać art. 37 KRO, ponieważ katalog z § 1 ich nie obejmuje; zgłosić natomiast roszczenie rozliczeniowe w postępowaniu o podział majątku wspólnego, z odwołaniem do art. 45 § 1 i 3 KRO oraz do standardu orzeczniczego o rozliczaniu składników wyprowadzonych z majątku wspólnego. Co do nieruchomości ustalić najpierw formę czynności i dopiero wtedy wybrać podstawę: art. 37 § 2 KRO przy umowie, art. 37 § 4 KRO przy czynności jednostronnej. Przy umowie rozważyć, czy potwierdzenie nie jest korzystniejsze niż nieważność — nieważność wyprowadza nieruchomość z fundacji do spadku, a spadek obciążony jest zachowkami i długami.</w:t>
      </w:r>
    </w:p>
    <w:p>
      <w:pPr>
        <w:pStyle w:val="BodyText"/>
      </w:pPr>
      <w:r>
        <w:t xml:space="preserve">W zakresie zachowku: wnieść powództwo przeciwko fundacji jako spadkobiercy na podstawie art. 991 § 2 KC, wskazując doliczenie funduszu założycielskiego z art. 993 § 2 KC i argumentując, że art. 994¹ § 1 KC nie chroni, ponieważ fundacja jest spadkobiercą. Doliczenie nieodpłatnej części transferu znaku towarowego oprzeć na art. 993 § 1 KC z kwalifikacją czynności mieszanej. Roszczenie syna prowadzić w pełnej wysokości; roszczenie córki zredukować samodzielnie o świadczenia zaliczone na podstawie art. 996 § 2 KC, zamiast czekać, aż zrobi to przeciwnik. Równolegle, na wypadek ograniczenia odpowiedzialności z art. 1031 § 2 KC, zgłosić żądanie ewentualne z art. 1000 § 4 KC, pilnując terminu z art. 1007 § 3 KC, który biegnie od otwarcia spadku, a nie od ogłoszenia testamentu.</w:t>
      </w:r>
    </w:p>
    <w:p>
      <w:pPr>
        <w:pStyle w:val="BodyText"/>
      </w:pPr>
      <w:r>
        <w:t xml:space="preserve">W zakresie roszczeń wierzycieli: zacząć od ustalenia daty poręczenia, ponieważ przy poręczeniu sprzed ustanowienia fundacji droga z art. 8 ust. 1 ustawy jest krótsza, tańsza i nie wymaga dowodu pokrzywdzenia, z ograniczeniem wartościowym z art. 9. Dopiero przy odpowiedzi przeciwnej sięgać po art. 527 § 1 KC, opierając się na art. 528 KC co do wniesienia mienia i nieodpłatnej części transferu znaku, i pilnując terminu z art. 534 KC. Nie kierować wobec przeniesienia znaku żądania z art. 127 ust. 1 Prawa upadłościowego — przepis obejmuje czynności upadłego, a upadłym byłaby spółka. Wobec opłat licencyjnych, po ogłoszeniu upadłości spółki, wnosić o zastosowanie art. 128 ust. 2 Prawa upadłościowego, wykorzystując odwrócony ciężar dowodu.</w:t>
      </w:r>
    </w:p>
    <w:p>
      <w:pPr>
        <w:pStyle w:val="BodyText"/>
      </w:pPr>
      <w:r>
        <w:t xml:space="preserve">W zakresie ładu wewnętrznego: nie budować zarzutu na braku wyłączenia członka organu przy sprzeczności interesów, ponieważ ustawa takiej reguły nie zawiera. Zarzut oprzeć na art. 55 ust. 1 i art. 75 ust. 1 ustawy, wskazując brak wyceny rynkowej przy transakcji powiązanej jako wyjście poza granice uzasadnionego ryzyka gospodarczego z art. 75 ust. 2. Uchwałę o sprzedaży zaskarżyć z art. 82 lub art. 83 ustawy w zależności od tego, czy narusza statut, czy ustawę, pilnując terminów z art. 82 ust. 2 i art. 83 ust. 2 — najkrótszy z nich wynosi miesiąc. Wierzycielom wskazać wprost, że legitymacji z art. 82 i 83 nie mają i że ich droga prowadzi przez zajęcie roszczenia fundacji z art. 40 ust. 1 albo przez skargę pauliańską wobec samej wypłaty.</w:t>
      </w:r>
    </w:p>
    <w:p>
      <w:pPr>
        <w:pStyle w:val="BodyText"/>
      </w:pPr>
      <w:r>
        <w:t xml:space="preserve">W zakresie wypłat: żądanie wstrzymania świadczeń dla córki oprzeć na art. 36 ust. 1 ustawy dopiero po wykazaniu, że fundacja ma wierzyciela niebędącego beneficjentem — bez tego ogniwa przesłanka nie działa, a kryzys spółki jej nie zastępuje. Po jego wykazaniu domagać się zwrotu świadczeń na podstawie art. 40 ust. 1 ustawy, wskazując solidarną odpowiedzialność członków zarządu i niemożność zwolnienia z art. 40 ust. 2, oraz podnosić naruszenie obowiązku miarkowania z art. 38.</w:t>
      </w:r>
    </w:p>
    <w:p>
      <w:pPr>
        <w:pStyle w:val="BodyText"/>
      </w:pPr>
      <w:r>
        <w:t xml:space="preserve">W zakresie podatków: nie stawiać tezy o utracie zwolnienia z art. 6 ust. 7 CIT ani o stawce 25% z art. 24r ust. 1 CIT, ponieważ sprzedaż nieruchomości mieści się w art. 5 ust. 1 pkt 1 ustawy. Ekspozycję opisać w trzech osobnych pozycjach: ukryte zyski z art. 24q ust. 1a pkt 4 CIT od różnicy między wartością rynkową a ceną, bez progu udziałowego (art. 24q ust. 7); przychody licencyjne poza zwolnieniem na podstawie art. 6 ust. 8 CIT, warunkowo, opodatkowane stawką z art. 19, a nie sankcyjną; świadczenia dla córki opodatkowane u fundacji stawką 15% z art. 24q ust. 1 pkt 1 CIT i zwolnione u niej samej na podstawie art. 21 ust. 1 pkt 157 lit. b PIT w części odpowiadającej proporcji z art. 21 ust. 49 PIT. Odrębnie zabezpieczyć wykonanie obowiązku informacyjnego z art. 84 ustawy, wskazując zarządowi ryzyko z art. 128 ust. 1–3 ustawy.</w:t>
      </w:r>
    </w:p>
    <w:bookmarkEnd w:id="32"/>
    <w:bookmarkStart w:id="33" w:name="bramka-środka-naprawczego-rem-gate-pl-03"/>
    <w:p>
      <w:pPr>
        <w:pStyle w:val="Heading2"/>
      </w:pPr>
      <w:r>
        <w:t xml:space="preserve">Bramka środka naprawczego (REM-GATE) — PL-03</w:t>
      </w:r>
    </w:p>
    <w:p>
      <w:pPr>
        <w:pStyle w:val="FirstParagraph"/>
      </w:pPr>
      <w:r>
        <w:t xml:space="preserve">REM-0 próby: 6 powołań aktów, 6 prób, 6 odzyskanych, 0 porażek. Rejestr ELI wydał metadane wraz z listami tekstów jednolitych, dzięki czemu pięć numerów pozycji ustalono z rejestru, a nie z pamięci modelu. Szósty akt — ustawa o fundacji rodzinnej — nie ma tekstu jednolitego; zamiast rekonstrukcji pobrano urzędowy tekst ujednolicony Kancelarii Sejmu uwzględniający jedyną nowelizację (Dz.U. 2023 poz. 825). Jest to istotne dla klasy błędu polegającej na cytowaniu tekstu ogłoszonego jako aktualnego: dla KC różnica ta obejmuje wszystkie jednostki z indeksem górnym, w tym art. 994¹ i art. 997¹, na których opiera się połowa zagadnienia drugiego.</w:t>
      </w:r>
    </w:p>
    <w:p>
      <w:pPr>
        <w:pStyle w:val="BodyText"/>
      </w:pPr>
      <w:r>
        <w:t xml:space="preserve">REM-1 oddalenia: 5 oddalonych (zarzut z art. 37 § 1 KRO wobec akcji; zarzut wydziedziczenia z art. 1008 KC; wstrzymanie świadczeń oparte wyłącznie na kryzysie spółki w trybie art. 36 ust. 1 ustawy; art. 127 ust. 1 Prawa upadłościowego wobec transferu znaku; art. 24r ust. 1 CIT wobec sprzedaży nieruchomości), 5 sparowanych alternatyw rozwiniętych na tę samą głębokość (rozliczenie z art. 45 KRO przy podziale majątku; art. 991 § 2 KC z zaliczeniem z art. 996 § 2 KC; art. 36 ust. 1 w połączeniu z art. 8 ust. 1 ustawy; art. 128 ust. 2 Prawa upadłościowego oraz art. 527 § 1 w zw. z art. 528 KC; art. 24q ust. 1a pkt 4 i art. 6 ust. 8 CIT). Dodatkowo oddalono legitymację wierzycieli do zaskarżania uchwał i sparowano ją z art. 40 ust. 1 ustawy oraz zajęciem wierzytelności.</w:t>
      </w:r>
    </w:p>
    <w:p>
      <w:pPr>
        <w:pStyle w:val="BodyText"/>
      </w:pPr>
      <w:r>
        <w:t xml:space="preserve">REM-2 braki: 16 pozycji ⬛, 16 rozstrzygnięć warunkowych, 0 blokad. Najbliższa blokadzie jest data poręczenia względem ustanowienia fundacji, i nią nie jest, ponieważ obie gałęzie prowadzą do istniejącej drogi — ustawowej z art. 8 ust. 1 albo pauliańskiej z art. 527 KC. Zupełny brak dat w kazusie nie blokuje analizy, ale przesuwa pięć przesłanek terminowych w tryb warunkowy; odnotowuję to jako świadomy koszt, nie jako przeoczenie.</w:t>
      </w:r>
    </w:p>
    <w:p>
      <w:pPr>
        <w:pStyle w:val="BodyText"/>
      </w:pPr>
      <w:r>
        <w:t xml:space="preserve">REM-3 instrumenty o niższej mocy: dwie pozycje przedstawiono jako standard doktrynalny bez przypisania jednostce redakcyjnej — kwalifikacja sprzedaży za cenę rażąco zaniżoną jako czynności mieszanej z elementem darowizny oraz rozliczanie w postępowaniu działowym składników wyprowadzonych z majątku wspólnego. Obie argumentowano w pełni i obie mają moc perswazyjną, nie wiążącą; znacznik nie zmniejszył objętości ani stanowczości wywodu. Trzecia pozycja — kwalifikacja chwili powstania zobowiązania poręczyciela — jest sporna i przedstawiono ją jako rozwidlenie, nie jako tezę.</w:t>
      </w:r>
    </w:p>
    <w:p>
      <w:pPr>
        <w:pStyle w:val="BodyText"/>
      </w:pPr>
      <w:r>
        <w:t xml:space="preserve">REM-4 pokrycie: skuteczność nabycia i majątek wspólny — PEŁNA; roszczenia spadkowe — PEŁNA; środki wierzycieli — PEŁNA; ład wewnętrzny i transakcja powiązana — PEŁNA; podatki — CIENKA i deklaruję to wprost. Cienkość dotyczy trzech punktów: kwalifikacji licencji znaku towarowego jako umowy o charakterze podobnym do najmu i dzierżawy w rozumieniu art. 6 ust. 8 CIT, która wymaga interpretacji indywidualnej albo orzecznictwa sądów administracyjnych; skutków ewentualnej korekty przychodów fundacji po uznaniu opłat licencyjnych za bezskuteczne wobec masy, które należą do Ordynacji podatkowej i nie zostały tu przesądzone; oraz brzmienia art. 24q CIT właściwego dla daty transakcji, wobec nowelizacji z 12 września 2025 r.</w:t>
      </w:r>
    </w:p>
    <w:bookmarkEnd w:id="33"/>
    <w:bookmarkStart w:id="34" w:name="zweryfikowane-pozycje-źródłowe-pl-03"/>
    <w:p>
      <w:pPr>
        <w:pStyle w:val="Heading2"/>
      </w:pPr>
      <w:r>
        <w:t xml:space="preserve">Zweryfikowane pozycje źródłowe (PL-03)</w:t>
      </w:r>
    </w:p>
    <w:p>
      <w:pPr>
        <w:pStyle w:val="FirstParagraph"/>
      </w:pPr>
      <w:r>
        <w:t xml:space="preserve">Ustawa z dnia 26 stycznia 2023 r. o fundacji rodzinnej, Dz.U. 2023 poz. 326 ze zmianą Dz.U. 2023 poz. 825; rejestr ELI nie wykazuje tekstu jednolitego, wobec czego brzmienie ustalono z urzędowego tekstu ujednoliconego Kancelarii Sejmu (opracowanie na podstawie poz. 326 i 825) — sprawdzono art. 2, art. 4 ust. 2–3, art. 5 ust. 1–3, art. 8 ust. 1–3, art. 9, art. 11–17, art. 18, art. 20, art. 21–22, art. 26, art. 28, art. 34–40, art. 50–53, art. 55, art. 63, art. 64 ust. 1, art. 75–76, art. 82–84, art. 128. ✅ [VER: api.sejm.gov.pl/eli, curl 200, pełny tekst PDF typu „U”, RZĄD 1, 2026-09-07]</w:t>
      </w:r>
    </w:p>
    <w:p>
      <w:pPr>
        <w:pStyle w:val="BodyText"/>
      </w:pPr>
      <w:r>
        <w:t xml:space="preserve">Ustawa z dnia 23 kwietnia 1964 r. — Kodeks cywilny, tekst jednolity Dz.U. 2026 poz. 795 (numer ustalony z listy tekstów jednolitych w rejestrze ELI, pozycja ze statusem „obowiązujący”) — sprawdzono art. 43¹, art. 527–534, art. 927, art. 991–1002, art. 1007, art. 1008–1011, art. 1015, art. 1030–1031. ✅ [VER: api.sejm.gov.pl/eli, curl 200, pełny tekst PDF, RZĄD 1, 2026-09-07]</w:t>
      </w:r>
    </w:p>
    <w:p>
      <w:pPr>
        <w:pStyle w:val="BodyText"/>
      </w:pPr>
      <w:r>
        <w:t xml:space="preserve">Ustawa z dnia 25 lutego 1964 r. — Kodeks rodzinny i opiekuńczy, tekst jednolity Dz.U. 2026 poz. 236 — sprawdzono art. 31, art. 33–34, art. 36–39, art. 41–43, art. 45–46. ✅ [VER: api.sejm.gov.pl/eli, curl 200, pełny tekst PDF, RZĄD 1, 2026-09-07]</w:t>
      </w:r>
    </w:p>
    <w:p>
      <w:pPr>
        <w:pStyle w:val="BodyText"/>
      </w:pPr>
      <w:r>
        <w:t xml:space="preserve">Ustawa z dnia 28 lutego 2003 r. — Prawo upadłościowe, tekst jednolity Dz.U. 2026 poz. 913 — sprawdzono art. 5–9, art. 11, art. 21 ust. 1, art. 127–128a, art. 131–132. ✅ [VER: api.sejm.gov.pl/eli, curl 200, pełny tekst PDF, RZĄD 1, 2026-09-07]</w:t>
      </w:r>
    </w:p>
    <w:p>
      <w:pPr>
        <w:pStyle w:val="BodyText"/>
      </w:pPr>
      <w:r>
        <w:t xml:space="preserve">Ustawa z dnia 15 lutego 1992 r. o podatku dochodowym od osób prawnych, tekst jednolity Dz.U. 2026 poz. 554 — sprawdzono art. 4a pkt 36, art. 6 ust. 1 pkt 25 oraz ust. 6–10, art. 24q ust. 1–9, art. 24r, art. 24s ust. 1, wraz z odnośnikiem wskazującym nowelizację z 12 września 2025 r. (Dz.U. poz. 1426, wejście w życie 22 października 2025 r.) jako źródło obecnego brzmienia art. 24q. ✅ [VER: api.sejm.gov.pl/eli, curl 200, pełny tekst PDF, RZĄD 1, 2026-09-07]</w:t>
      </w:r>
    </w:p>
    <w:p>
      <w:pPr>
        <w:pStyle w:val="BodyText"/>
      </w:pPr>
      <w:r>
        <w:t xml:space="preserve">Ustawa z dnia 26 lipca 1991 r. o podatku dochodowym od osób fizycznych, tekst jednolity Dz.U. 2026 poz. 592 — sprawdzono art. 5a pkt 50, art. 21 ust. 1 pkt 157 oraz ust. 49–50. ✅ [VER: api.sejm.gov.pl/eli, curl 200, pełny tekst PDF, RZĄD 1, 2026-09-07]</w:t>
      </w:r>
    </w:p>
    <w:p>
      <w:pPr>
        <w:pStyle w:val="BodyText"/>
      </w:pPr>
      <w:r>
        <w:t xml:space="preserve">Nie przypisano jednostkom redakcyjnym i przedstawiono jako standard doktrynalny: kwalifikacja umowy sprzedaży za cenę rażąco odbiegającą od wartości rynkowej jako czynności mieszanej z elementem darowizny; rozliczanie w postępowaniu o podział majątku wspólnego składników wyprowadzonych z tego majątku przez jednego z małżonków; chwila powstania zobowiązania poręczyciela na potrzeby art. 8 ust. 1 ustawy o fundacji rodzinnej; kwalifikacja umowy licencyjnej jako umowy o charakterze podobnym do najmu i dzierżawy w rozumieniu art. 6 ust. 8 CIT.</w:t>
      </w:r>
    </w:p>
    <w:bookmarkEnd w:id="34"/>
    <w:bookmarkEnd w:id="35"/>
    <w:bookmarkStart w:id="36" w:name="nota-do-partii-12"/>
    <w:p>
      <w:pPr>
        <w:pStyle w:val="Heading1"/>
      </w:pPr>
      <w:r>
        <w:t xml:space="preserve">Nota do partii 12</w:t>
      </w:r>
    </w:p>
    <w:p>
      <w:pPr>
        <w:pStyle w:val="FirstParagraph"/>
      </w:pPr>
      <w:r>
        <w:t xml:space="preserve">Trzy obserwacje.</w:t>
      </w:r>
    </w:p>
    <w:p>
      <w:pPr>
        <w:pStyle w:val="BodyText"/>
      </w:pPr>
      <w:r>
        <w:t xml:space="preserve">Ochrona planistyczna zniosła się sama. Wniesienie majątku do fundacji na wiele lat przed śmiercią jest w praktyce sukcesyjnej traktowane jako sposób na wyprowadzenie substratu spod zachowku, a art. 994¹ § 1 KC rzeczywiście taką ochronę daje po dziesięciu latach. Zdanie warunkowe na końcu tego przepisu — „chyba że fundacja rodzinna jest spadkobiercą” — usuwa ją w całości, gdy ta sama fundacja zostaje powołana do spadku. Testament, który miał domknąć konstrukcję, jest w niej najsłabszym ogniwem, a rozstrzyga o tym jedno zdanie podrzędne.</w:t>
      </w:r>
    </w:p>
    <w:p>
      <w:pPr>
        <w:pStyle w:val="BodyText"/>
      </w:pPr>
      <w:r>
        <w:t xml:space="preserve">Przepis o wypłacalności nie mówi o kondycji spółki. Art. 36 ust. 1 ustawy o fundacji rodzinnej chroni wierzycieli fundacji, nie wierzycieli podmiotu, którego akcje fundacja posiada. Zarzut, że zarząd wypłacał świadczenia w czasie kryzysu, brzmi trafnie i nie ma podstawy, dopóki nie wskaże się fundacji własnego wierzyciela — a jedynym kandydatem w tym stanie faktycznym jest wierzyciel z poręczenia, i to wyłącznie przy określonej dacie jego powstania. Cały łańcuch sankcyjny wisi na jednym ustaleniu faktycznym, którego kazus nie podaje.</w:t>
      </w:r>
    </w:p>
    <w:p>
      <w:pPr>
        <w:pStyle w:val="BodyText"/>
      </w:pPr>
      <w:r>
        <w:t xml:space="preserve">Zakres podmiotowy przepisu upadłościowego wyklucza czynność, która wygląda na jego wzorcowy przypadek. Przeniesienie znaku towarowego po zaniżonej cenie na podmiot powiązany jest podręcznikowym przykładem czynności rażąco nieekwiwalentnej z art. 127 ust. 1 Prawa upadłościowego — i przepis go nie obejmuje, bo dokonał jej fundator, a upadłym byłaby spółka. Ta sama fabuła zawiera jednak czynność, którą reżim upadłościowy obejmuje z odwróconym ciężarem dowodu: opłaty licencyjne płacone przez spółkę akcjonariuszowi, art. 128 ust. 2. Różnica między nimi nie leży w naganności, lecz w tym, kto jest stroną czynności.</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2026-09-07T16:40:17Z</dcterms:created>
  <dcterms:modified xsi:type="dcterms:W3CDTF">2026-09-07T16:40:17Z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12: PL-03</vt:lpwstr>
  </property>
</Properties>
</file>