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Bank</w:t>
      </w:r>
      <w:r>
        <w:t xml:space="preserve"> </w:t>
      </w:r>
      <w:r>
        <w:t xml:space="preserve">kazusów</w:t>
      </w:r>
      <w:r>
        <w:t xml:space="preserve"> </w:t>
      </w:r>
      <w:r>
        <w:t xml:space="preserve">wieloaspektowych</w:t>
      </w:r>
      <w:r>
        <w:t xml:space="preserve"> </w:t>
      </w:r>
      <w:r>
        <w:t xml:space="preserve">—</w:t>
      </w:r>
      <w:r>
        <w:t xml:space="preserve"> </w:t>
      </w:r>
      <w:r>
        <w:t xml:space="preserve">arkusz</w:t>
      </w:r>
      <w:r>
        <w:t xml:space="preserve"> </w:t>
      </w:r>
      <w:r>
        <w:t xml:space="preserve">odpowiedzi</w:t>
      </w:r>
    </w:p>
    <w:p>
      <w:pPr>
        <w:pStyle w:val="Subtitle"/>
      </w:pPr>
      <w:r>
        <w:t xml:space="preserve">Partia</w:t>
      </w:r>
      <w:r>
        <w:t xml:space="preserve"> </w:t>
      </w:r>
      <w:r>
        <w:t xml:space="preserve">13:</w:t>
      </w:r>
      <w:r>
        <w:t xml:space="preserve"> </w:t>
      </w:r>
      <w:r>
        <w:t xml:space="preserve">PL-06</w:t>
      </w:r>
    </w:p>
    <w:bookmarkStart w:id="20" w:name="metryka-arkusza"/>
    <w:p>
      <w:pPr>
        <w:pStyle w:val="Heading1"/>
      </w:pPr>
      <w:r>
        <w:t xml:space="preserve">Metryka arkusza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Pozycja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partii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 (Anthropic)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prawny v3.41, fasada</w:t>
            </w:r>
            <w:r>
              <w:t xml:space="preserve"> </w:t>
            </w:r>
            <w:r>
              <w:rPr>
                <w:rStyle w:val="VerbatimChar"/>
              </w:rPr>
              <w:t xml:space="preserve">prawo-polskie-v2</w:t>
            </w:r>
            <w:r>
              <w:t xml:space="preserve">, PRIMARY DR-06, SECONDARY DR-15 i DR-02; bramki CN-GATE i REM-GATE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Weryfikacja źródeł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ELI Sejmu (curl, RZĄD 1); numery tekstów jednolitych ustalone z rejestru: VAT Dz.U. 2025 poz. 775, KKS Dz.U. 2025 poz. 633, ustawa AML Dz.U. 2025 poz. 644, KSH Dz.U. 2024 poz.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sporządzenia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września 2026 r.</w:t>
            </w:r>
          </w:p>
        </w:tc>
      </w:tr>
    </w:tbl>
    <w:bookmarkEnd w:id="20"/>
    <w:bookmarkStart w:id="35" w:name="X3889577c9c0fbdf9e529f95fceddc3cc1cb7d38"/>
    <w:p>
      <w:pPr>
        <w:pStyle w:val="Heading1"/>
      </w:pPr>
      <w:r>
        <w:t xml:space="preserve">PL-06 Karuzela, której nikt nie chciał zauważyć</w:t>
      </w:r>
    </w:p>
    <w:bookmarkStart w:id="21" w:name="teza-wstępna"/>
    <w:p>
      <w:pPr>
        <w:pStyle w:val="Heading2"/>
      </w:pPr>
      <w:r>
        <w:t xml:space="preserve">Teza wstępna</w:t>
      </w:r>
    </w:p>
    <w:p>
      <w:pPr>
        <w:pStyle w:val="FirstParagraph"/>
      </w:pPr>
      <w:r>
        <w:t xml:space="preserve">Kazus wygląda na sprawę o odliczenie VAT, a rozstrzyga się na trzech jednostkach, z których dwie działają odwrotnie, niż podpowiada odruch obrony.</w:t>
      </w:r>
    </w:p>
    <w:p>
      <w:pPr>
        <w:pStyle w:val="BodyText"/>
      </w:pPr>
      <w:r>
        <w:t xml:space="preserve">Pierwsza. Art. 88 ust. 3a pkt 4 lit. a ustawy o VAT wyłącza prawo do obniżenia podatku należnego, gdy faktury „stwierdzają czynności, które nie zostały dokonane – w części dotyczącej tych czynności”. Przesłanka jest</w:t>
      </w:r>
      <w:r>
        <w:t xml:space="preserve"> </w:t>
      </w:r>
      <w:r>
        <w:rPr>
          <w:bCs/>
          <w:b/>
        </w:rPr>
        <w:t xml:space="preserve">przedmiotowa</w:t>
      </w:r>
      <w:r>
        <w:t xml:space="preserve">: dotyczy tego, czy czynność miała miejsce, a nie tego, czy podatnik był w dobrej wierze. Dobra wiara i należyta staranność nie są w tym przepisie znamieniem — funkcjonują jako konstrukcja orzecznicza korygująca, a nie jako ustawowa przesłanka. Jeżeli procesory faktycznie kupowano i odsprzedawano, lit. a nie działa, a organ musi sięgnąć po lit. b (kwoty niezgodne z rzeczywistością) albo lit. c (czynności pozorne w rozumieniu art. 83 Kodeksu cywilnego) — a każda z nich wymaga innego dowodu. Spór o „należytą staranność” toczy się więc na płaszczyźnie, której tekst ustawy nie wyznacza, i pierwszym ruchem obrony powinno być zmuszenie organu do wskazania litery.</w:t>
      </w:r>
    </w:p>
    <w:p>
      <w:pPr>
        <w:pStyle w:val="BodyText"/>
      </w:pPr>
      <w:r>
        <w:t xml:space="preserve">Druga. Art. 483 § 3 Kodeksu spółek handlowych — reguła biznesowej oceny sytuacji — jest przepisem, po który sięgnie zarząd, i przepisem, który go pogrąży. Członek zarządu nie narusza obowiązku staranności zawodowej, jeżeli działa lojalnie i w granicach uzasadnionego ryzyka gospodarczego, „w tym na podstawie informacji, analiz i opinii, które powinny być w danych okolicznościach uwzględnione przy dokonywaniu starannej oceny”. Standard jest zatem kalibrowany okolicznościami: im więcej sygnałów ostrzegawczych, tym głębsza analiza jest wymagana. „Krótki przegląd” zlecony po zgłoszeniu braku magazynu dostawcy, powtarzalnych numerów dokumentów transportowych i częstych zmian rachunków nie jest analizą, która „powinna być w danych okolicznościach uwzględniona”. Przepis nie chroni prezesa — to on dostarcza miary, którą prezes przegrywa.</w:t>
      </w:r>
    </w:p>
    <w:p>
      <w:pPr>
        <w:pStyle w:val="BodyText"/>
      </w:pPr>
      <w:r>
        <w:t xml:space="preserve">Trzecia. Art. 54 ust. 1 ustawy o przeciwdziałaniu praniu pieniędzy nakazuje instytucjom obowiązanym zachować w tajemnicy zarówno fakt przekazania informacji Generalnemu Inspektorowi, jak i informacje o planowaniu wszczęcia oraz o prowadzeniu analizy. Tajemnica jest więc ustawowa i dwuczłonowa, a nie umowna. Żądanie Electry, by bank przedstawił swoją analizę i wyjaśnił, dlaczego najpierw zamknął alerty, natrafia na zakaz ustawowy, a nie na politykę banku — i tę różnicę trzeba postawić na początku, bo przesądza o tym, czego w ogóle można żądać.</w:t>
      </w:r>
    </w:p>
    <w:bookmarkEnd w:id="21"/>
    <w:bookmarkStart w:id="22" w:name="mapa-jurysdykcji-i-warstw"/>
    <w:p>
      <w:pPr>
        <w:pStyle w:val="Heading2"/>
      </w:pPr>
      <w:r>
        <w:t xml:space="preserve">Mapa jurysdykcji i warstw</w:t>
      </w:r>
    </w:p>
    <w:p>
      <w:pPr>
        <w:pStyle w:val="FirstParagraph"/>
      </w:pPr>
      <w:r>
        <w:t xml:space="preserve">Pięć postępowań o pięciu różnych przedmiotach: kontrola i decyzja wymiarowa KAS wraz z zabezpieczeniem na rachunkach; postępowanie karne skarbowe; reżim AML realizowany przez bank wobec Generalnego Inspektora; spór korporacyjny akcjonariuszy z zarządem; spór kontraktowy z faktorem o wykup wierzytelności. Ustalenia jednego nie wiążą pozostałych: umorzenie postępowania karnego skarbowego nie usuwa decyzji wymiarowej, a uchylenie decyzji nie przesądza o braku winy członka zarządu wobec spółki.</w:t>
      </w:r>
    </w:p>
    <w:p>
      <w:pPr>
        <w:pStyle w:val="BodyText"/>
      </w:pPr>
      <w:r>
        <w:t xml:space="preserve">Rozróżnienie porządkujące. Odpowiedzialność podatkowa jest odpowiedzialnością spółki; odpowiedzialność karna skarbowa jest indywidualna; odpowiedzialność z art. 483 KSH jest odszkodowawcza wobec spółki, nie wobec akcjonariuszy. Trzy różne podmioty uprawnione i trzy różne standardy dowodu.</w:t>
      </w:r>
    </w:p>
    <w:bookmarkEnd w:id="22"/>
    <w:bookmarkStart w:id="23" w:name="cn-gate"/>
    <w:p>
      <w:pPr>
        <w:pStyle w:val="Heading2"/>
      </w:pPr>
      <w:r>
        <w:t xml:space="preserve">CN-GATE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Oś sporu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centralna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Przedmiot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Odliczenie — czynności niedokonane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88 ust. 3a pkt 4 lit. a ustawy o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zależy od tego, czy towar realnie istniał i był przemieszczany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Odliczenie — kwoty nierzeczywiste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88 ust. 3a pkt 4 lit.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Odliczenie — pozorność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88 ust. 3a pkt 4 lit. c w zw. z art. 83 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wymaga dowodu zgody obu stron na pozorność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Sprawstwo kierownicze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§ 1 KKS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Granice umyślności współsprawców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§ 2 KKS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Odpowiedzialność zarządu wobec spółki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483 § 1 i 3 KSH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Zawiadomienie banku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74 ust. 1–2 ustawy 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— bank jako instytucja obowiązana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Dostęp do analizy 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54 ust. 1 ustawy 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 — tajemnica ustawowa obejmuje fakt przekazania i prowadzenie analizy</w:t>
            </w:r>
          </w:p>
        </w:tc>
      </w:tr>
    </w:tbl>
    <w:p>
      <w:pPr>
        <w:pStyle w:val="BodyText"/>
      </w:pPr>
      <w:r>
        <w:t xml:space="preserve">Jeden wynik „NIE” jest rozstrzygający i zamyka drogę dowodową, którą Electra uzna za najważniejszą.</w:t>
      </w:r>
    </w:p>
    <w:bookmarkEnd w:id="23"/>
    <w:bookmarkStart w:id="29" w:name="analiza-według-zagadnień"/>
    <w:p>
      <w:pPr>
        <w:pStyle w:val="Heading2"/>
      </w:pPr>
      <w:r>
        <w:t xml:space="preserve">Analiza według zagadnień</w:t>
      </w:r>
    </w:p>
    <w:bookmarkStart w:id="24" w:name="rozdzielenie-wymiarów"/>
    <w:p>
      <w:pPr>
        <w:pStyle w:val="Heading3"/>
      </w:pPr>
      <w:r>
        <w:t xml:space="preserve">Rozdzielenie wymiarów</w:t>
      </w:r>
    </w:p>
    <w:p>
      <w:pPr>
        <w:pStyle w:val="FirstParagraph"/>
      </w:pPr>
      <w:r>
        <w:t xml:space="preserve">Wymiar podatkowy dotyczy spółki i prawa do odliczenia; jego przedmiotem jest zdarzenie gospodarcze, nie zawinienie. Wymiar karny skarbowy dotyczy osób fizycznych i wymaga strony podmiotowej. Wymiar AML dotyczy banku i faktora jako instytucji obowiązanych, a nie Electry — Electra jest w tym reżimie przedmiotem analizy, nie adresatem obowiązku. Wymiar korporacyjny dotyczy relacji zarząd–spółka. Wymiar kontraktowy dotyczy umowy faktoringu.</w:t>
      </w:r>
    </w:p>
    <w:p>
      <w:pPr>
        <w:pStyle w:val="BodyText"/>
      </w:pPr>
      <w:r>
        <w:t xml:space="preserve">Najczęstszy błąd polega na przenoszeniu ustaleń między wymiarami: z faktu złożenia przez bank zawiadomienia wywodzi się winę spółki, a z zabezpieczenia rachunków przez KAS — przesądzenie sprawy karnej. Żadne z tych wnioskowań nie ma podstawy.</w:t>
      </w:r>
    </w:p>
    <w:bookmarkEnd w:id="24"/>
    <w:bookmarkStart w:id="25" w:name="X96d0a4837b207d750b8eeda714a36f86f28cbc9"/>
    <w:p>
      <w:pPr>
        <w:pStyle w:val="Heading3"/>
      </w:pPr>
      <w:r>
        <w:t xml:space="preserve">Należyta staranność wobec czerwonych flag</w:t>
      </w:r>
    </w:p>
    <w:p>
      <w:pPr>
        <w:pStyle w:val="FirstParagraph"/>
      </w:pPr>
      <w:r>
        <w:t xml:space="preserve">Sygnałów jest w kazusie pięć i każdy ma inną wagę dowodową: nowi dostawcy przy gwałtownym wzroście obrotu; powtarzające się numery dokumentów transportowych; brak magazynu dostawcy; częste zmiany rachunków bankowych; przepływ płatności przez faktora. Trzy pierwsze dotyczą realności dostaw, dwa ostatnie — przepływu pieniądza.</w:t>
      </w:r>
    </w:p>
    <w:p>
      <w:pPr>
        <w:pStyle w:val="BodyText"/>
      </w:pPr>
      <w:r>
        <w:t xml:space="preserve">Kluczowe jest jednak nie ich wyliczenie, lecz to, że zgłosił je dyrektor finansowy, a prezes zlecił „krótki przegląd” i handel kontynuował. Powstaje wewnętrzny ślad dokumentacyjny, który działa dwustronnie: dowodzi, że spółka sygnały dostrzegła — co osłabia tezę o dobrej wierze — ale też pozwala precyzyjnie umiejscowić moment, od którego wiedza istniała, co jest kluczowe przy indywidualizacji odpowiedzialności.</w:t>
      </w:r>
    </w:p>
    <w:p>
      <w:pPr>
        <w:pStyle w:val="BodyText"/>
      </w:pPr>
      <w:r>
        <w:t xml:space="preserve">⬛ Kazus nie podaje zakresu i wyniku „krótkiego przeglądu”. Rozstrzygnięcie warunkowe: jeżeli przegląd objął weryfikację dostawców, oględziny magazynów i potwierdzenie transportu, a wynik był negatywny co do nieprawidłowości — spółka ma materiał do obrony; jeżeli był formalnością bez czynności sprawdzających, jego zlecenie obciąża, a nie chroni, bo dowodzi świadomości ryzyka przy jednoczesnym zaniechaniu reakcji.</w:t>
      </w:r>
    </w:p>
    <w:bookmarkEnd w:id="25"/>
    <w:bookmarkStart w:id="26" w:name="X0e1fa67e22a2307944e7cd086d4ec6d89c66752"/>
    <w:p>
      <w:pPr>
        <w:pStyle w:val="Heading3"/>
      </w:pPr>
      <w:r>
        <w:t xml:space="preserve">Indywidualizacja wiedzy i strony podmiotowej</w:t>
      </w:r>
    </w:p>
    <w:p>
      <w:pPr>
        <w:pStyle w:val="FirstParagraph"/>
      </w:pPr>
      <w:r>
        <w:t xml:space="preserve">Art. 9 § 1 KKS obejmuje sprawstwo wykonawcze, współsprawstwo, sprawstwo kierownicze oraz polecające przy wykorzystaniu uzależnienia. Prezes, który zlecił pozorny przegląd i polecił kontynuowanie handlu, jest kandydatem do sprawstwa kierowniczego. Art. 9 § 2 zawiera przy tym regułę o dużym znaczeniu praktycznym: każdy współsprawca odpowiada w granicach swej umyślności lub nieumyślności, niezależnie od odpowiedzialności pozostałych. Odpowiedzialności nie ustala się więc zbiorczo dla „zarządu” — trzeba wykazać stan świadomości każdej osoby osobno.</w:t>
      </w:r>
    </w:p>
    <w:p>
      <w:pPr>
        <w:pStyle w:val="BodyText"/>
      </w:pPr>
      <w:r>
        <w:t xml:space="preserve">Dyrektor finansowy jest w tej konstrukcji w pozycji szczególnej i to jest najciekawszy element kazusu. Zgłosił nieprawidłowości na piśmie, a więc udokumentował własną świadomość ryzyka — co przy pobieżnej analizie obciąża. W rzeczywistości działa odwrotnie: zgłoszenie jest dowodem, że nie akceptował procederu, a decyzja o kontynuowaniu należała do prezesa. Jego rozważana współpraca z organami ma zatem realną podstawę faktyczną, a nie tylko procesową.</w:t>
      </w:r>
    </w:p>
    <w:p>
      <w:pPr>
        <w:pStyle w:val="BodyText"/>
      </w:pPr>
      <w:r>
        <w:t xml:space="preserve">⬛ Kazus nie podaje podziału kompetencji w zarządzie ani tego, kto podpisywał deklaracje podatkowe. To przesądza o kręgu osób, którym można przypisać czyn.</w:t>
      </w:r>
    </w:p>
    <w:bookmarkEnd w:id="26"/>
    <w:bookmarkStart w:id="27" w:name="bank-i-faktor"/>
    <w:p>
      <w:pPr>
        <w:pStyle w:val="Heading3"/>
      </w:pPr>
      <w:r>
        <w:t xml:space="preserve">Bank i faktor</w:t>
      </w:r>
    </w:p>
    <w:p>
      <w:pPr>
        <w:pStyle w:val="FirstParagraph"/>
      </w:pPr>
      <w:r>
        <w:t xml:space="preserve">Zawiadomienie banku. Art. 74 ust. 1 nakazuje zawiadomić Generalnego Inspektora o okolicznościach mogących wskazywać na podejrzenie prania pieniędzy, a ust. 2 wymaga przekazania niezwłocznie, nie później niż w terminie dwóch dni roboczych od dnia</w:t>
      </w:r>
      <w:r>
        <w:t xml:space="preserve"> </w:t>
      </w:r>
      <w:r>
        <w:rPr>
          <w:bCs/>
          <w:b/>
        </w:rPr>
        <w:t xml:space="preserve">potwierdzenia</w:t>
      </w:r>
      <w:r>
        <w:t xml:space="preserve"> </w:t>
      </w:r>
      <w:r>
        <w:t xml:space="preserve">podejrzenia. Bank zamknął wcześniej alerty po wyjaśnieniu faktora, a zawiadomienie złożył dopiero po kontroli. Ocena jego działania sprowadza się do jednego pytania: kiedy podejrzenie zostało potwierdzone. Jeżeli wyjaśnienie faktora rozsądnie je usuwało, bieg terminu nie rozpoczął się przy pierwszych alertach; jeżeli wyjaśnienie nie odnosiło się do sygnałów, które alerty wywołały, termin biegł wcześniej i zawiadomienie jest spóźnione. ⬛ Treść wyjaśnienia faktora i treść alertów.</w:t>
      </w:r>
    </w:p>
    <w:p>
      <w:pPr>
        <w:pStyle w:val="BodyText"/>
      </w:pPr>
      <w:r>
        <w:t xml:space="preserve">Dostęp do analizy. Art. 54 ust. 1 ustanawia tajemnicę obejmującą fakt przekazania informacji oraz informacje o planowaniu i prowadzeniu analizy. Electra nie może zatem żądać od banku przedstawienia analizy ani wyjaśnienia decyzji o zamknięciu alertów — i nie jest to kwestia interesu banku, lecz ustawowego zakazu. Zarzut, że bank działał niekonsekwentnie, nie może być więc dowodzony dokumentami, do których dostęp jest zamknięty; można go dowodzić wyłącznie okolicznościami zewnętrznymi.</w:t>
      </w:r>
    </w:p>
    <w:p>
      <w:pPr>
        <w:pStyle w:val="BodyText"/>
      </w:pPr>
      <w:r>
        <w:t xml:space="preserve">Faktor. Wypowiedzenie umowy i żądanie wykupu wierzytelności to płaszczyzna kontraktowa, oceniana według umowy, a nie według reżimu AML. ⬛ Kazus nie podaje przesłanek wypowiedzenia przewidzianych w umowie — bez nich ocena jest niemożliwa, a powoływanie się na „utratę zaufania” bez podstawy umownej jest bezskuteczne.</w:t>
      </w:r>
    </w:p>
    <w:bookmarkEnd w:id="27"/>
    <w:bookmarkStart w:id="28" w:name="tajemnica-zawodowa-dowody-i-płynność"/>
    <w:p>
      <w:pPr>
        <w:pStyle w:val="Heading3"/>
      </w:pPr>
      <w:r>
        <w:t xml:space="preserve">Tajemnica zawodowa, dowody i płynność</w:t>
      </w:r>
    </w:p>
    <w:p>
      <w:pPr>
        <w:pStyle w:val="FirstParagraph"/>
      </w:pPr>
      <w:r>
        <w:t xml:space="preserve">Zabezpieczenie poczty obejmujące korespondencję z prawnikami wymaga natychmiastowej reakcji procesowej: wniosku o wyłączenie z materiału dowodowego wiadomości objętych tajemnicą obrończą i zawodową oraz o zarządzenie procedury ich wydzielenia bez zapoznawania się z treścią. Reakcja musi nastąpić przed przetworzeniem materiału, ponieważ po zapoznaniu się z treścią ochrona traci sens praktyczny nawet przy formalnym wyłączeniu.</w:t>
      </w:r>
    </w:p>
    <w:p>
      <w:pPr>
        <w:pStyle w:val="BodyText"/>
      </w:pPr>
      <w:r>
        <w:t xml:space="preserve">Automatyczne usunięcie części wiadomości jest problemem odrębnym i wymaga natychmiastowego zabezpieczenia kopii zapasowych, dzienników systemowych i polityki retencji wraz z datą jej wprowadzenia. Data jest tu faktem kluczowym: polityka wprowadzona przed pierwszymi sygnałami jest neutralna, wprowadzona lub utrzymana po nich — obciążająca.</w:t>
      </w:r>
    </w:p>
    <w:p>
      <w:pPr>
        <w:pStyle w:val="BodyText"/>
      </w:pPr>
      <w:r>
        <w:t xml:space="preserve">Płynność. Zabezpieczenie rachunków przez KAS uderza w zdolność operacyjną natychmiast, niezależnie od wyniku sprawy. Środkami są wniosek o uchylenie lub zmianę zabezpieczenia i propozycja zabezpieczenia zastępczego; równolegle należy oddzielić rachunki służące bieżącej działalności od tych, na których gromadzone są środki sporne.</w:t>
      </w:r>
    </w:p>
    <w:bookmarkEnd w:id="28"/>
    <w:bookmarkEnd w:id="29"/>
    <w:bookmarkStart w:id="30" w:name="macierz-argumentów"/>
    <w:p>
      <w:pPr>
        <w:pStyle w:val="Heading2"/>
      </w:pPr>
      <w:r>
        <w:t xml:space="preserve">Macierz argumentów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Zagadnienie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Electry i zarządu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organów i akcjonariuszy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Odliczenie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 istniał i był przemieszczany, więc lit. a nie działa; organ musi wskazać literę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Powtarzające się numery dokumentów transportowych wskazują, że część czynności nie została dokonana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Dobra wiara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Spółka zareagowała na sygnały, zlecając przegląd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Reakcja była pozorna; kontynuowanie handlu po sygnałach dowodzi co najmniej godzenia się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Reguła biznesowej oceny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Prezes działał w granicach uzasadnionego ryzyka gospodarczego (art. 483 § 3 KSH)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Przepis wymaga analiz, które „powinny być w danych okolicznościach uwzględnione”; krótki przegląd tego nie spełnia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Indywidualizacja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Odpowiedzialność jest indywidualna; dyrektor finansowy zgłosił nieprawidłowości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§ 1 KKS obejmuje sprawstwo kierownicze; zgłoszenie dowodzi wiedzy w spółce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Zamknięcie alertów, a potem zawiadomienie po kontroli, jest niekonsekwencją obciążającą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 z art. 74 ust. 2 biegnie od potwierdzenia podejrzenia, a nie od pierwszego alertu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Analiza 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analizy nie da się ocenić rzetelności banku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54 ust. 1 ustanawia tajemnicę ustawową obejmującą także prowadzenie analizy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Korespondencja z prawnikami podlega wyłączeniu przed zapoznaniem się z treścią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Automatyczne usunięcie wiadomości wymaga wyjaśnienia daty wprowadzenia polityki retencji</w:t>
            </w:r>
          </w:p>
        </w:tc>
      </w:tr>
    </w:tbl>
    <w:bookmarkEnd w:id="30"/>
    <w:bookmarkStart w:id="31" w:name="braki-faktyczne-i-dowody-rozstrzygające"/>
    <w:p>
      <w:pPr>
        <w:pStyle w:val="Heading2"/>
      </w:pPr>
      <w:r>
        <w:t xml:space="preserve">Braki faktyczne i dowody rozstrzygające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Dlaczego rozstrzyga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Dowód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 towar fizycznie istniał i był przemieszczany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Przesądza między lit. a, b i c art. 88 ust. 3a pkt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Dokumenty magazynowe, ewidencja wagowa, dane telematyczne przewoźników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i wynik „krótkiego przeglądu”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Rozstrzyga o zastosowaniu art. 483 § 3 KSH i o dobrej wierze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Zlecenie, raport, korespondencja, faktura wykonawcy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pisemnego zgłoszenia dyrektora finansowego 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Umiejscawia moment powstania wiedzy w spółce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Zgłoszenie, potwierdzenie wpływu, protokoły posiedzeń zarządu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Podział kompetencji w zarządzie i osoby podpisujące deklaracje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indywidualizacji odpowiedzialności karnej skarbowej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Regulamin zarządu, uchwały, deklaracje z podpisami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Treść alertów AML i wyjaśnienia faktora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Rozstrzyga o biegu terminu z art. 74 ust. 2 ustawy 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Materiał w dyspozycji banku, w zakresie nieobjętym art. 54 ust.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Przesłanki wypowiedzenia w umowie faktoringu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oceny skuteczności wypowiedzenia i żądania wykupu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Umowa wraz z regulaminem i aneksami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wprowadzenia polityki automatycznego usuwania wiadomości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Odróżnia neutralną retencję od zacierania śladów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 polityki, dzienniki systemowe, konfiguracja serwera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zabezpieczenia rachunków i wartość sporna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Warunek wniosku o zmianę zabezpieczenia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Postanowienie o zabezpieczeniu, decyzja wymiarowa, dane finansowe</w:t>
            </w:r>
          </w:p>
        </w:tc>
      </w:tr>
    </w:tbl>
    <w:bookmarkEnd w:id="31"/>
    <w:bookmarkStart w:id="32" w:name="proponowane-rozstrzygnięcie"/>
    <w:p>
      <w:pPr>
        <w:pStyle w:val="Heading2"/>
      </w:pPr>
      <w:r>
        <w:t xml:space="preserve">Proponowane rozstrzygnięcie</w:t>
      </w:r>
    </w:p>
    <w:p>
      <w:pPr>
        <w:pStyle w:val="FirstParagraph"/>
      </w:pPr>
      <w:r>
        <w:t xml:space="preserve">W postępowaniu podatkowym: zażądać wskazania konkretnej litery art. 88 ust. 3a pkt 4 i przypisanych jej faktur. Przy lit. a koncentrować obronę na realności dostaw; przy lit. b — na wycenie; przy lit. c — na braku zgody obu stron na pozorność, co jest przesłanką trudną do wykazania i dla organu najkosztowniejszą. Zarzut braku należytej staranności traktować jako korektę orzeczniczą, a nie jako ustawowe znamię, i wymagać od organu wskazania, w którym momencie staranność miała zawieść.</w:t>
      </w:r>
    </w:p>
    <w:p>
      <w:pPr>
        <w:pStyle w:val="BodyText"/>
      </w:pPr>
      <w:r>
        <w:t xml:space="preserve">W postępowaniu karnym skarbowym: rozdzielić sytuację prezesa i dyrektora finansowego już na etapie pierwszych czynności. Dla dyrektora finansowego podstawą jest udokumentowane zgłoszenie i brak kompetencji decyzyjnej; art. 9 § 2 KKS pozwala ocenić jego stronę podmiotową niezależnie od pozostałych.</w:t>
      </w:r>
    </w:p>
    <w:p>
      <w:pPr>
        <w:pStyle w:val="BodyText"/>
      </w:pPr>
      <w:r>
        <w:t xml:space="preserve">Wobec zarządu: roszczenie z art. 483 § 1 KSH przysługuje spółce, nie akcjonariuszom bezpośrednio. Ciężar wykazania braku winy spoczywa na członku zarządu; art. 483 § 3 nie jest tarczą, lecz miarą, i tak należy go w pozwie przedstawić.</w:t>
      </w:r>
    </w:p>
    <w:p>
      <w:pPr>
        <w:pStyle w:val="BodyText"/>
      </w:pPr>
      <w:r>
        <w:t xml:space="preserve">Wobec banku i faktora: nie żądać analizy AML, bo art. 54 ust. 1 zamyka tę drogę. Zarzut wobec banku budować na okolicznościach zewnętrznych i na terminie z art. 74 ust. 2. Spór z faktorem prowadzić wyłącznie na gruncie umowy.</w:t>
      </w:r>
    </w:p>
    <w:p>
      <w:pPr>
        <w:pStyle w:val="BodyText"/>
      </w:pPr>
      <w:r>
        <w:t xml:space="preserve">W zakresie dowodów i płynności: natychmiastowy wniosek o wydzielenie korespondencji objętej tajemnicą zawodową bez zapoznawania się z treścią; zabezpieczenie kopii zapasowych i dzienników systemowych; wniosek o zmianę zabezpieczenia rachunków z propozycją zabezpieczenia zastępczego.</w:t>
      </w:r>
    </w:p>
    <w:bookmarkEnd w:id="32"/>
    <w:bookmarkStart w:id="33" w:name="rem-gate-pl-06"/>
    <w:p>
      <w:pPr>
        <w:pStyle w:val="Heading2"/>
      </w:pPr>
      <w:r>
        <w:t xml:space="preserve">REM-GATE — PL-06</w:t>
      </w:r>
    </w:p>
    <w:p>
      <w:pPr>
        <w:pStyle w:val="FirstParagraph"/>
      </w:pPr>
      <w:r>
        <w:t xml:space="preserve">REM-0: 4 powołania, 4 próby, 4 odzyskane, 0 porażek; numery tekstów jednolitych ustalone z rejestru ELI.</w:t>
      </w:r>
    </w:p>
    <w:p>
      <w:pPr>
        <w:pStyle w:val="BodyText"/>
      </w:pPr>
      <w:r>
        <w:t xml:space="preserve">REM-1: 2 oddalone (żądanie dostępu do analizy AML; zarzut braku należytej staranności jako samodzielna ustawowa przesłanka), 2 sparowane alternatywy (dowodzenie okolicznościami zewnętrznymi i terminem z art. 74 ust. 2; wymuszenie wskazania litery art. 88 ust. 3a pkt 4).</w:t>
      </w:r>
    </w:p>
    <w:p>
      <w:pPr>
        <w:pStyle w:val="BodyText"/>
      </w:pPr>
      <w:r>
        <w:t xml:space="preserve">REM-2: 8 pozycji ⬛, 8 rozstrzygnięć warunkowych, 0 blokad.</w:t>
      </w:r>
    </w:p>
    <w:p>
      <w:pPr>
        <w:pStyle w:val="BodyText"/>
      </w:pPr>
      <w:r>
        <w:t xml:space="preserve">REM-3: brak instrumentów o niższej mocy.</w:t>
      </w:r>
    </w:p>
    <w:p>
      <w:pPr>
        <w:pStyle w:val="BodyText"/>
      </w:pPr>
      <w:r>
        <w:t xml:space="preserve">REM-4 pokrycie: rozdzielenie wymiarów, staranność, indywidualizacja, bank i faktor, dowody i płynność — PEŁNA. Odpowiedzialność podmiotów zbiorowych oraz szczegółowe przesłanki czynów z KKS (art. 56, 62, 76) — CIENKA i deklaruję to wprost: weryfikowałem art. 9 KKS, a pozostałych jednostek w tej partii nie sprawdzałem, więc ich nie powołuję.</w:t>
      </w:r>
    </w:p>
    <w:bookmarkEnd w:id="33"/>
    <w:bookmarkStart w:id="34" w:name="zweryfikowane-pozycje-źródłowe-pl-06"/>
    <w:p>
      <w:pPr>
        <w:pStyle w:val="Heading2"/>
      </w:pPr>
      <w:r>
        <w:t xml:space="preserve">Zweryfikowane pozycje źródłowe (PL-06)</w:t>
      </w:r>
    </w:p>
    <w:p>
      <w:pPr>
        <w:pStyle w:val="FirstParagraph"/>
      </w:pPr>
      <w:r>
        <w:t xml:space="preserve">Ustawa z dnia 11 marca 2004 r. o podatku od towarów i usług, t.j. Dz.U. 2025 poz. 775 — sprawdzono art. 88 ust. 3a pkt 1–5 wraz z lit. a–c przy pkt 4. ✅ [VER: api.sejm.gov.pl/eli, curl 200, RZĄD 1, 2026-09-06]</w:t>
      </w:r>
    </w:p>
    <w:p>
      <w:pPr>
        <w:pStyle w:val="BodyText"/>
      </w:pPr>
      <w:r>
        <w:t xml:space="preserve">Ustawa z dnia 10 września 1999 r. — Kodeks karny skarbowy, t.j. Dz.U. 2025 poz. 633 — sprawdzono art. 9 § 1–2. ✅ [VER: api.sejm.gov.pl/eli, curl 200, RZĄD 1, 2026-09-06]</w:t>
      </w:r>
    </w:p>
    <w:p>
      <w:pPr>
        <w:pStyle w:val="BodyText"/>
      </w:pPr>
      <w:r>
        <w:t xml:space="preserve">Ustawa z dnia 1 marca 2018 r. o przeciwdziałaniu praniu pieniędzy oraz finansowaniu terroryzmu, t.j. Dz.U. 2025 poz. 644 — sprawdzono art. 54 ust. 1–2 oraz art. 74 ust. 1–3. ✅ [VER: api.sejm.gov.pl/eli, curl 200, RZĄD 1, 2026-09-06]</w:t>
      </w:r>
    </w:p>
    <w:p>
      <w:pPr>
        <w:pStyle w:val="BodyText"/>
      </w:pPr>
      <w:r>
        <w:t xml:space="preserve">Ustawa z dnia 15 września 2000 r. — Kodeks spółek handlowych, t.j. Dz.U. 2024 poz. 18 — sprawdzono art. 483 § 1 i 3. ✅ [VER: api.sejm.gov.pl/eli, curl 200, RZĄD 1, 2026-09-06]</w:t>
      </w:r>
    </w:p>
    <w:p>
      <w:pPr>
        <w:pStyle w:val="BodyText"/>
      </w:pPr>
      <w:r>
        <w:t xml:space="preserve">Nie przypisano jednostkom redakcyjnym: konstrukcja dobrej wiary i należytej staranności w podatku od wartości dodanej; przesłanki poszczególnych czynów z Kodeksu karnego skarbowego; zakres tajemnicy obrończej przy zabezpieczeniu poczty elektronicznej; odpowiedzialność podmiotów zbiorowych. Wymagają samodzielnego potwierdzenia.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kazusów wieloaspektowych — arkusz odpowiedzi</dc:title>
  <dc:creator/>
  <cp:keywords/>
  <dcterms:created xsi:type="dcterms:W3CDTF">2026-09-07T21:16:26Z</dcterms:created>
  <dcterms:modified xsi:type="dcterms:W3CDTF">2026-09-07T21:16:26Z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Partia 13: PL-06</vt:lpwstr>
  </property>
</Properties>
</file>