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Bank</w:t>
      </w:r>
      <w:r>
        <w:t xml:space="preserve"> </w:t>
      </w:r>
      <w:r>
        <w:t xml:space="preserve">kazusów</w:t>
      </w:r>
      <w:r>
        <w:t xml:space="preserve"> </w:t>
      </w:r>
      <w:r>
        <w:t xml:space="preserve">wieloaspektowych</w:t>
      </w:r>
      <w:r>
        <w:t xml:space="preserve"> </w:t>
      </w:r>
      <w:r>
        <w:t xml:space="preserve">—</w:t>
      </w:r>
      <w:r>
        <w:t xml:space="preserve"> </w:t>
      </w:r>
      <w:r>
        <w:t xml:space="preserve">arkusz</w:t>
      </w:r>
      <w:r>
        <w:t xml:space="preserve"> </w:t>
      </w:r>
      <w:r>
        <w:t xml:space="preserve">odpowiedzi</w:t>
      </w:r>
    </w:p>
    <w:p>
      <w:pPr>
        <w:pStyle w:val="Subtitle"/>
      </w:pPr>
      <w:r>
        <w:t xml:space="preserve">Partia</w:t>
      </w:r>
      <w:r>
        <w:t xml:space="preserve"> </w:t>
      </w:r>
      <w:r>
        <w:t xml:space="preserve">6:</w:t>
      </w:r>
      <w:r>
        <w:t xml:space="preserve"> </w:t>
      </w:r>
      <w:r>
        <w:t xml:space="preserve">K-03</w:t>
      </w:r>
      <w:r>
        <w:t xml:space="preserve"> </w:t>
      </w:r>
      <w:r>
        <w:t xml:space="preserve">–</w:t>
      </w:r>
      <w:r>
        <w:t xml:space="preserve"> </w:t>
      </w:r>
      <w:r>
        <w:t xml:space="preserve">K-04</w:t>
      </w:r>
      <w:r>
        <w:t xml:space="preserve"> </w:t>
      </w:r>
      <w:r>
        <w:t xml:space="preserve">(część</w:t>
      </w:r>
      <w:r>
        <w:t xml:space="preserve"> </w:t>
      </w:r>
      <w:r>
        <w:t xml:space="preserve">międzynarodowa)</w:t>
      </w:r>
    </w:p>
    <w:bookmarkStart w:id="20" w:name="metryka-arkusza"/>
    <w:p>
      <w:pPr>
        <w:pStyle w:val="Heading1"/>
      </w:pPr>
      <w:r>
        <w:t xml:space="preserve">Metryka arkusza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Pozycja</w:t>
            </w:r>
          </w:p>
        </w:tc>
        <w:tc>
          <w:tcPr/>
          <w:p>
            <w:pPr>
              <w:pStyle w:val="Compact"/>
              <w:jc w:val="left"/>
            </w:pPr>
            <w:r>
              <w:t xml:space="preserve">Treść</w:t>
            </w:r>
          </w:p>
        </w:tc>
      </w:tr>
      <w:tr>
        <w:tc>
          <w:tcPr/>
          <w:p>
            <w:pPr>
              <w:pStyle w:val="Compact"/>
              <w:jc w:val="left"/>
            </w:pPr>
            <w:r>
              <w:t xml:space="preserve">Zakres partii</w:t>
            </w:r>
          </w:p>
        </w:tc>
        <w:tc>
          <w:tcPr/>
          <w:p>
            <w:pPr>
              <w:pStyle w:val="Compact"/>
              <w:jc w:val="left"/>
            </w:pPr>
            <w:r>
              <w:t xml:space="preserve">K-03, K-04</w:t>
            </w:r>
          </w:p>
        </w:tc>
      </w:tr>
      <w:tr>
        <w:tc>
          <w:tcPr/>
          <w:p>
            <w:pPr>
              <w:pStyle w:val="Compact"/>
              <w:jc w:val="left"/>
            </w:pPr>
            <w:r>
              <w:t xml:space="preserve">Model</w:t>
            </w:r>
          </w:p>
        </w:tc>
        <w:tc>
          <w:tcPr/>
          <w:p>
            <w:pPr>
              <w:pStyle w:val="Compact"/>
              <w:jc w:val="left"/>
            </w:pPr>
            <w:r>
              <w:t xml:space="preserve">Claude Opus 5 (Anthropic)</w:t>
            </w:r>
          </w:p>
        </w:tc>
      </w:tr>
      <w:tr>
        <w:tc>
          <w:tcPr/>
          <w:p>
            <w:pPr>
              <w:pStyle w:val="Compact"/>
              <w:jc w:val="left"/>
            </w:pPr>
            <w:r>
              <w:t xml:space="preserve">Tryb</w:t>
            </w:r>
          </w:p>
        </w:tc>
        <w:tc>
          <w:tcPr/>
          <w:p>
            <w:pPr>
              <w:pStyle w:val="Compact"/>
              <w:jc w:val="left"/>
            </w:pPr>
            <w:r>
              <w:t xml:space="preserve">Ze skillami — router prawny v3.41, ścieżka UP-5, PRIMARY DR-14; bramki MG-1, MG-2, CN-GATE, REM-GATE. Kontynuacja metody z partii 5</w:t>
            </w:r>
          </w:p>
        </w:tc>
      </w:tr>
      <w:tr>
        <w:tc>
          <w:tcPr/>
          <w:p>
            <w:pPr>
              <w:pStyle w:val="Compact"/>
              <w:jc w:val="left"/>
            </w:pPr>
            <w:r>
              <w:t xml:space="preserve">Weryfikacja źródeł</w:t>
            </w:r>
          </w:p>
        </w:tc>
        <w:tc>
          <w:tcPr/>
          <w:p>
            <w:pPr>
              <w:pStyle w:val="Compact"/>
              <w:jc w:val="left"/>
            </w:pPr>
            <w:r>
              <w:t xml:space="preserve">Depozytariusz UNTS (curl, RZĄD 1) — MPPOiP, Statut Rzymski, poprawki do art. 8 wraz z listami ratyfikacji; OHCHR (curl, RZĄD 1) — Komentarz Ogólny nr 34; icc-cpi.int (curl, RZĄD 1) — orzeczenia Izby Apelacyjnej MTK. Wykaz na końcu każdego kazusu</w:t>
            </w:r>
          </w:p>
        </w:tc>
      </w:tr>
      <w:tr>
        <w:tc>
          <w:tcPr/>
          <w:p>
            <w:pPr>
              <w:pStyle w:val="Compact"/>
              <w:jc w:val="left"/>
            </w:pPr>
            <w:r>
              <w:t xml:space="preserve">Data sporządzenia</w:t>
            </w:r>
          </w:p>
        </w:tc>
        <w:tc>
          <w:tcPr/>
          <w:p>
            <w:pPr>
              <w:pStyle w:val="Compact"/>
              <w:jc w:val="left"/>
            </w:pPr>
            <w:r>
              <w:t xml:space="preserve">6 września 2026 r.</w:t>
            </w:r>
          </w:p>
        </w:tc>
      </w:tr>
      <w:tr>
        <w:tc>
          <w:tcPr/>
          <w:p>
            <w:pPr>
              <w:pStyle w:val="Compact"/>
              <w:jc w:val="left"/>
            </w:pPr>
            <w:r>
              <w:t xml:space="preserve">Uwaga</w:t>
            </w:r>
          </w:p>
        </w:tc>
        <w:tc>
          <w:tcPr/>
          <w:p>
            <w:pPr>
              <w:pStyle w:val="Compact"/>
              <w:jc w:val="left"/>
            </w:pPr>
            <w:r>
              <w:t xml:space="preserve">Partia kontynuuje część międzynarodową; K-05–K-07 pozostają do wykonania</w:t>
            </w:r>
          </w:p>
        </w:tc>
      </w:tr>
    </w:tbl>
    <w:bookmarkEnd w:id="20"/>
    <w:bookmarkStart w:id="36" w:name="k-03-vitoria-i-graviola-przeciwko-uxi"/>
    <w:p>
      <w:pPr>
        <w:pStyle w:val="Heading1"/>
      </w:pPr>
      <w:r>
        <w:t xml:space="preserve">K-03 Vitoria i Graviola przeciwko Uxi</w:t>
      </w:r>
    </w:p>
    <w:bookmarkStart w:id="21" w:name="teza-wstępna"/>
    <w:p>
      <w:pPr>
        <w:pStyle w:val="Heading2"/>
      </w:pPr>
      <w:r>
        <w:t xml:space="preserve">Teza wstępna</w:t>
      </w:r>
    </w:p>
    <w:p>
      <w:pPr>
        <w:pStyle w:val="FirstParagraph"/>
      </w:pPr>
      <w:r>
        <w:t xml:space="preserve">Kazus wygląda na spór o wolność wypowiedzi, a rozstrzyga się na trzech ustaleniach tekstowych, z których żadnego nie da się odtworzyć z ogólnej znajomości standardu praw człowieka. Pierwsze: art. 19 ust. 3 MPPOiP dopuszcza ograniczenia wyłącznie praw „przewidzianych w ustępie 2 niniejszego artykułu”. Ustęp 1 — prawo do posiadania poglądów bez ingerencji — nie ma klauzuli limitacyjnej w ogóle, a przypisanie polubienia do jednego albo drugiego ustępu przesądza, czy w ogóle dochodzi się do testu proporcjonalności. Drugie: art. 17 ust. 1 stawia dwa niezależne testy połączone spójnikiem „arbitralna</w:t>
      </w:r>
      <w:r>
        <w:t xml:space="preserve"> </w:t>
      </w:r>
      <w:r>
        <w:rPr>
          <w:bCs/>
          <w:b/>
        </w:rPr>
        <w:t xml:space="preserve">lub</w:t>
      </w:r>
      <w:r>
        <w:t xml:space="preserve"> </w:t>
      </w:r>
      <w:r>
        <w:t xml:space="preserve">bezprawna”. Uxi ma ustawę, więc odpowiada na połowę pytania; druga połowa jest od tej ustawy niezależna i to na niej sprawa się rozstrzyga. Trzecie: art. 20 ust. 2 — podstawa, po którą sięga się odruchowo przy zarzucie podżegania — obejmuje wyłącznie nawoływanie do nienawiści narodowej, rasowej lub religijnej. Mobilizacja przeciwko systemowi rozpoznawania twarzy nie jest żadną z tych trzech.</w:t>
      </w:r>
    </w:p>
    <w:p>
      <w:pPr>
        <w:pStyle w:val="BodyText"/>
      </w:pPr>
      <w:r>
        <w:t xml:space="preserve">Ustalenie porządkujące, które zmienia wynik jednego z zagadnień: kryterium „potencjalnego zagrożenia” upada na pierwszej, a nie na trzeciej przesłance art. 19 ust. 3 — na wymogu ustawowości rozumianym jako precyzja normy i zakaz przyznania organowi nieskrępowanej swobody. Konsekwencja jest praktyczna i wygodnie ją pominąć: przy tej ścieżce nie wchodzi się w ważenie interesów, a państwo nie może uzdrowić środka wykazaniem, że zagrożenie było realne. Informacja o kontaktach Vitorii z osobami związanymi z przestępczością zorganizowaną, którą kazus podaje jako atut Uxi, nie działa w tym miejscu wcale.</w:t>
      </w:r>
    </w:p>
    <w:bookmarkEnd w:id="21"/>
    <w:bookmarkStart w:id="22" w:name="mapa-jurysdykcji-źródeł-i-kompetencji"/>
    <w:p>
      <w:pPr>
        <w:pStyle w:val="Heading2"/>
      </w:pPr>
      <w:r>
        <w:t xml:space="preserve">Mapa jurysdykcji, źródeł i kompetencji</w:t>
      </w:r>
    </w:p>
    <w:p>
      <w:pPr>
        <w:pStyle w:val="FirstParagraph"/>
      </w:pPr>
      <w:r>
        <w:t xml:space="preserve">Fora i ich zakres. Kazus nie wskazuje organu rozstrzygającego, a różnica jest przesądzająca dla kształtu pisma. Trzy możliwe konfiguracje: sąd krajowy Uxi stosujący Pakt jako prawo wewnętrzne; Komitet Praw Człowieka w trybie skargi indywidualnej, co wymaga związania Protokołem fakultatywnym oraz wyczerpania środków krajowych, a produkuje stanowisko („views”), nie wyrok; wreszcie trybunał o kompetencji ogólnej wynikającej z odrębnego tytułu. W każdej z nich inaczej wygląda kolejność zarzutów i inaczej moc rozstrzygnięcia — i trzeba to powiedzieć wprost zamiast pisać „sąd orzeknie”.</w:t>
      </w:r>
    </w:p>
    <w:p>
      <w:pPr>
        <w:pStyle w:val="BodyText"/>
      </w:pPr>
      <w:r>
        <w:t xml:space="preserve">Reżimy i ich moc wiążąca. MPPOiP wiąże państwa, które są jego stronami — status Uxi jest w kazusie nieustalony. Komentarz Ogólny nr 34 jest aktem organu traktatowego, nie orzeczeniem; jego moc jest perswazyjna i interpretacyjna, i tak trzeba go przedstawić, nie zawyżając ani nie pomijając jego treści. Europejska Konwencja Praw Człowieka i orzecznictwo strasburskie nie wiążą Uxi; sięganie po nie jest dopuszczalne jako materiał porównawczy, ale powołanie standardu strasburskiego jako podstawy rozstrzygnięcia byłoby błędem zakresu podmiotowego — tego samego rodzaju, który CN-GATE ma wychwycić.</w:t>
      </w:r>
    </w:p>
    <w:p>
      <w:pPr>
        <w:pStyle w:val="BodyText"/>
      </w:pPr>
      <w:r>
        <w:t xml:space="preserve">Cztery warstwy, których nie wolno łączyć. Legalność podstawy ustawowej, legalność konkretnego środka zastosowanego na tej podstawie, dopuszczalność dowodu uzyskanego tym środkiem oraz skutek kumulacji środków to cztery odrębne pytania z odrębnymi testami. Ustawa może być wadliwa, a pojedynczy środek mimo to uzasadniony innym tytułem; środek może być legalny, a dowód z niego niedopuszczalny; wszystkie środki mogą być z osobna obronione, a mimo to ich zestaw wykazywać cel represyjny. Zlanie tych warstw jest w tym typie sprawy błędem najczęstszym.</w:t>
      </w:r>
    </w:p>
    <w:bookmarkEnd w:id="22"/>
    <w:bookmarkStart w:id="23" w:name="bramki-weryfikacyjne-mg-1-mg-2-cn-gate"/>
    <w:p>
      <w:pPr>
        <w:pStyle w:val="Heading2"/>
      </w:pPr>
      <w:r>
        <w:t xml:space="preserve">Bramki weryfikacyjne (MG-1, MG-2, CN-GATE)</w:t>
      </w:r>
    </w:p>
    <w:p>
      <w:pPr>
        <w:pStyle w:val="FirstParagraph"/>
      </w:pPr>
      <w:r>
        <w:t xml:space="preserve">MG-1 — ratyfikacja, zakres czasowy i podmiotowy. ⬛ Kazus nie podaje, czy Uxi jest stroną MPPOiP, od kiedy Pakt ją wiąże ani czy jest stroną Protokołu fakultatywnego — trzy dane, z których pierwsza przesądza o podstawie wiążącej, a trzecia o dopuszczalności skargi indywidualnej. ⬛ Nie podaje też zastrzeżeń Uxi do art. 17, 19 i 20; zastrzeżenie modyfikuje zobowiązanie i bywa rozstrzygające przy jednym artykule, choć niewidoczne w tekście traktatu. ⬛ Nie podaje wreszcie, czy Uxi ogłosiła stan wyjątkowy i notyfikowała derogację — a art. 4 ust. 2 nie wymienia art. 17 ani art. 19 wśród praw niederogowalnych, więc droga derogacyjna jest dla Uxi formalnie otwarta i to strona skarżąca musi ją zamknąć, wykazując brak oficjalnego ogłoszenia i notyfikacji z art. 4 ust. 1 i 3. Retroakcja: ustawa bezpieczeństwa narodowego poprzedza wszystkie zdarzenia opisane w kazusie, więc problem nieretroakcji nie powstaje.</w:t>
      </w:r>
    </w:p>
    <w:p>
      <w:pPr>
        <w:pStyle w:val="BodyText"/>
      </w:pPr>
      <w:r>
        <w:t xml:space="preserve">MG-2 — wykładnia i krawędzie jednostek.</w:t>
      </w:r>
    </w:p>
    <w:p>
      <w:pPr>
        <w:pStyle w:val="BodyText"/>
      </w:pPr>
      <w:r>
        <w:t xml:space="preserve">S1 definicje: 2 trafienia. Art. 19 ust. 3 zdanie wprowadzające — ograniczenia dotyczą „praw przewidzianych w ustępie 2 niniejszego artykułu”; ustęp 1 pozostaje poza klauzulą limitacyjną w całości. Art. 20 ust. 2 — zamknięte wyliczenie trzech rodzajów nienawiści (narodowa, rasowa, religijna), bez klauzuli otwierającej. Oba trafienia rozstrzygające.</w:t>
      </w:r>
    </w:p>
    <w:p>
      <w:pPr>
        <w:pStyle w:val="BodyText"/>
      </w:pPr>
      <w:r>
        <w:t xml:space="preserve">S2 krawędzie: 2 trafienia. Art. 17 ust. 1 — spójnik rozłączny tworzy dwa niezależne testy, a ustawowość ingerencji nie odpowiada na zarzut arbitralności. Art. 13 in fine — wyjątek „chyba że ważne względy bezpieczeństwa narodowego wymagają inaczej” wyłącza gwarancję proceduralną przy wydaleniu cudzoziemca; jednostka stoi na końcu jednozdaniowego artykułu, jest łatwa do przeoczenia i jest niekorzystna dla Vitorii, więc trzeba ją podnieść samodzielnie, zanim zrobi to przeciwnik.</w:t>
      </w:r>
    </w:p>
    <w:p>
      <w:pPr>
        <w:pStyle w:val="BodyText"/>
      </w:pPr>
      <w:r>
        <w:t xml:space="preserve">S3 instrumenty powiązane: 2 trafienia. Art. 4 ust. 1–3 jako reżim zastępczy, który mógłby zmodyfikować oba testy naraz. Komentarz Ogólny nr 34 jako narzędzie wykładni art. 19 ust. 3 — z jawnym oznaczeniem, że nie jest źródłem prawa.</w:t>
      </w:r>
    </w:p>
    <w:p>
      <w:pPr>
        <w:pStyle w:val="BodyText"/>
      </w:pPr>
      <w:r>
        <w:t xml:space="preserve">S4 nowelizacje: brak trafień. MPPOiP nie był nowelizowany w zakresie art. 17, 19 ani 20; protokoły fakultatywne dotyczą skarg indywidualnych i kary śmierci, nie zmieniają treści tych artykułów.</w:t>
      </w:r>
    </w:p>
    <w:p>
      <w:pPr>
        <w:pStyle w:val="BodyText"/>
      </w:pPr>
      <w:r>
        <w:t xml:space="preserve">CN-GATE — norma centralna per oś sporu.</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Oś sporu</w:t>
            </w:r>
          </w:p>
        </w:tc>
        <w:tc>
          <w:tcPr/>
          <w:p>
            <w:pPr>
              <w:pStyle w:val="Compact"/>
              <w:jc w:val="left"/>
            </w:pPr>
            <w:r>
              <w:t xml:space="preserve">Norma centralna</w:t>
            </w:r>
          </w:p>
        </w:tc>
        <w:tc>
          <w:tcPr/>
          <w:p>
            <w:pPr>
              <w:pStyle w:val="Compact"/>
              <w:jc w:val="left"/>
            </w:pPr>
            <w:r>
              <w:t xml:space="preserve">CN-1 czas</w:t>
            </w:r>
          </w:p>
        </w:tc>
        <w:tc>
          <w:tcPr/>
          <w:p>
            <w:pPr>
              <w:pStyle w:val="Compact"/>
              <w:jc w:val="left"/>
            </w:pPr>
            <w:r>
              <w:t xml:space="preserve">CN-2 podmiot</w:t>
            </w:r>
          </w:p>
        </w:tc>
        <w:tc>
          <w:tcPr/>
          <w:p>
            <w:pPr>
              <w:pStyle w:val="Compact"/>
              <w:jc w:val="left"/>
            </w:pPr>
            <w:r>
              <w:t xml:space="preserve">CN-3 przedmiot</w:t>
            </w:r>
          </w:p>
        </w:tc>
      </w:tr>
      <w:tr>
        <w:tc>
          <w:tcPr/>
          <w:p>
            <w:pPr>
              <w:pStyle w:val="Compact"/>
              <w:jc w:val="left"/>
            </w:pPr>
            <w:r>
              <w:t xml:space="preserve">Kryterium „potencjalnego zagrożenia”</w:t>
            </w:r>
          </w:p>
        </w:tc>
        <w:tc>
          <w:tcPr/>
          <w:p>
            <w:pPr>
              <w:pStyle w:val="Compact"/>
              <w:jc w:val="left"/>
            </w:pPr>
            <w:r>
              <w:t xml:space="preserve">art. 19 ust. 3 zdanie wprowadzające</w:t>
            </w:r>
          </w:p>
        </w:tc>
        <w:tc>
          <w:tcPr/>
          <w:p>
            <w:pPr>
              <w:pStyle w:val="Compact"/>
              <w:jc w:val="left"/>
            </w:pPr>
            <w:r>
              <w:t xml:space="preserve">TAK</w:t>
            </w:r>
          </w:p>
        </w:tc>
        <w:tc>
          <w:tcPr/>
          <w:p>
            <w:pPr>
              <w:pStyle w:val="Compact"/>
              <w:jc w:val="left"/>
            </w:pPr>
            <w:r>
              <w:t xml:space="preserve">⬛ status Uxi jako strony Paktu</w:t>
            </w:r>
          </w:p>
        </w:tc>
        <w:tc>
          <w:tcPr/>
          <w:p>
            <w:pPr>
              <w:pStyle w:val="Compact"/>
              <w:jc w:val="left"/>
            </w:pPr>
            <w:r>
              <w:t xml:space="preserve">TAK</w:t>
            </w:r>
          </w:p>
        </w:tc>
      </w:tr>
      <w:tr>
        <w:tc>
          <w:tcPr/>
          <w:p>
            <w:pPr>
              <w:pStyle w:val="Compact"/>
              <w:jc w:val="left"/>
            </w:pPr>
            <w:r>
              <w:t xml:space="preserve">Przeszukanie i kopiowanie danych na granicy</w:t>
            </w:r>
          </w:p>
        </w:tc>
        <w:tc>
          <w:tcPr/>
          <w:p>
            <w:pPr>
              <w:pStyle w:val="Compact"/>
              <w:jc w:val="left"/>
            </w:pPr>
            <w:r>
              <w:t xml:space="preserve">art. 17 ust. 1</w:t>
            </w:r>
          </w:p>
        </w:tc>
        <w:tc>
          <w:tcPr/>
          <w:p>
            <w:pPr>
              <w:pStyle w:val="Compact"/>
              <w:jc w:val="left"/>
            </w:pPr>
            <w:r>
              <w:t xml:space="preserve">TAK</w:t>
            </w:r>
          </w:p>
        </w:tc>
        <w:tc>
          <w:tcPr/>
          <w:p>
            <w:pPr>
              <w:pStyle w:val="Compact"/>
              <w:jc w:val="left"/>
            </w:pPr>
            <w:r>
              <w:t xml:space="preserve">TAK</w:t>
            </w:r>
          </w:p>
        </w:tc>
        <w:tc>
          <w:tcPr/>
          <w:p>
            <w:pPr>
              <w:pStyle w:val="Compact"/>
              <w:jc w:val="left"/>
            </w:pPr>
            <w:r>
              <w:t xml:space="preserve">TAK — oba człony testu</w:t>
            </w:r>
          </w:p>
        </w:tc>
      </w:tr>
      <w:tr>
        <w:tc>
          <w:tcPr/>
          <w:p>
            <w:pPr>
              <w:pStyle w:val="Compact"/>
              <w:jc w:val="left"/>
            </w:pPr>
            <w:r>
              <w:t xml:space="preserve">Zdalna infekcja urządzenia dziennikarki</w:t>
            </w:r>
          </w:p>
        </w:tc>
        <w:tc>
          <w:tcPr/>
          <w:p>
            <w:pPr>
              <w:pStyle w:val="Compact"/>
              <w:jc w:val="left"/>
            </w:pPr>
            <w:r>
              <w:t xml:space="preserve">art. 19 ust. 2</w:t>
            </w:r>
          </w:p>
        </w:tc>
        <w:tc>
          <w:tcPr/>
          <w:p>
            <w:pPr>
              <w:pStyle w:val="Compact"/>
              <w:jc w:val="left"/>
            </w:pPr>
            <w:r>
              <w:t xml:space="preserve">TAK</w:t>
            </w:r>
          </w:p>
        </w:tc>
        <w:tc>
          <w:tcPr/>
          <w:p>
            <w:pPr>
              <w:pStyle w:val="Compact"/>
              <w:jc w:val="left"/>
            </w:pPr>
            <w:r>
              <w:t xml:space="preserve">TAK</w:t>
            </w:r>
          </w:p>
        </w:tc>
        <w:tc>
          <w:tcPr/>
          <w:p>
            <w:pPr>
              <w:pStyle w:val="Compact"/>
              <w:jc w:val="left"/>
            </w:pPr>
            <w:r>
              <w:t xml:space="preserve">TAK — pozyskanie materiału i źródeł godzi w „poszukiwanie, otrzymywanie i rozpowszechnianie”</w:t>
            </w:r>
          </w:p>
        </w:tc>
      </w:tr>
      <w:tr>
        <w:tc>
          <w:tcPr/>
          <w:p>
            <w:pPr>
              <w:pStyle w:val="Compact"/>
              <w:jc w:val="left"/>
            </w:pPr>
            <w:r>
              <w:t xml:space="preserve">Polubienie komentarza jako podżeganie</w:t>
            </w:r>
          </w:p>
        </w:tc>
        <w:tc>
          <w:tcPr/>
          <w:p>
            <w:pPr>
              <w:pStyle w:val="Compact"/>
              <w:jc w:val="left"/>
            </w:pPr>
            <w:r>
              <w:t xml:space="preserve">art. 20 ust. 2</w:t>
            </w:r>
          </w:p>
        </w:tc>
        <w:tc>
          <w:tcPr/>
          <w:p>
            <w:pPr>
              <w:pStyle w:val="Compact"/>
              <w:jc w:val="left"/>
            </w:pPr>
            <w:r>
              <w:t xml:space="preserve">TAK</w:t>
            </w:r>
          </w:p>
        </w:tc>
        <w:tc>
          <w:tcPr/>
          <w:p>
            <w:pPr>
              <w:pStyle w:val="Compact"/>
              <w:jc w:val="left"/>
            </w:pPr>
            <w:r>
              <w:t xml:space="preserve">TAK</w:t>
            </w:r>
          </w:p>
        </w:tc>
        <w:tc>
          <w:tcPr/>
          <w:p>
            <w:pPr>
              <w:pStyle w:val="Compact"/>
              <w:jc w:val="left"/>
            </w:pPr>
            <w:r>
              <w:t xml:space="preserve">NIE — brak nienawiści narodowej, rasowej lub religijnej</w:t>
            </w:r>
          </w:p>
        </w:tc>
      </w:tr>
      <w:tr>
        <w:tc>
          <w:tcPr/>
          <w:p>
            <w:pPr>
              <w:pStyle w:val="Compact"/>
              <w:jc w:val="left"/>
            </w:pPr>
            <w:r>
              <w:t xml:space="preserve">Blokada publikacji</w:t>
            </w:r>
          </w:p>
        </w:tc>
        <w:tc>
          <w:tcPr/>
          <w:p>
            <w:pPr>
              <w:pStyle w:val="Compact"/>
              <w:jc w:val="left"/>
            </w:pPr>
            <w:r>
              <w:t xml:space="preserve">art. 19 ust. 3 lit. b</w:t>
            </w:r>
          </w:p>
        </w:tc>
        <w:tc>
          <w:tcPr/>
          <w:p>
            <w:pPr>
              <w:pStyle w:val="Compact"/>
              <w:jc w:val="left"/>
            </w:pPr>
            <w:r>
              <w:t xml:space="preserve">TAK</w:t>
            </w:r>
          </w:p>
        </w:tc>
        <w:tc>
          <w:tcPr/>
          <w:p>
            <w:pPr>
              <w:pStyle w:val="Compact"/>
              <w:jc w:val="left"/>
            </w:pPr>
            <w:r>
              <w:t xml:space="preserve">TAK</w:t>
            </w:r>
          </w:p>
        </w:tc>
        <w:tc>
          <w:tcPr/>
          <w:p>
            <w:pPr>
              <w:pStyle w:val="Compact"/>
              <w:jc w:val="left"/>
            </w:pPr>
            <w:r>
              <w:t xml:space="preserve">TAK</w:t>
            </w:r>
          </w:p>
        </w:tc>
      </w:tr>
      <w:tr>
        <w:tc>
          <w:tcPr/>
          <w:p>
            <w:pPr>
              <w:pStyle w:val="Compact"/>
              <w:jc w:val="left"/>
            </w:pPr>
            <w:r>
              <w:t xml:space="preserve">Cofnięcie pobytu</w:t>
            </w:r>
          </w:p>
        </w:tc>
        <w:tc>
          <w:tcPr/>
          <w:p>
            <w:pPr>
              <w:pStyle w:val="Compact"/>
              <w:jc w:val="left"/>
            </w:pPr>
            <w:r>
              <w:t xml:space="preserve">art. 13</w:t>
            </w:r>
          </w:p>
        </w:tc>
        <w:tc>
          <w:tcPr/>
          <w:p>
            <w:pPr>
              <w:pStyle w:val="Compact"/>
              <w:jc w:val="left"/>
            </w:pPr>
            <w:r>
              <w:t xml:space="preserve">TAK</w:t>
            </w:r>
          </w:p>
        </w:tc>
        <w:tc>
          <w:tcPr/>
          <w:p>
            <w:pPr>
              <w:pStyle w:val="Compact"/>
              <w:jc w:val="left"/>
            </w:pPr>
            <w:r>
              <w:t xml:space="preserve">TAK — cudzoziemka legalnie przebywająca</w:t>
            </w:r>
          </w:p>
        </w:tc>
        <w:tc>
          <w:tcPr/>
          <w:p>
            <w:pPr>
              <w:pStyle w:val="Compact"/>
              <w:jc w:val="left"/>
            </w:pPr>
            <w:r>
              <w:t xml:space="preserve">TAK, z wyjątkiem in fine</w:t>
            </w:r>
          </w:p>
        </w:tc>
      </w:tr>
      <w:tr>
        <w:tc>
          <w:tcPr/>
          <w:p>
            <w:pPr>
              <w:pStyle w:val="Compact"/>
              <w:jc w:val="left"/>
            </w:pPr>
            <w:r>
              <w:t xml:space="preserve">Rozwiązanie stosunku pracy przez uczelnię publiczną</w:t>
            </w:r>
          </w:p>
        </w:tc>
        <w:tc>
          <w:tcPr/>
          <w:p>
            <w:pPr>
              <w:pStyle w:val="Compact"/>
              <w:jc w:val="left"/>
            </w:pPr>
            <w:r>
              <w:t xml:space="preserve">art. 19 ust. 2</w:t>
            </w:r>
          </w:p>
        </w:tc>
        <w:tc>
          <w:tcPr/>
          <w:p>
            <w:pPr>
              <w:pStyle w:val="Compact"/>
              <w:jc w:val="left"/>
            </w:pPr>
            <w:r>
              <w:t xml:space="preserve">TAK</w:t>
            </w:r>
          </w:p>
        </w:tc>
        <w:tc>
          <w:tcPr/>
          <w:p>
            <w:pPr>
              <w:pStyle w:val="Compact"/>
              <w:jc w:val="left"/>
            </w:pPr>
            <w:r>
              <w:t xml:space="preserve">TAK — uczelnia publiczna jest władzą publiczną</w:t>
            </w:r>
          </w:p>
        </w:tc>
        <w:tc>
          <w:tcPr/>
          <w:p>
            <w:pPr>
              <w:pStyle w:val="Compact"/>
              <w:jc w:val="left"/>
            </w:pPr>
            <w:r>
              <w:t xml:space="preserve">⬛ zależy od podanej przyczyny</w:t>
            </w:r>
          </w:p>
        </w:tc>
      </w:tr>
    </w:tbl>
    <w:p>
      <w:pPr>
        <w:pStyle w:val="BodyText"/>
      </w:pPr>
      <w:r>
        <w:t xml:space="preserve">Jeden wynik „NIE” jest rozstrzygający i przenosi oś polubienia na normę zastępczą, którą jest art. 19 ust. 3 lit. b. Trzy ⬛ przechodzą do REM-GATE jako rozstrzygnięcia warunkowe.</w:t>
      </w:r>
    </w:p>
    <w:bookmarkEnd w:id="23"/>
    <w:bookmarkStart w:id="30" w:name="analiza-materialna-według-zagadnień"/>
    <w:p>
      <w:pPr>
        <w:pStyle w:val="Heading2"/>
      </w:pPr>
      <w:r>
        <w:t xml:space="preserve">Analiza materialna według zagadnień</w:t>
      </w:r>
    </w:p>
    <w:bookmarkStart w:id="24" w:name="X5add6b51488213adff903b7eb88e98c244938b8"/>
    <w:p>
      <w:pPr>
        <w:pStyle w:val="Heading3"/>
      </w:pPr>
      <w:r>
        <w:t xml:space="preserve">Zagadnienie 1: przewidywalność kryterium „potencjalnego zagrożenia”</w:t>
      </w:r>
    </w:p>
    <w:p>
      <w:pPr>
        <w:pStyle w:val="FirstParagraph"/>
      </w:pPr>
      <w:r>
        <w:t xml:space="preserve">Art. 19 ust. 3 stawia trzy przesłanki łącznie: ograniczenie musi być przewidziane przez ustawę, służyć jednemu z celów z zamkniętej listy i być konieczne. Kolejność nie jest dekoracyjna — niespełnienie pierwszej kończy badanie.</w:t>
      </w:r>
    </w:p>
    <w:p>
      <w:pPr>
        <w:pStyle w:val="BodyText"/>
      </w:pPr>
      <w:r>
        <w:t xml:space="preserve">Komentarz Ogólny nr 34 wypełnia pojęcie ustawy dwoma wymaganiami. Norma musi być sformułowana z dostateczną precyzją, aby jednostka mogła odpowiednio pokierować swoim postępowaniem, i musi być publicznie dostępna; nie może przyznawać nieskrępowanej swobody w ograniczaniu wolności wypowiedzi tym, którzy ją stosują (pkt 25). Uzupełniająco pkt 24 wskazuje, że pojęcie ustawy obejmuje także pewne kategorie norm nieuchwalonych w trybie ustawodawczym, ale nie obejmuje prawa zwyczajowego ani religijnego.</w:t>
      </w:r>
    </w:p>
    <w:p>
      <w:pPr>
        <w:pStyle w:val="BodyText"/>
      </w:pPr>
      <w:r>
        <w:t xml:space="preserve">Kryterium „osoby uznanej za potencjalne zagrożenie” zawodzi na obu członach. Nie opisuje zachowania jednostki, lecz stan oceny po stronie organu — jednostka nie może pokierować swoim postępowaniem tak, by przestać być uznawana za potencjalne zagrożenie, bo kryterium nie wskazuje, co miałaby zmienić. I nie zawiera żadnego progu, katalogu przesłanek ani wymogu uzasadnienia, więc pozostawia stosującemu swobodę, której pkt 25 zakazuje wprost.</w:t>
      </w:r>
    </w:p>
    <w:p>
      <w:pPr>
        <w:pStyle w:val="BodyText"/>
      </w:pPr>
      <w:r>
        <w:t xml:space="preserve">Trzeba jednak postawić sprawę uczciwie w dwóch punktach. Po pierwsze, precyzji nie ocenia się wyłącznie po brzmieniu przepisu — może ją nadać utrwalona wykładnia albo akt wykonawczy. Kazus o tym milczy, więc jest to brak faktyczny o znaczeniu przesądzającym. Rozstrzygnięcie musi być warunkowe: jeżeli istnieje wiążąca wykładnia zawężająca pojęcie do określonych kategorii zachowań, badanie przenosi się na konieczność; jeżeli nie istnieje, sprawa kończy się na ustawowości i państwo nie ma czym jej uzdrowić. Po drugie, wada normy nie unieważnia automatycznie wszystkich środków wobec Vitorii — środek oparty na innej, poprawnie sformułowanej podstawie (na przykład na przepisach o postępowaniu karnym w sprawie kontaktów z przestępczością zorganizowaną) pozostaje do oceny osobno. Argument z niekonstytucyjności kryterium jest mocny, ale nie tak szeroki, jak wygląda.</w:t>
      </w:r>
    </w:p>
    <w:bookmarkEnd w:id="24"/>
    <w:bookmarkStart w:id="25" w:name="X7351414cb6a7006ebf6e35a26d2cc6a32fc4b07"/>
    <w:p>
      <w:pPr>
        <w:pStyle w:val="Heading3"/>
      </w:pPr>
      <w:r>
        <w:t xml:space="preserve">Zagadnienie 2: przeszukanie urządzeń na granicy i zdalna ingerencja w urządzenie dziennikarki</w:t>
      </w:r>
    </w:p>
    <w:p>
      <w:pPr>
        <w:pStyle w:val="FirstParagraph"/>
      </w:pPr>
      <w:r>
        <w:t xml:space="preserve">To są dwa różne zdarzenia i wymagają dwóch różnych analiz; łączenie ich w jeden zarzut „nadzoru” osłabia oba.</w:t>
      </w:r>
    </w:p>
    <w:p>
      <w:pPr>
        <w:pStyle w:val="BodyText"/>
      </w:pPr>
      <w:r>
        <w:t xml:space="preserve">Granica. Art. 17 ust. 1 zakazuje ingerencji arbitralnej</w:t>
      </w:r>
      <w:r>
        <w:t xml:space="preserve"> </w:t>
      </w:r>
      <w:r>
        <w:rPr>
          <w:bCs/>
          <w:b/>
        </w:rPr>
        <w:t xml:space="preserve">lub</w:t>
      </w:r>
      <w:r>
        <w:t xml:space="preserve"> </w:t>
      </w:r>
      <w:r>
        <w:t xml:space="preserve">bezprawnej. Uxi ma podstawę ustawową, więc człon bezprawności prawdopodobnie odpada — i właśnie dlatego cały spór przenosi się na arbitralność, która jest testem samodzielnym i nie da się jej zaspokoić powołaniem tej samej ustawy. Rozstrzygające jest rozróżnienie, którego kazus dokonuje precyzyjnie: urządzenia „przeszukano” i dane „skopiowano”. Oględziny na granicy i wykonanie trwałej kopii całej zawartości urządzenia to dwie różne ingerencje o nieporównywalnej głębokości. Kopia obejmuje korespondencję z osobami trzecimi, które nie są niczego podejrzane — tu konkretnie z dziennikarką i, pośrednio, z jej anonimowym źródłem — i istnieje po zakończeniu kontroli, bez wskazanego celu, terminu retencji ani obowiązku powiadomienia. Cechami arbitralności są tu: brak uprzedniego zezwolenia niezależnego organu, brak ograniczenia zakresu do danych związanych z powodem kontroli i brak reżimu usunięcia. Każdą z nich trzeba wykazać osobno, bo każda z osobna wystarcza.</w:t>
      </w:r>
    </w:p>
    <w:p>
      <w:pPr>
        <w:pStyle w:val="BodyText"/>
      </w:pPr>
      <w:r>
        <w:t xml:space="preserve">Urządzenie dziennikarki. Zdalna infekcja narzędziem nadzoru jest inną klasą zdarzenia i błędem byłoby rozpoznanie jej wyłącznie na art. 17. Graviola nie jest podejrzana, a jej urządzenie zawiera materiał objęty gwarancją ochrony źródeł. Istota naruszenia leży w tym, że operacja techniczna pozyskuje to, czego nakaz ujawnienia nigdy by nie uzyskał — omija całą procedurę, w której dziennikarka mogłaby się bronić. Dlatego oś centralna to art. 19 ust. 2: ingerencja godzi w wolność poszukiwania i otrzymywania informacji, a nie tylko w prywatność. Komentarz Ogólny nr 34 pkt 45 in fine nakazuje państwom uznawać i szanować ten element wolności wypowiedzi, który obejmuje ograniczony przywilej dziennikarski nieujawniania źródeł informacji. Słowo „ograniczony” jest w tym zdaniu i trzeba je przytoczyć — przywilej nie jest absolutny, a udawanie, że jest, kosztuje wiarygodność całego wywodu.</w:t>
      </w:r>
    </w:p>
    <w:p>
      <w:pPr>
        <w:pStyle w:val="BodyText"/>
      </w:pPr>
      <w:r>
        <w:t xml:space="preserve">⬛ Kazus stwierdza, że nie ustalono, czy wszystkie dane uzyskano legalnie. Rozstrzygnięcie warunkowe: jeżeli część danych pozyskano poza podstawą ustawową, powstaje drugie, niezależne naruszenie w członie bezprawności art. 17 ust. 1, a ich wykorzystanie w postępowaniu pobytowym i w postępowaniu o zakaz publikacji podlega osobnej ocenie na art. 14 ust. 1 jako naruszenie rzetelności postępowania w sprawie cywilnej. Jeżeli wszystkie dane mieszczą się w podstawie ustawowej, zarzut pozostaje wyłącznie zarzutem arbitralności — nadal wystarczającym, ale węższym co do skutku.</w:t>
      </w:r>
    </w:p>
    <w:bookmarkEnd w:id="25"/>
    <w:bookmarkStart w:id="26" w:name="X45a593e5f530e5fc4c5192c02fd6638a2d8b360"/>
    <w:p>
      <w:pPr>
        <w:pStyle w:val="Heading3"/>
      </w:pPr>
      <w:r>
        <w:t xml:space="preserve">Zagadnienie 3: gwarancje dla źródeł i materiału nieopublikowanego</w:t>
      </w:r>
    </w:p>
    <w:p>
      <w:pPr>
        <w:pStyle w:val="FirstParagraph"/>
      </w:pPr>
      <w:r>
        <w:t xml:space="preserve">Ponieważ przywilej jest ograniczony, zarzut trzeba zbudować nie na jego nienaruszalności, lecz na warunkach, pod którymi wolno go przełamać. Konstrukcja pięcioelementowa, którą da się wyprowadzić z testu art. 19 ust. 3 zastosowanego do tej sytuacji: uprzednie zezwolenie organu niezależnego od służby prowadzącej sprawę; nadrzędny wymóg interesu publicznego wykazany indywidualnie, nie kategorialnie; ścisłe ukierunkowanie na określony materiał zamiast pozyskania całości; realna możliwość zajęcia stanowiska przed nieodwracalnym pozyskaniem; mechanizm wydzielenia i zniszczenia materiału wykraczającego poza zezwolenie.</w:t>
      </w:r>
    </w:p>
    <w:p>
      <w:pPr>
        <w:pStyle w:val="BodyText"/>
      </w:pPr>
      <w:r>
        <w:t xml:space="preserve">Operacja niejawna nie spełnia żadnego z tych warunków, ale jeden z nich zawodzi w sposób definicyjny, nie faktyczny: niejawność i możliwość zajęcia stanowiska wykluczają się wzajemnie. Konsekwencja jest ostrzejsza, niż wygląda — niejawne pozyskanie wymaga uzasadnienia</w:t>
      </w:r>
      <w:r>
        <w:t xml:space="preserve"> </w:t>
      </w:r>
      <w:r>
        <w:rPr>
          <w:bCs/>
          <w:b/>
        </w:rPr>
        <w:t xml:space="preserve">mocniejszego</w:t>
      </w:r>
      <w:r>
        <w:t xml:space="preserve"> </w:t>
      </w:r>
      <w:r>
        <w:t xml:space="preserve">niż nakaz jawny, a nie równoważnego, i nie da się go naprawić następczą kontrolą sądową, bo materiał jest już poznany. Ten argument ma charakter konstrukcyjny, nie tekstowy, i tak należy go oznaczyć.</w:t>
      </w:r>
    </w:p>
    <w:p>
      <w:pPr>
        <w:pStyle w:val="BodyText"/>
      </w:pPr>
      <w:r>
        <w:t xml:space="preserve">Materiał nieopublikowany. Komentarz Ogólny nr 34 pkt 43 stwierdza, że ograniczenia działania stron internetowych i innych elektronicznych systemów rozpowszechniania informacji są dopuszczalne tylko w zakresie zgodnym z ustępem 3, że dopuszczalne ograniczenia powinny zasadniczo odnosić się do konkretnej treści, a ogólne zakazy działania określonych stron i systemów są niezgodne z ustępem 3. Punkt 44 dodaje, że dziennikarstwo jest funkcją dzieloną przez szeroki krąg podmiotów, w tym blogerów i osoby publikujące samodzielnie — co przesądza, że prowadząca portal Graviola korzysta z pełnego standardu bez względu na formę rejestracji.</w:t>
      </w:r>
    </w:p>
    <w:bookmarkEnd w:id="26"/>
    <w:bookmarkStart w:id="27" w:name="zagadnienie-4-polubienie-komentarza"/>
    <w:p>
      <w:pPr>
        <w:pStyle w:val="Heading3"/>
      </w:pPr>
      <w:r>
        <w:t xml:space="preserve">Zagadnienie 4: polubienie komentarza</w:t>
      </w:r>
    </w:p>
    <w:p>
      <w:pPr>
        <w:pStyle w:val="FirstParagraph"/>
      </w:pPr>
      <w:r>
        <w:t xml:space="preserve">Państwo ma tu dwie drogi i pierwsza jest zamknięta na zakresie. Art. 20 ust. 2 nakazuje zakazać nawoływania do nienawiści narodowej, rasowej lub religijnej stanowiącego podżeganie do dyskryminacji, wrogości lub gwałtu. Wyliczenie jest zamknięte i nie zawiera klauzuli otwierającej. Wezwanie do mobilizacji przeciwko systemowi rozpoznawania twarzy nie mieści się w żadnej z trzech kategorii — nie dlatego, że jest łagodne, lecz dlatego, że dotyczy technologii państwowej, a nie grupy narodowej, rasowej ani religijnej. Zarzut oparty na art. 20 upada na zakresie przedmiotowym, i to niezależnie od tego, jak ostry był komentarz.</w:t>
      </w:r>
    </w:p>
    <w:p>
      <w:pPr>
        <w:pStyle w:val="BodyText"/>
      </w:pPr>
      <w:r>
        <w:t xml:space="preserve">Zamiast zostawić oś bez rozstrzygnięcia, przenosi się ją na art. 19 ust. 3. Tu trzeba najpierw rozstrzygnąć pytanie, którego łatwo nie zauważyć: czy polubienie mieści się w ustępie 1, czy w ustępie 2. Ustęp 1 chroni posiadanie poglądów bez ingerencji i nie ma klauzuli limitacyjnej — ustęp 3 odnosi się wyraźnie tylko do praw z ustępu 2. Jeżeli polubienie jest uzewnętrznieniem posiadanego poglądu bez elementu rozpowszechniania, ograniczenie jest niedopuszczalne bez żadnego testu. Najmocniejszy argument Uxi leży dokładnie w tym miejscu i trzeba go postawić w pełnej sile: na platformie polubienie propaguje treść wśród innych użytkowników i podnosi jej zasięg, a więc jest formą rozpowszechniania z ustępu 2. Argument jest dobry, ale zależy od faktu, którego kazus nie podaje — od tego, jak działa ta konkretna funkcja na tej konkretnej platformie.</w:t>
      </w:r>
    </w:p>
    <w:p>
      <w:pPr>
        <w:pStyle w:val="BodyText"/>
      </w:pPr>
      <w:r>
        <w:t xml:space="preserve">Nawet po przyjęciu wersji korzystnej dla państwa zarzut upada na konieczności. Komentarz Ogólny nr 34 pkt 35 wymaga od państwa wykazania w sposób konkretny i zindywidualizowany dokładnego charakteru zagrożenia oraz konieczności i proporcjonalności podjętego działania, w szczególności przez ustalenie bezpośredniego i natychmiastowego związku między wypowiedzią a zagrożeniem. Polubienie cudzego komentarza nie zawiera własnej treści, nie jest skierowane do adresata i ma znaczenie wieloznaczne. Przypisanie osobie polubiającej treści komentarza wymaga ustalenia faktycznego o znaczeniu tego gestu w danym środowisku — a bez niego przypisanie jest domniemaniem, nie dowodem. Punkt 46, dotyczący czynów typu „pochwalanie” i „usprawiedliwianie” terroryzmu, opisuje tę samą konstrukcję i wymaga jej wyraźnego zdefiniowania, żeby nie prowadziła do nieproporcjonalnej ingerencji.</w:t>
      </w:r>
    </w:p>
    <w:bookmarkEnd w:id="27"/>
    <w:bookmarkStart w:id="28" w:name="zagadnienie-5-blokada-publikacji"/>
    <w:p>
      <w:pPr>
        <w:pStyle w:val="Heading3"/>
      </w:pPr>
      <w:r>
        <w:t xml:space="preserve">Zagadnienie 5: blokada publikacji</w:t>
      </w:r>
    </w:p>
    <w:p>
      <w:pPr>
        <w:pStyle w:val="FirstParagraph"/>
      </w:pPr>
      <w:r>
        <w:t xml:space="preserve">Uprzedni zakaz publikacji jest środkiem o najwyższym ciężarze uzasadnienia, ale nie jest zakazany. Test przebiega w trzech krokach i kazus dostarcza materiału do dwóch z nich.</w:t>
      </w:r>
    </w:p>
    <w:p>
      <w:pPr>
        <w:pStyle w:val="BodyText"/>
      </w:pPr>
      <w:r>
        <w:t xml:space="preserve">Cel. Ochrona bezpieczeństwa narodowego jest celem z listy w art. 19 ust. 3 lit. b. Komentarz Ogólny nr 34 pkt 30 nakazuje jednak zachowanie szczególnej ostrożności przy przepisach o tajemnicy państwowej i stwierdza, że powoływanie takich przepisów w celu zatajenia przed opinią publiczną informacji o uzasadnionym interesie publicznym, która nie szkodzi bezpieczeństwu narodowemu, albo w celu ścigania dziennikarzy, badaczy, obrońców praw człowieka i innych osób za rozpowszechnianie takich informacji, nie jest zgodne z ustępem 3. Przedmiotem materiału jest niejawny system identyfikacji migrantów — a więc sposób przetwarzania przez państwo danych grupy szczególnie narażonej. Sama klauzula niejawności nie dowodzi szkody; to państwo musi ją wykazać.</w:t>
      </w:r>
    </w:p>
    <w:p>
      <w:pPr>
        <w:pStyle w:val="BodyText"/>
      </w:pPr>
      <w:r>
        <w:t xml:space="preserve">Środek najmniej dolegliwy. Punkt 34 przenosi na grunt art. 19 zasadę proporcjonalności w brzmieniu z Komentarza Ogólnego nr 27: środki ograniczające muszą być odpowiednie do realizacji funkcji ochronnej, muszą być najmniej ingerującym instrumentem spośród tych, które tę funkcję zrealizują, i muszą być proporcjonalne do chronionego interesu; zasada wiąże nie tylko ustawodawcę, lecz także organy administracyjne i sądowe stosujące prawo. Zakaz objął całą planowaną publikację. Środkiem mniej dolegliwym jest zakaz obejmujący zidentyfikowane fragmenty, po zapoznaniu się sądu z materiałem.</w:t>
      </w:r>
    </w:p>
    <w:p>
      <w:pPr>
        <w:pStyle w:val="BodyText"/>
      </w:pPr>
      <w:r>
        <w:t xml:space="preserve">⬛ Kazus nie podaje, czy sąd zapoznał się z materiałem i czy rozważył redakcję. Rozstrzygnięcie warunkowe: jeżeli zakaz wydano po indywidualnej ocenie i obejmuje wyłącznie materiał, którego ujawnienie wyrządziłoby wykazaną szkodę, a redakcja nie usuwała ryzyka rekonstrukcji — środek się broni mimo swojego ciężaru. Jeżeli wydano go na podstawie samego oświadczenia, że materiał zawiera informacje niejawne, bez badania treści — naruszenie art. 19 ust. 3, a właściwym środkiem jest uchylenie i przekazanie do oceny fragment po fragmencie, nie zniesienie zakazu w całości. Symetria jest tu ważna: uchylenie hurtem byłoby lustrzanym odbiciem błędu zarzucanego państwu.</w:t>
      </w:r>
    </w:p>
    <w:bookmarkEnd w:id="28"/>
    <w:bookmarkStart w:id="29" w:name="zagadnienie-6-kumulacja-sankcji"/>
    <w:p>
      <w:pPr>
        <w:pStyle w:val="Heading3"/>
      </w:pPr>
      <w:r>
        <w:t xml:space="preserve">Zagadnienie 6: kumulacja sankcji</w:t>
      </w:r>
    </w:p>
    <w:p>
      <w:pPr>
        <w:pStyle w:val="FirstParagraph"/>
      </w:pPr>
      <w:r>
        <w:t xml:space="preserve">Reguła porządkująca brzmi ostro w obie strony. Każde ograniczenie musi spełniać test z art. 19 ust. 3</w:t>
      </w:r>
      <w:r>
        <w:t xml:space="preserve"> </w:t>
      </w:r>
      <w:r>
        <w:rPr>
          <w:bCs/>
          <w:b/>
        </w:rPr>
        <w:t xml:space="preserve">samodzielnie</w:t>
      </w:r>
      <w:r>
        <w:t xml:space="preserve"> </w:t>
      </w:r>
      <w:r>
        <w:t xml:space="preserve">— państwo nie broni pakietu, tylko każdy środek z osobna. Ale i odwrotnie: skarżące nie wygrywają przez samo zsumowanie środków. Kumulacja nie jest odrębnym typem naruszenia; jest materiałem dowodowym co do celu każdego ze środków oraz okolicznością wagi przy ocenie proporcjonalności każdego z nich. Postawienie osobnego zarzutu „kumulacji” jest wygodne i przy dobrze poprowadzonym sporze zostanie oddalone jako pozbawiony własnych przesłanek.</w:t>
      </w:r>
    </w:p>
    <w:p>
      <w:pPr>
        <w:pStyle w:val="BodyText"/>
      </w:pPr>
      <w:r>
        <w:t xml:space="preserve">Rozwiązanie stosunku pracy przez uczelnię publiczną. Komentarz Ogólny nr 34 przypomina w części ogólnej, że obowiązek poszanowania wolności opinii i wypowiedzi wiąże państwo jako całość, wszystkie władze i organy publiczne każdego szczebla. Uczelnia publiczna jest władzą publiczną i jej działanie jest działaniem państwa. ⬛ Kazus nie podaje przyczyny wskazanej w oświadczeniu pracodawcy. Rozstrzygnięcie warunkowe: jeżeli przyczyną była kampania Vitorii albo samo jej zatrzymanie, jest to ograniczenie wolności wypowiedzi wymagające uzasadnienia z ustępu 3 i upada już na celu, bo usunięcie badaczki za publiczną krytykę technologii państwowej nie realizuje żadnego z celów z zamkniętej listy. Jeżeli przyczyna jest udokumentowana i niezwiązana — zdarzenie wychodzi poza art. 19 i należy do prawa pracy.</w:t>
      </w:r>
    </w:p>
    <w:p>
      <w:pPr>
        <w:pStyle w:val="BodyText"/>
      </w:pPr>
      <w:r>
        <w:t xml:space="preserve">Cofnięcie pobytu. Art. 13 stanowi, że cudzoziemiec przebywający legalnie na terytorium państwa-strony może być wydalony tylko w wykonaniu decyzji podjętej zgodnie z prawem i — z wyjątkiem sytuacji, gdy ważne względy bezpieczeństwa narodowego wymagają inaczej — powinien mieć możliwość przedstawienia racji przeciwko wydaleniu oraz poddania sprawy kontroli właściwego organu z możliwością reprezentacji. Uxi ma tu przyczółek tekstowy, którego nie ma nigdzie indziej w tym kazusie, i trzeba to przyznać. Ale wyjątek jest wąski w trzech wymiarach: dotyczy wyłącznie gwarancji proceduralnej, a nie wymogu, by decyzja zapadła zgodnie z prawem; wymaga względów „ważnych”, a nie jakichkolwiek; i wymaga ich wykazania indywidualnie, a nie przez powtórzenie tego samego generycznego kryterium „potencjalnego zagrożenia”, które upadło w zagadnieniu pierwszym.</w:t>
      </w:r>
    </w:p>
    <w:p>
      <w:pPr>
        <w:pStyle w:val="BodyText"/>
      </w:pPr>
      <w:r>
        <w:t xml:space="preserve">⬛ Kazus nie podaje obywatelstwa Vitorii. Rozstrzygnięcie warunkowe: jeżeli jest cudzoziemką, właściwy jest art. 13 z jego wyjątkiem. Jeżeli Uxi jest jej „własnym krajem” w rozumieniu art. 12 ust. 4 — a przy długoletnim pobycie i pracy na uczelni publicznej nie jest to teza bezzasadna — zastosowanie ma zakaz arbitralnego pozbawienia prawa wjazdu do własnego kraju, który wyjątku bezpieczeństwa narodowego nie zawiera wcale. Różnica między tymi dwiema podstawami jest większa niż różnica w sile wszystkich pozostałych zarzutów razem wziętych.</w:t>
      </w:r>
    </w:p>
    <w:bookmarkEnd w:id="29"/>
    <w:bookmarkEnd w:id="30"/>
    <w:bookmarkStart w:id="31" w:name="macierz-argumentów"/>
    <w:p>
      <w:pPr>
        <w:pStyle w:val="Heading2"/>
      </w:pPr>
      <w:r>
        <w:t xml:space="preserve">Macierz argumentów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Zagadnienie</w:t>
            </w:r>
          </w:p>
        </w:tc>
        <w:tc>
          <w:tcPr/>
          <w:p>
            <w:pPr>
              <w:pStyle w:val="Compact"/>
              <w:jc w:val="left"/>
            </w:pPr>
            <w:r>
              <w:t xml:space="preserve">Argument Vitorii i Gravioli</w:t>
            </w:r>
          </w:p>
        </w:tc>
        <w:tc>
          <w:tcPr/>
          <w:p>
            <w:pPr>
              <w:pStyle w:val="Compact"/>
              <w:jc w:val="left"/>
            </w:pPr>
            <w:r>
              <w:t xml:space="preserve">Odpowiedź Uxi</w:t>
            </w:r>
          </w:p>
        </w:tc>
      </w:tr>
      <w:tr>
        <w:tc>
          <w:tcPr/>
          <w:p>
            <w:pPr>
              <w:pStyle w:val="Compact"/>
              <w:jc w:val="left"/>
            </w:pPr>
            <w:r>
              <w:t xml:space="preserve">Ustawowość kryterium</w:t>
            </w:r>
          </w:p>
        </w:tc>
        <w:tc>
          <w:tcPr/>
          <w:p>
            <w:pPr>
              <w:pStyle w:val="Compact"/>
              <w:jc w:val="left"/>
            </w:pPr>
            <w:r>
              <w:t xml:space="preserve">„Potencjalne zagrożenie” nie pozwala pokierować własnym postępowaniem i daje organowi nieskrępowaną swobodę (GC 34 pkt 25)</w:t>
            </w:r>
          </w:p>
        </w:tc>
        <w:tc>
          <w:tcPr/>
          <w:p>
            <w:pPr>
              <w:pStyle w:val="Compact"/>
              <w:jc w:val="left"/>
            </w:pPr>
            <w:r>
              <w:t xml:space="preserve">Precyzję nadaje utrwalona wykładnia i kontrola sądowa; przewidywalność ocenia się z uwzględnieniem praktyki stosowania</w:t>
            </w:r>
          </w:p>
        </w:tc>
      </w:tr>
      <w:tr>
        <w:tc>
          <w:tcPr/>
          <w:p>
            <w:pPr>
              <w:pStyle w:val="Compact"/>
              <w:jc w:val="left"/>
            </w:pPr>
            <w:r>
              <w:t xml:space="preserve">Granica</w:t>
            </w:r>
          </w:p>
        </w:tc>
        <w:tc>
          <w:tcPr/>
          <w:p>
            <w:pPr>
              <w:pStyle w:val="Compact"/>
              <w:jc w:val="left"/>
            </w:pPr>
            <w:r>
              <w:t xml:space="preserve">Wykonanie trwałej kopii całej zawartości urządzenia jest ingerencją arbitralną niezależnie od podstawy ustawowej</w:t>
            </w:r>
          </w:p>
        </w:tc>
        <w:tc>
          <w:tcPr/>
          <w:p>
            <w:pPr>
              <w:pStyle w:val="Compact"/>
              <w:jc w:val="left"/>
            </w:pPr>
            <w:r>
              <w:t xml:space="preserve">Kontrola graniczna ma obniżony standard; ingerencja była ustawowa i oparta na konkretnej informacji operacyjnej o kontaktach z przestępczością zorganizowaną</w:t>
            </w:r>
          </w:p>
        </w:tc>
      </w:tr>
      <w:tr>
        <w:tc>
          <w:tcPr/>
          <w:p>
            <w:pPr>
              <w:pStyle w:val="Compact"/>
              <w:jc w:val="left"/>
            </w:pPr>
            <w:r>
              <w:t xml:space="preserve">Urządzenie dziennikarki</w:t>
            </w:r>
          </w:p>
        </w:tc>
        <w:tc>
          <w:tcPr/>
          <w:p>
            <w:pPr>
              <w:pStyle w:val="Compact"/>
              <w:jc w:val="left"/>
            </w:pPr>
            <w:r>
              <w:t xml:space="preserve">Niejawna infekcja omija procedurę, w której przywilej ochrony źródeł mógłby być broniony; pozyskuje to, czego nakaz nigdy by nie dał</w:t>
            </w:r>
          </w:p>
        </w:tc>
        <w:tc>
          <w:tcPr/>
          <w:p>
            <w:pPr>
              <w:pStyle w:val="Compact"/>
              <w:jc w:val="left"/>
            </w:pPr>
            <w:r>
              <w:t xml:space="preserve">Przywilej jest ograniczony, nie absolutny (GC 34 pkt 45); materiał dotyczył systemu niejawnego, a jawny nakaz uprzedziłby zniszczenie dowodów</w:t>
            </w:r>
          </w:p>
        </w:tc>
      </w:tr>
      <w:tr>
        <w:tc>
          <w:tcPr/>
          <w:p>
            <w:pPr>
              <w:pStyle w:val="Compact"/>
              <w:jc w:val="left"/>
            </w:pPr>
            <w:r>
              <w:t xml:space="preserve">Polubienie</w:t>
            </w:r>
          </w:p>
        </w:tc>
        <w:tc>
          <w:tcPr/>
          <w:p>
            <w:pPr>
              <w:pStyle w:val="Compact"/>
              <w:jc w:val="left"/>
            </w:pPr>
            <w:r>
              <w:t xml:space="preserve">Art. 20 ust. 2 obejmuje tylko nienawiść narodową, rasową i religijną; brak bezpośredniego i natychmiastowego związku z zagrożeniem (GC 34 pkt 35)</w:t>
            </w:r>
          </w:p>
        </w:tc>
        <w:tc>
          <w:tcPr/>
          <w:p>
            <w:pPr>
              <w:pStyle w:val="Compact"/>
              <w:jc w:val="left"/>
            </w:pPr>
            <w:r>
              <w:t xml:space="preserve">Polubienie propaguje treść i podnosi zasięg, więc jest rozpowszechnianiem z art. 19 ust. 2 i podlega ograniczeniom z ust. 3</w:t>
            </w:r>
          </w:p>
        </w:tc>
      </w:tr>
      <w:tr>
        <w:tc>
          <w:tcPr/>
          <w:p>
            <w:pPr>
              <w:pStyle w:val="Compact"/>
              <w:jc w:val="left"/>
            </w:pPr>
            <w:r>
              <w:t xml:space="preserve">Blokada publikacji</w:t>
            </w:r>
          </w:p>
        </w:tc>
        <w:tc>
          <w:tcPr/>
          <w:p>
            <w:pPr>
              <w:pStyle w:val="Compact"/>
              <w:jc w:val="left"/>
            </w:pPr>
            <w:r>
              <w:t xml:space="preserve">Zakaz objął całość zamiast zidentyfikowanych fragmentów; nie wyczerpano środka najmniej dolegliwego (GC 34 pkt 34, 43)</w:t>
            </w:r>
          </w:p>
        </w:tc>
        <w:tc>
          <w:tcPr/>
          <w:p>
            <w:pPr>
              <w:pStyle w:val="Compact"/>
              <w:jc w:val="left"/>
            </w:pPr>
            <w:r>
              <w:t xml:space="preserve">Ujawnienie jest nieodwracalne, a redakcja nie usuwa ryzyka rekonstrukcji systemu z fragmentów pozostawionych</w:t>
            </w:r>
          </w:p>
        </w:tc>
      </w:tr>
      <w:tr>
        <w:tc>
          <w:tcPr/>
          <w:p>
            <w:pPr>
              <w:pStyle w:val="Compact"/>
              <w:jc w:val="left"/>
            </w:pPr>
            <w:r>
              <w:t xml:space="preserve">Pobyt</w:t>
            </w:r>
          </w:p>
        </w:tc>
        <w:tc>
          <w:tcPr/>
          <w:p>
            <w:pPr>
              <w:pStyle w:val="Compact"/>
              <w:jc w:val="left"/>
            </w:pPr>
            <w:r>
              <w:t xml:space="preserve">Decyzja opiera się na tym samym wadliwym kryterium co zatrzymanie; wyjątek z art. 13 dotyczy procedury, nie podstawy</w:t>
            </w:r>
          </w:p>
        </w:tc>
        <w:tc>
          <w:tcPr/>
          <w:p>
            <w:pPr>
              <w:pStyle w:val="Compact"/>
              <w:jc w:val="left"/>
            </w:pPr>
            <w:r>
              <w:t xml:space="preserve">Art. 13 in fine dopuszcza odstąpienie od gwarancji proceduralnej przy ważnych względach bezpieczeństwa narodowego</w:t>
            </w:r>
          </w:p>
        </w:tc>
      </w:tr>
      <w:tr>
        <w:tc>
          <w:tcPr/>
          <w:p>
            <w:pPr>
              <w:pStyle w:val="Compact"/>
              <w:jc w:val="left"/>
            </w:pPr>
            <w:r>
              <w:t xml:space="preserve">Praca</w:t>
            </w:r>
          </w:p>
        </w:tc>
        <w:tc>
          <w:tcPr/>
          <w:p>
            <w:pPr>
              <w:pStyle w:val="Compact"/>
              <w:jc w:val="left"/>
            </w:pPr>
            <w:r>
              <w:t xml:space="preserve">Uczelnia publiczna jest władzą publiczną; zwolnienie dwa tygodnie po kampanii wymaga własnego uzasadnienia z ust. 3</w:t>
            </w:r>
          </w:p>
        </w:tc>
        <w:tc>
          <w:tcPr/>
          <w:p>
            <w:pPr>
              <w:pStyle w:val="Compact"/>
              <w:jc w:val="left"/>
            </w:pPr>
            <w:r>
              <w:t xml:space="preserve">Stosunek pracy rozwiązano z przyczyn leżących poza zakresem Paktu; Pakt nie tworzy ochrony zatrudnienia</w:t>
            </w:r>
          </w:p>
        </w:tc>
      </w:tr>
      <w:tr>
        <w:tc>
          <w:tcPr/>
          <w:p>
            <w:pPr>
              <w:pStyle w:val="Compact"/>
              <w:jc w:val="left"/>
            </w:pPr>
            <w:r>
              <w:t xml:space="preserve">Kumulacja</w:t>
            </w:r>
          </w:p>
        </w:tc>
        <w:tc>
          <w:tcPr/>
          <w:p>
            <w:pPr>
              <w:pStyle w:val="Compact"/>
              <w:jc w:val="left"/>
            </w:pPr>
            <w:r>
              <w:t xml:space="preserve">Cztery środki w krótkim odstępie ujawniają cel represyjny i efekt mrożący</w:t>
            </w:r>
          </w:p>
        </w:tc>
        <w:tc>
          <w:tcPr/>
          <w:p>
            <w:pPr>
              <w:pStyle w:val="Compact"/>
              <w:jc w:val="left"/>
            </w:pPr>
            <w:r>
              <w:t xml:space="preserve">Każdy środek ma odrębną podstawę i odrębny organ; zbieżność czasowa nie jest samodzielnym zarzutem</w:t>
            </w:r>
          </w:p>
        </w:tc>
      </w:tr>
    </w:tbl>
    <w:bookmarkEnd w:id="31"/>
    <w:bookmarkStart w:id="32" w:name="braki-faktyczne-i-dowody-rozstrzygające"/>
    <w:p>
      <w:pPr>
        <w:pStyle w:val="Heading2"/>
      </w:pPr>
      <w:r>
        <w:t xml:space="preserve">Braki faktyczne i dowody rozstrzygające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Brak</w:t>
            </w:r>
          </w:p>
        </w:tc>
        <w:tc>
          <w:tcPr/>
          <w:p>
            <w:pPr>
              <w:pStyle w:val="Compact"/>
              <w:jc w:val="left"/>
            </w:pPr>
            <w:r>
              <w:t xml:space="preserve">Dlaczego rozstrzyga</w:t>
            </w:r>
          </w:p>
        </w:tc>
        <w:tc>
          <w:tcPr/>
          <w:p>
            <w:pPr>
              <w:pStyle w:val="Compact"/>
              <w:jc w:val="left"/>
            </w:pPr>
            <w:r>
              <w:t xml:space="preserve">Dowód, który go usuwa</w:t>
            </w:r>
          </w:p>
        </w:tc>
      </w:tr>
      <w:tr>
        <w:tc>
          <w:tcPr/>
          <w:p>
            <w:pPr>
              <w:pStyle w:val="Compact"/>
              <w:jc w:val="left"/>
            </w:pPr>
            <w:r>
              <w:t xml:space="preserve">Czy Uxi jest stroną MPPOiP i Protokołu fakultatywnego</w:t>
            </w:r>
          </w:p>
        </w:tc>
        <w:tc>
          <w:tcPr/>
          <w:p>
            <w:pPr>
              <w:pStyle w:val="Compact"/>
              <w:jc w:val="left"/>
            </w:pPr>
            <w:r>
              <w:t xml:space="preserve">Przesądza podstawę wiążącą i dopuszczalność skargi indywidualnej</w:t>
            </w:r>
          </w:p>
        </w:tc>
        <w:tc>
          <w:tcPr/>
          <w:p>
            <w:pPr>
              <w:pStyle w:val="Compact"/>
              <w:jc w:val="left"/>
            </w:pPr>
            <w:r>
              <w:t xml:space="preserve">Wykaz państw-stron u depozytariusza, dokument ratyfikacyjny</w:t>
            </w:r>
          </w:p>
        </w:tc>
      </w:tr>
      <w:tr>
        <w:tc>
          <w:tcPr/>
          <w:p>
            <w:pPr>
              <w:pStyle w:val="Compact"/>
              <w:jc w:val="left"/>
            </w:pPr>
            <w:r>
              <w:t xml:space="preserve">Zastrzeżenia Uxi do art. 17, 19 i 20</w:t>
            </w:r>
          </w:p>
        </w:tc>
        <w:tc>
          <w:tcPr/>
          <w:p>
            <w:pPr>
              <w:pStyle w:val="Compact"/>
              <w:jc w:val="left"/>
            </w:pPr>
            <w:r>
              <w:t xml:space="preserve">Zastrzeżenie modyfikuje zobowiązanie i bywa decydujące przy jednym artykule</w:t>
            </w:r>
          </w:p>
        </w:tc>
        <w:tc>
          <w:tcPr/>
          <w:p>
            <w:pPr>
              <w:pStyle w:val="Compact"/>
              <w:jc w:val="left"/>
            </w:pPr>
            <w:r>
              <w:t xml:space="preserve">Rejestr zastrzeżeń depozytariusza</w:t>
            </w:r>
          </w:p>
        </w:tc>
      </w:tr>
      <w:tr>
        <w:tc>
          <w:tcPr/>
          <w:p>
            <w:pPr>
              <w:pStyle w:val="Compact"/>
              <w:jc w:val="left"/>
            </w:pPr>
            <w:r>
              <w:t xml:space="preserve">Czy ogłoszono i notyfikowano stan wyjątkowy (art. 4 ust. 1 i 3)</w:t>
            </w:r>
          </w:p>
        </w:tc>
        <w:tc>
          <w:tcPr/>
          <w:p>
            <w:pPr>
              <w:pStyle w:val="Compact"/>
              <w:jc w:val="left"/>
            </w:pPr>
            <w:r>
              <w:t xml:space="preserve">Otwiera albo zamyka całą drogę derogacyjną dla art. 17 i 19</w:t>
            </w:r>
          </w:p>
        </w:tc>
        <w:tc>
          <w:tcPr/>
          <w:p>
            <w:pPr>
              <w:pStyle w:val="Compact"/>
              <w:jc w:val="left"/>
            </w:pPr>
            <w:r>
              <w:t xml:space="preserve">Akt ogłoszenia, nota do Sekretarza Generalnego</w:t>
            </w:r>
          </w:p>
        </w:tc>
      </w:tr>
      <w:tr>
        <w:tc>
          <w:tcPr/>
          <w:p>
            <w:pPr>
              <w:pStyle w:val="Compact"/>
              <w:jc w:val="left"/>
            </w:pPr>
            <w:r>
              <w:t xml:space="preserve">Wykładnia lub definicja „potencjalnego zagrożenia”</w:t>
            </w:r>
          </w:p>
        </w:tc>
        <w:tc>
          <w:tcPr/>
          <w:p>
            <w:pPr>
              <w:pStyle w:val="Compact"/>
              <w:jc w:val="left"/>
            </w:pPr>
            <w:r>
              <w:t xml:space="preserve">Warunek oceny precyzji normy; przesądza, czy sprawa kończy się na ustawowości</w:t>
            </w:r>
          </w:p>
        </w:tc>
        <w:tc>
          <w:tcPr/>
          <w:p>
            <w:pPr>
              <w:pStyle w:val="Compact"/>
              <w:jc w:val="left"/>
            </w:pPr>
            <w:r>
              <w:t xml:space="preserve">Akt wykonawczy, orzecznictwo krajowe, wytyczne organu</w:t>
            </w:r>
          </w:p>
        </w:tc>
      </w:tr>
      <w:tr>
        <w:tc>
          <w:tcPr/>
          <w:p>
            <w:pPr>
              <w:pStyle w:val="Compact"/>
              <w:jc w:val="left"/>
            </w:pPr>
            <w:r>
              <w:t xml:space="preserve">Zakres i podstawa kopiowania danych na granicy oraz reżim ich retencji</w:t>
            </w:r>
          </w:p>
        </w:tc>
        <w:tc>
          <w:tcPr/>
          <w:p>
            <w:pPr>
              <w:pStyle w:val="Compact"/>
              <w:jc w:val="left"/>
            </w:pPr>
            <w:r>
              <w:t xml:space="preserve">Odróżnia oględziny od pozyskania trwałej kopii i wypełnia test arbitralności</w:t>
            </w:r>
          </w:p>
        </w:tc>
        <w:tc>
          <w:tcPr/>
          <w:p>
            <w:pPr>
              <w:pStyle w:val="Compact"/>
              <w:jc w:val="left"/>
            </w:pPr>
            <w:r>
              <w:t xml:space="preserve">Protokół czynności, decyzja o zabezpieczeniu, rejestr retencji i udostępnień</w:t>
            </w:r>
          </w:p>
        </w:tc>
      </w:tr>
      <w:tr>
        <w:tc>
          <w:tcPr/>
          <w:p>
            <w:pPr>
              <w:pStyle w:val="Compact"/>
              <w:jc w:val="left"/>
            </w:pPr>
            <w:r>
              <w:t xml:space="preserve">Czy istniało uprzednie zezwolenie niezależnego organu na infekcję urządzenia Gravioli</w:t>
            </w:r>
          </w:p>
        </w:tc>
        <w:tc>
          <w:tcPr/>
          <w:p>
            <w:pPr>
              <w:pStyle w:val="Compact"/>
              <w:jc w:val="left"/>
            </w:pPr>
            <w:r>
              <w:t xml:space="preserve">Rdzeń oceny arbitralności i przełamania przywileju źródeł</w:t>
            </w:r>
          </w:p>
        </w:tc>
        <w:tc>
          <w:tcPr/>
          <w:p>
            <w:pPr>
              <w:pStyle w:val="Compact"/>
              <w:jc w:val="left"/>
            </w:pPr>
            <w:r>
              <w:t xml:space="preserve">Postanowienie sądu, wniosek służby, specyfikacja narzędzia i zakresu pozyskania</w:t>
            </w:r>
          </w:p>
        </w:tc>
      </w:tr>
      <w:tr>
        <w:tc>
          <w:tcPr/>
          <w:p>
            <w:pPr>
              <w:pStyle w:val="Compact"/>
              <w:jc w:val="left"/>
            </w:pPr>
            <w:r>
              <w:t xml:space="preserve">Czy sąd zapoznał się z materiałem przed blokadą i czy rozważył redakcję</w:t>
            </w:r>
          </w:p>
        </w:tc>
        <w:tc>
          <w:tcPr/>
          <w:p>
            <w:pPr>
              <w:pStyle w:val="Compact"/>
              <w:jc w:val="left"/>
            </w:pPr>
            <w:r>
              <w:t xml:space="preserve">Warunek testu środka najmniej dolegliwego</w:t>
            </w:r>
          </w:p>
        </w:tc>
        <w:tc>
          <w:tcPr/>
          <w:p>
            <w:pPr>
              <w:pStyle w:val="Compact"/>
              <w:jc w:val="left"/>
            </w:pPr>
            <w:r>
              <w:t xml:space="preserve">Uzasadnienie postanowienia, protokół posiedzenia, wersja z redakcjami</w:t>
            </w:r>
          </w:p>
        </w:tc>
      </w:tr>
      <w:tr>
        <w:tc>
          <w:tcPr/>
          <w:p>
            <w:pPr>
              <w:pStyle w:val="Compact"/>
              <w:jc w:val="left"/>
            </w:pPr>
            <w:r>
              <w:t xml:space="preserve">Przyczyna wskazana w oświadczeniu o rozwiązaniu stosunku pracy</w:t>
            </w:r>
          </w:p>
        </w:tc>
        <w:tc>
          <w:tcPr/>
          <w:p>
            <w:pPr>
              <w:pStyle w:val="Compact"/>
              <w:jc w:val="left"/>
            </w:pPr>
            <w:r>
              <w:t xml:space="preserve">Przesądza, czy zdarzenie w ogóle wchodzi w zakres art. 19</w:t>
            </w:r>
          </w:p>
        </w:tc>
        <w:tc>
          <w:tcPr/>
          <w:p>
            <w:pPr>
              <w:pStyle w:val="Compact"/>
              <w:jc w:val="left"/>
            </w:pPr>
            <w:r>
              <w:t xml:space="preserve">Oświadczenie pracodawcy, uchwała organu uczelni, akta osobowe</w:t>
            </w:r>
          </w:p>
        </w:tc>
      </w:tr>
      <w:tr>
        <w:tc>
          <w:tcPr/>
          <w:p>
            <w:pPr>
              <w:pStyle w:val="Compact"/>
              <w:jc w:val="left"/>
            </w:pPr>
            <w:r>
              <w:t xml:space="preserve">Obywatelstwo Vitorii i tytuł jej pobytu</w:t>
            </w:r>
          </w:p>
        </w:tc>
        <w:tc>
          <w:tcPr/>
          <w:p>
            <w:pPr>
              <w:pStyle w:val="Compact"/>
              <w:jc w:val="left"/>
            </w:pPr>
            <w:r>
              <w:t xml:space="preserve">Rozstrzyga między art. 13 z wyjątkiem bezpieczeństwa a art. 12 ust. 4 bez wyjątku</w:t>
            </w:r>
          </w:p>
        </w:tc>
        <w:tc>
          <w:tcPr/>
          <w:p>
            <w:pPr>
              <w:pStyle w:val="Compact"/>
              <w:jc w:val="left"/>
            </w:pPr>
            <w:r>
              <w:t xml:space="preserve">Dokument pobytowy, akta obywatelstwa</w:t>
            </w:r>
          </w:p>
        </w:tc>
      </w:tr>
      <w:tr>
        <w:tc>
          <w:tcPr/>
          <w:p>
            <w:pPr>
              <w:pStyle w:val="Compact"/>
              <w:jc w:val="left"/>
            </w:pPr>
            <w:r>
              <w:t xml:space="preserve">Sposób działania funkcji polubienia na tej platformie</w:t>
            </w:r>
          </w:p>
        </w:tc>
        <w:tc>
          <w:tcPr/>
          <w:p>
            <w:pPr>
              <w:pStyle w:val="Compact"/>
              <w:jc w:val="left"/>
            </w:pPr>
            <w:r>
              <w:t xml:space="preserve">Warunek przypisania treści komentarza osobie polubiającej i kwalifikacji do ust. 1 albo ust. 2</w:t>
            </w:r>
          </w:p>
        </w:tc>
        <w:tc>
          <w:tcPr/>
          <w:p>
            <w:pPr>
              <w:pStyle w:val="Compact"/>
              <w:jc w:val="left"/>
            </w:pPr>
            <w:r>
              <w:t xml:space="preserve">Dokumentacja funkcji, dane o zasięgu, opinia biegłego</w:t>
            </w:r>
          </w:p>
        </w:tc>
      </w:tr>
      <w:tr>
        <w:tc>
          <w:tcPr/>
          <w:p>
            <w:pPr>
              <w:pStyle w:val="Compact"/>
              <w:jc w:val="left"/>
            </w:pPr>
            <w:r>
              <w:t xml:space="preserve">Data polubienia wobec daty zatrzymania</w:t>
            </w:r>
          </w:p>
        </w:tc>
        <w:tc>
          <w:tcPr/>
          <w:p>
            <w:pPr>
              <w:pStyle w:val="Compact"/>
              <w:jc w:val="left"/>
            </w:pPr>
            <w:r>
              <w:t xml:space="preserve">Odróżnia reakcję na wypowiedź od kontroli opartej na wcześniejszej informacji operacyjnej</w:t>
            </w:r>
          </w:p>
        </w:tc>
        <w:tc>
          <w:tcPr/>
          <w:p>
            <w:pPr>
              <w:pStyle w:val="Compact"/>
              <w:jc w:val="left"/>
            </w:pPr>
            <w:r>
              <w:t xml:space="preserve">Zrzuty z metadanymi, logi platformy, notatka służbowa o pozyskaniu informacji</w:t>
            </w:r>
          </w:p>
        </w:tc>
      </w:tr>
      <w:tr>
        <w:tc>
          <w:tcPr/>
          <w:p>
            <w:pPr>
              <w:pStyle w:val="Compact"/>
              <w:jc w:val="left"/>
            </w:pPr>
            <w:r>
              <w:t xml:space="preserve">Które dane pozyskano poza podstawą ustawową</w:t>
            </w:r>
          </w:p>
        </w:tc>
        <w:tc>
          <w:tcPr/>
          <w:p>
            <w:pPr>
              <w:pStyle w:val="Compact"/>
              <w:jc w:val="left"/>
            </w:pPr>
            <w:r>
              <w:t xml:space="preserve">Uruchamia drugi, niezależny człon art. 17 ust. 1 i ocenę na art. 14 ust. 1</w:t>
            </w:r>
          </w:p>
        </w:tc>
        <w:tc>
          <w:tcPr/>
          <w:p>
            <w:pPr>
              <w:pStyle w:val="Compact"/>
              <w:jc w:val="left"/>
            </w:pPr>
            <w:r>
              <w:t xml:space="preserve">Wykaz źródeł danych w aktach postępowania pobytowego i o zakaz publikacji</w:t>
            </w:r>
          </w:p>
        </w:tc>
      </w:tr>
    </w:tbl>
    <w:bookmarkEnd w:id="32"/>
    <w:bookmarkStart w:id="33" w:name="proponowane-rozstrzygnięcie"/>
    <w:p>
      <w:pPr>
        <w:pStyle w:val="Heading2"/>
      </w:pPr>
      <w:r>
        <w:t xml:space="preserve">Proponowane rozstrzygnięcie</w:t>
      </w:r>
    </w:p>
    <w:p>
      <w:pPr>
        <w:pStyle w:val="FirstParagraph"/>
      </w:pPr>
      <w:r>
        <w:t xml:space="preserve">W zakresie kryterium ustawowego: stwierdzić naruszenie art. 19 ust. 3 w członie ustawowości i nakazać uchylenie środków opartych wyłącznie na kryterium „potencjalnego zagrożenia” oraz usunięcie danych pozyskanych na tej podstawie. Rozstrzygnięcie warunkowe wobec braku faktu: jeżeli istnieje wiążąca wykładnia zawężająca, przenieść badanie na przesłankę konieczności i tam wymagać od Uxi wykazania zagrożenia w sposób zindywidualizowany; jeżeli nie istnieje, zamknąć oś na ustawowości bez wchodzenia w ważenie.</w:t>
      </w:r>
    </w:p>
    <w:p>
      <w:pPr>
        <w:pStyle w:val="BodyText"/>
      </w:pPr>
      <w:r>
        <w:t xml:space="preserve">W zakresie granicy: stwierdzić naruszenie art. 17 ust. 1 w członie arbitralności, wskazując wyraźnie, że ustawowa podstawa kontroli nie jest odpowiedzią na ten zarzut. Nakazać zniszczenie kopii danych, przekazanie Vitorii wykazu podmiotów, którym dane udostępniono, oraz wprowadzenie reżimu ograniczenia zakresu i retencji przy kopiowaniu zawartości urządzeń.</w:t>
      </w:r>
    </w:p>
    <w:p>
      <w:pPr>
        <w:pStyle w:val="BodyText"/>
      </w:pPr>
      <w:r>
        <w:t xml:space="preserve">W zakresie urządzenia dziennikarki: stwierdzić naruszenie art. 19 ust. 2 i art. 17 ust. 1 łącznie, z zaznaczeniem, że ciężar leży po stronie art. 19 — chodzi o obejście gwarancji ochrony źródeł, nie tylko o prywatność. Nakazać ujawnienie zakresu pozyskanego materiału oraz wydzielenie i zniszczenie części dotyczącej źródeł pod kontrolą organu niezależnego od służby prowadzącej sprawę.</w:t>
      </w:r>
    </w:p>
    <w:p>
      <w:pPr>
        <w:pStyle w:val="BodyText"/>
      </w:pPr>
      <w:r>
        <w:t xml:space="preserve">W zakresie polubienia: oddalić zarzut państwa oparty na art. 20 ust. 2 z powodu zakresu przedmiotowego. Zamiast pozostawić tę oś bez środka, rozpoznać ją na art. 19 ust. 3 i tam stwierdzić brak wykazania bezpośredniego i natychmiastowego związku między wypowiedzią a zagrożeniem, z nakazem umorzenia wszelkich następstw prawnych wywiedzionych z polubienia. Rozstrzygnięcie warunkowe co do kwalifikacji: jeżeli ustalono, że funkcja propaguje treść wśród innych użytkowników — badać na ust. 2 i ust. 3 jak wyżej; jeżeli nie — stwierdzić, że ograniczenie dotyczyło prawa z art. 19 ust. 1, do którego klauzula limitacyjna nie ma zastosowania w ogóle.</w:t>
      </w:r>
    </w:p>
    <w:p>
      <w:pPr>
        <w:pStyle w:val="BodyText"/>
      </w:pPr>
      <w:r>
        <w:t xml:space="preserve">W zakresie blokady publikacji: uchylić zakaz w części obejmującej materiał nieoznaczony indywidualnie jako niejawny i przekazać sprawę do ponownego rozpoznania z obowiązkiem oceny fragment po fragmencie oraz rozważenia redakcji. Nie znosić zakazu w całości bez tej oceny.</w:t>
      </w:r>
    </w:p>
    <w:p>
      <w:pPr>
        <w:pStyle w:val="BodyText"/>
      </w:pPr>
      <w:r>
        <w:t xml:space="preserve">W zakresie pobytu i pracy: rozstrzygnięcia warunkowe opisane w zagadnieniu szóstym, każde z własną podstawą i własnym środkiem — przy art. 12 ust. 4 uchylenie decyzji bez możliwości powołania względów bezpieczeństwa, przy art. 13 nakaz umożliwienia przedstawienia racji i kontroli, chyba że Uxi wykaże ważne względy indywidualnie, a nie przez powtórzenie wadliwego kryterium.</w:t>
      </w:r>
    </w:p>
    <w:p>
      <w:pPr>
        <w:pStyle w:val="BodyText"/>
      </w:pPr>
      <w:r>
        <w:t xml:space="preserve">W zakresie kumulacji: nie konstruować odrębnego zarzutu, lecz wykorzystać zestaw środków jako materiał dowodowy celu przy każdym środku osobno. Zaznaczyć wprost, że oddalenie zarzutu kumulacyjnego jako samodzielnej podstawy nie osłabia żadnego z pozostałych rozstrzygnięć.</w:t>
      </w:r>
    </w:p>
    <w:bookmarkEnd w:id="33"/>
    <w:bookmarkStart w:id="34" w:name="bramka-środka-naprawczego-rem-gate-k-03"/>
    <w:p>
      <w:pPr>
        <w:pStyle w:val="Heading2"/>
      </w:pPr>
      <w:r>
        <w:t xml:space="preserve">Bramka środka naprawczego (REM-GATE) — K-03</w:t>
      </w:r>
    </w:p>
    <w:p>
      <w:pPr>
        <w:pStyle w:val="FirstParagraph"/>
      </w:pPr>
      <w:r>
        <w:t xml:space="preserve">REM-0 próby: 3 powołania kandydujące do znacznika ⚠️, 3 próby dwukanałowe, 3 odzyskane, 0 porażek. Komentarz Ogólny nr 34:</w:t>
      </w:r>
      <w:r>
        <w:t xml:space="preserve"> </w:t>
      </w:r>
      <w:r>
        <w:rPr>
          <w:rStyle w:val="VerbatimChar"/>
        </w:rPr>
        <w:t xml:space="preserve">www2.ohchr.org</w:t>
      </w:r>
      <w:r>
        <w:t xml:space="preserve"> </w:t>
      </w:r>
      <w:r>
        <w:t xml:space="preserve">— web_fetch ROBOTS_DISALLOWED, ale</w:t>
      </w:r>
      <w:r>
        <w:t xml:space="preserve"> </w:t>
      </w:r>
      <w:r>
        <w:rPr>
          <w:rStyle w:val="VerbatimChar"/>
        </w:rPr>
        <w:t xml:space="preserve">www.ohchr.org</w:t>
      </w:r>
      <w:r>
        <w:t xml:space="preserve"> </w:t>
      </w:r>
      <w:r>
        <w:t xml:space="preserve">— curl 200 i pełny tekst PDF, RZĄD 1. Wzorzec zgodny z pomiarem, który zamknął lukę F-164: odmowa w jednym kanale nie dowodzi niczego o drugim.</w:t>
      </w:r>
    </w:p>
    <w:p>
      <w:pPr>
        <w:pStyle w:val="BodyText"/>
      </w:pPr>
      <w:r>
        <w:t xml:space="preserve">REM-1 oddalenia: 2 oddalone (zarzut z art. 20 ust. 2; zarzut kumulacji jako samodzielna podstawa), 2 sparowane alternatywy rozwinięte na tę samą głębokość (art. 19 ust. 3 lit. b dla polubienia; kumulacja jako materiał dowodowy celu przy każdym środku osobno). Sprawdzone i odrzucone reżimy dla polubienia: art. 20 ust. 1 (propaganda wojenna — brak elementu wojny), art. 21 (zgromadzenia — brak zgromadzenia), art. 22 (zrzeszanie — brak struktury).</w:t>
      </w:r>
    </w:p>
    <w:p>
      <w:pPr>
        <w:pStyle w:val="BodyText"/>
      </w:pPr>
      <w:r>
        <w:t xml:space="preserve">REM-2 braki: 7 pozycji ⬛, 7 rozstrzygnięć warunkowych, 0 blokad dopuszczalności. Status Uxi jako strony Paktu jest jedyną pozycją, która mogłaby taką blokadę stworzyć — ale nie tworzy, bo obie gałęzie są operacyjne: przy związaniu Paktem analiza biegnie jak wyżej, przy braku związania te same standardy trzeba wykazać jako normy zwyczajowe, co zmienia ciężar dowodu, a nie treść testu.</w:t>
      </w:r>
    </w:p>
    <w:p>
      <w:pPr>
        <w:pStyle w:val="BodyText"/>
      </w:pPr>
      <w:r>
        <w:t xml:space="preserve">REM-3 instrumenty miękkie: Komentarz Ogólny nr 34 jest aktem niewiążącym i niesie znaczną część argumentacji w zagadnieniach 1, 3, 4 i 5. Argumentacja przeprowadzona w pełnej objętości; znacznik dotyczy statusu powołania, nie siły wywodu. Moc wiążąca oznaczona jawnie przy każdym powołaniu.</w:t>
      </w:r>
    </w:p>
    <w:p>
      <w:pPr>
        <w:pStyle w:val="BodyText"/>
      </w:pPr>
      <w:r>
        <w:t xml:space="preserve">REM-4 pokrycie: kryterium ustawowe — PEŁNA; granica i urządzenie dziennikarki — PEŁNA; ochrona źródeł — PEŁNA; polubienie — PEŁNA; blokada publikacji — PEŁNA; kumulacja, praca i pobyt — PEŁNA; rzetelność postępowania z materiałem niejawnym (art. 14 ust. 1) — CIENKA i deklaruję to wprost: oś dotknięta wyłącznie jako skutek uboczny zagadnienia 2, bez własnego rozwinięcia przesłanek równości broni.</w:t>
      </w:r>
    </w:p>
    <w:bookmarkEnd w:id="34"/>
    <w:bookmarkStart w:id="35" w:name="zweryfikowane-pozycje-źródłowe-k-03"/>
    <w:p>
      <w:pPr>
        <w:pStyle w:val="Heading2"/>
      </w:pPr>
      <w:r>
        <w:t xml:space="preserve">Zweryfikowane pozycje źródłowe (K-03)</w:t>
      </w:r>
    </w:p>
    <w:p>
      <w:pPr>
        <w:pStyle w:val="FirstParagraph"/>
      </w:pPr>
      <w:r>
        <w:t xml:space="preserve">Międzynarodowy Pakt Praw Obywatelskich i Politycznych z dnia 16 grudnia 1966 r., UNTS vol. 999, nr I-14668 — sprawdzono art. 2 ust. 2–3, art. 3, art. 4 ust. 1–3, art. 5 ust. 1–2, art. 9 ust. 1–5, art. 10, art. 11, art. 12 ust. 1–4, art. 13, art. 14 ust. 1–3, art. 16, art. 17 ust. 1–2, art. 18 ust. 1–4, art. 19 ust. 1–3, art. 20 ust. 1–2, art. 21, art. 22 ust. 1. ✅ [VER: treaties.un.org, curl 200, pełny tekst UNTS, RZĄD 1, 2026-09-06]</w:t>
      </w:r>
    </w:p>
    <w:p>
      <w:pPr>
        <w:pStyle w:val="BodyText"/>
      </w:pPr>
      <w:r>
        <w:t xml:space="preserve">Komentarz Ogólny nr 34 Komitetu Praw Człowieka, Artykuł 19: Wolność opinii i wypowiedzi, CCPR/C/GC/34 — sprawdzono pkt 24, 25, 29, 30, 33, 34, 35, 43, 44, 45 oraz pkt 50 o relacji art. 19 i 20. ✅ [VER: ohchr.org, curl 200, pełny tekst PDF, RZĄD 1, 2026-09-06] — akt organu traktatowego, instrument niewiążący; moc perswazyjna i interpretacyjna.</w:t>
      </w:r>
    </w:p>
    <w:p>
      <w:pPr>
        <w:pStyle w:val="BodyText"/>
      </w:pPr>
      <w:r>
        <w:t xml:space="preserve">Karta dokumentowa OHCHR dla CCPR/C/GC/34 — potwierdzenie sygnatury, daty publikacji oraz części ogólnej o związaniu wszystkich władz państwa. ✅ [VER: ohchr.org, web_fetch, RZĄD 1, 2026-09-06]</w:t>
      </w:r>
    </w:p>
    <w:p>
      <w:pPr>
        <w:pStyle w:val="BodyText"/>
      </w:pPr>
      <w:r>
        <w:t xml:space="preserve">Nie przypisano jednostkom redakcyjnym i przedstawiono jako standard doktrynalny: treść testu arbitralności z art. 17 wypracowana w praktyce Komitetu Praw Człowieka; zakres i granice przywileju dziennikarskiego w orzecznictwie regionalnych organów praw człowieka; kryteria dopuszczalności uprzedniego zakazu publikacji; standard równości broni przy materiale niejawnym. Wymagają samodzielnego potwierdzenia w tekstach źródłowych i w orzecznictwie.</w:t>
      </w:r>
    </w:p>
    <w:bookmarkEnd w:id="35"/>
    <w:bookmarkEnd w:id="36"/>
    <w:bookmarkStart w:id="52" w:name="X0775be79fe1437a571031a0fbe55252bc4e1b5b"/>
    <w:p>
      <w:pPr>
        <w:pStyle w:val="Heading1"/>
      </w:pPr>
      <w:r>
        <w:t xml:space="preserve">K-04 Prokurator przeciwko Drogannie Syrax</w:t>
      </w:r>
    </w:p>
    <w:bookmarkStart w:id="37" w:name="teza-wstępna-1"/>
    <w:p>
      <w:pPr>
        <w:pStyle w:val="Heading2"/>
      </w:pPr>
      <w:r>
        <w:t xml:space="preserve">Teza wstępna</w:t>
      </w:r>
    </w:p>
    <w:p>
      <w:pPr>
        <w:pStyle w:val="FirstParagraph"/>
      </w:pPr>
      <w:r>
        <w:t xml:space="preserve">Kazus wygląda na sprawę o głodzenie ludności jako metodę walki, a rozstrzyga się na tym, w którym katalogu artykułu o zbrodniach wojennych ta zbrodnia stoi — i kiedy trafiła do drugiego. W tekście Statutu z 1998 r. głodzenie ludności cywilnej jako metoda prowadzenia wojny figuruje wyłącznie w art. 8 ust. 2 lit. b (xxv), a nagłówek litery b odnosi całą grupę punktów do „innych poważnych naruszeń praw i zwyczajów mających zastosowanie w konflikcie zbrojnym o charakterze międzynarodowym”. Katalog dla konfliktu niemiędzynarodowego — litera e — kończył się wówczas na punkcie (xii) i głodzenia nie zawierał wcale. Odpowiednik dodano dopiero rezolucją Zgromadzenia Państw-Stron ICC-ASP/18/Res.5 z 6 grudnia 2019 r. jako art. 8 ust. 2 lit. e (xix), a wchodzi on w życie w trybie art. 121 ust. 5 — osobno dla każdego państwa, rok po złożeniu jego dokumentu ratyfikacyjnego, i nie działa wobec państwa, które go nie przyjęło.</w:t>
      </w:r>
    </w:p>
    <w:p>
      <w:pPr>
        <w:pStyle w:val="BodyText"/>
      </w:pPr>
      <w:r>
        <w:t xml:space="preserve">Można więc zacytować punkt (xxv) bezbłędnie i pozostać poza zakresem całej grupy, do której należy. Jest to wzorzec, przed którym CN-GATE ostrzega wprost: warunek wstępny zapisany w nagłówku katalogu, nie w samym punkcie. Art. 22 ust. 2 zakazuje rozszerzania definicji zbrodni przez analogię i nakazuje rozstrzygać wątpliwość na korzyść osoby ściganej, a ścieżka nadpisania CN-GATE jest w prawie karnym międzynarodowym zakazana bezwzględnie.</w:t>
      </w:r>
    </w:p>
    <w:p>
      <w:pPr>
        <w:pStyle w:val="BodyText"/>
      </w:pPr>
      <w:r>
        <w:t xml:space="preserve">Ustalenie porządkujące: to nie kończy sprawy, tylko ją przenosi — i przeniesienie jest korzystne dla prokuratora, nie dla obrony. Art. 7 ust. 2 lit. b definiuje eksterminację jako obejmującą celowe stworzenie warunków życia, między innymi pozbawienie dostępu do żywności i leków, obliczone na zniszczenie części ludności. Przepis stał w tekście z 1998 r., nie wymaga żadnej poprawki, wiąże każde państwo-stronę i każdą deklarację z art. 12 ust. 3 — a przy tym nie wymaga ani ustalenia związku z konfliktem zbrojnym, ani statusu osoby chronionej, czyli omija dwie z sześciu trudności kazusu naraz.</w:t>
      </w:r>
    </w:p>
    <w:p>
      <w:pPr>
        <w:pStyle w:val="BodyText"/>
      </w:pPr>
      <w:r>
        <w:t xml:space="preserve">Druga oś jest immunitetowa i również prowadzi w miejsce inne niż odruchowe. Linia Al-Bashir znajduje tu zastosowanie, ale nie z powodu, dla którego się po nią sięga: jej trzon horyzontalny opiera się na przekazaniu sytuacji przez Radę Bezpieczeństwa, a w kazusie żadnego przekazania nie ma. Podstawą jest własna deklaracja Essuss, i to ona — a nie zwyczaj międzynarodowy — jest najkrótszą drogą do odrzucenia zarzutu immunitetu.</w:t>
      </w:r>
    </w:p>
    <w:bookmarkEnd w:id="37"/>
    <w:bookmarkStart w:id="38" w:name="mapa-jurysdykcji-źródeł-i-kompetencji-1"/>
    <w:p>
      <w:pPr>
        <w:pStyle w:val="Heading2"/>
      </w:pPr>
      <w:r>
        <w:t xml:space="preserve">Mapa jurysdykcji, źródeł i kompetencji</w:t>
      </w:r>
    </w:p>
    <w:p>
      <w:pPr>
        <w:pStyle w:val="FirstParagraph"/>
      </w:pPr>
      <w:r>
        <w:t xml:space="preserve">Fora i ich zakres. Izba Przygotowawcza rozstrzyga o potwierdzeniu zarzutów według standardu z art. 61 ust. 7, którym jest „wystarczający materiał dowodowy dla ustalenia poważnych podstaw do przyjęcia”, że osoba popełniła każdą z zarzucanych zbrodni. Państwo zatrzymania prowadzi postępowanie z art. 59, przy czym art. 59 ust. 4 zdanie ostatnie wyraźnie odbiera jego organowi możliwość badania, czy nakaz aresztowania wydano prawidłowo. Sądy krajowe Essuss są właściwe pierwotnie i to one, a nie Trybunał, wyznaczają punkt odniesienia dla komplementarności z art. 17 ust. 1 lit. a. Zgromadzenie Państw-Stron jest organem prawotwórczym w zakresie poprawek i jego rezolucja z 2019 r. jest w tej sprawie faktem o znaczeniu materialnym, nie proceduralnym.</w:t>
      </w:r>
    </w:p>
    <w:p>
      <w:pPr>
        <w:pStyle w:val="BodyText"/>
      </w:pPr>
      <w:r>
        <w:t xml:space="preserve">Cztery warstwy, których nie wolno łączyć. Jurysdykcja (rzeczowa, czasowa, terytorialno-personalna), dopuszczalność sprawy (komplementarność i waga), legalność doprowadzenia oskarżonej oraz forma odpowiedzialności to cztery odrębne pytania z odrębnymi testami i odrębnymi skutkami. Nielegalne ujęcie nie dotyka jurysdykcji; brak postępowania krajowego nie tworzy jurysdykcji; potwierdzenie zarzutów w jednej formie odpowiedzialności nie przesądza pozostałych. Zlanie ich w jedno pytanie „czy Trybunał może sądzić Syrax” jest w tym typie sprawy błędem podstawowym.</w:t>
      </w:r>
    </w:p>
    <w:p>
      <w:pPr>
        <w:pStyle w:val="BodyText"/>
      </w:pPr>
      <w:r>
        <w:t xml:space="preserve">Statut jako źródło i jego granice. Art. 21 ust. 1 wyznacza kolejność: w pierwszej kolejności Statut, Elementy Definicji Zbrodni i Reguły Procesowe; w drugiej — stosowne traktaty oraz zasady i normy prawa międzynarodowego, w tym ustalone zasady międzynarodowego prawa konfliktów zbrojnych; dopiero potem zasady ogólne wyprowadzone z praw krajowych. Ustęp 3 wymaga, by stosowanie i wykładnia były zgodne z uznanymi międzynarodowo prawami człowieka. Ta hierarchia ma konsekwencję, którą trzeba postawić wprost: art. 21 ust. 1 lit. b nie jest furtką do poszerzenia definicji zbrodni o treść normy zwyczajowej, bo art. 22 ust. 2 stoi wyżej w porządku stosowania i zakazuje analogii.</w:t>
      </w:r>
    </w:p>
    <w:bookmarkEnd w:id="38"/>
    <w:bookmarkStart w:id="39" w:name="bramki-weryfikacyjne-mg-1-mg-2-cn-gate-1"/>
    <w:p>
      <w:pPr>
        <w:pStyle w:val="Heading2"/>
      </w:pPr>
      <w:r>
        <w:t xml:space="preserve">Bramki weryfikacyjne (MG-1, MG-2, CN-GATE)</w:t>
      </w:r>
    </w:p>
    <w:p>
      <w:pPr>
        <w:pStyle w:val="FirstParagraph"/>
      </w:pPr>
      <w:r>
        <w:t xml:space="preserve">MG-1 — ratyfikacja, zakres czasowy i podmiotowy. Essuss nie jest stroną Statutu; jest związane wyłącznie deklaracją z art. 12 ust. 3, złożoną przez poprzednie władze i obejmującą określoną sytuację oraz określony okres. ⬛ Kazus nie podaje daty złożenia deklaracji, jej zakresu przedmiotowego ani granic czasowych — a bez tych trzech danych nie da się rozstrzygnąć jurysdykcji czasowej, bo art. 11 ust. 1 wiąże kompetencję Trybunału z chwilą popełnienia czynu.</w:t>
      </w:r>
    </w:p>
    <w:p>
      <w:pPr>
        <w:pStyle w:val="BodyText"/>
      </w:pPr>
      <w:r>
        <w:t xml:space="preserve">Kwestia poprawki wymaga rozstrzygnięcia strukturalnego, nie faktycznego, i jest to najważniejsze ustalenie MG-1 w tej sprawie. Art. 121 ust. 5 zdanie pierwsze mówi o wejściu poprawki w życie „dla tych Państw-Stron, które poprawkę przyjęły”; zdanie drugie odbiera Trybunałowi wykonywanie jurysdykcji co do zbrodni objętej poprawką, gdy została popełniona przez obywateli lub na terytorium Państwa-Strony, które poprawki nie przyjęło. Cały reżim operuje pojęciem Państwa-Strony. Essuss Państwem-Stroną nie jest i nie może złożyć dokumentu ratyfikacyjnego poprawki, bo Statut takiej możliwości państwu niebędącemu stroną nie daje. Powstaje luka: reżim poprawkowy nie zawiera reguły dla państwa składającego deklarację z art. 12 ust. 3. Luki tej nie wolno wypełnić wykładnią rozszerzającą definicję zbrodni — art. 22 ust. 2 zdanie drugie nakazuje rozstrzygnąć ją na korzyść oskarżonej.</w:t>
      </w:r>
    </w:p>
    <w:p>
      <w:pPr>
        <w:pStyle w:val="BodyText"/>
      </w:pPr>
      <w:r>
        <w:t xml:space="preserve">⬛ Kazus nie podaje statusu państwa trzeciego, w którym ujęto Syrax. Przesądza to, czy art. 59 w ogóle je wiązał, a więc czy pominięcie krajowej kontroli sądowej było naruszeniem Statutu, czy zdarzeniem poza jego reżimem.</w:t>
      </w:r>
    </w:p>
    <w:p>
      <w:pPr>
        <w:pStyle w:val="BodyText"/>
      </w:pPr>
      <w:r>
        <w:t xml:space="preserve">MG-2 — wykładnia i krawędzie jednostek.</w:t>
      </w:r>
    </w:p>
    <w:p>
      <w:pPr>
        <w:pStyle w:val="BodyText"/>
      </w:pPr>
      <w:r>
        <w:t xml:space="preserve">S1 definicje: 2 trafienia. Nagłówek art. 8 ust. 2 lit. b odnosi wszystkie punkty (i)–(xxvi) do konfliktu o charakterze międzynarodowym — trafienie rozstrzygające dla zagadnienia pierwszego. Art. 7 ust. 2 lit. a definiuje „atak skierowany przeciwko ludności cywilnej” jako sposób postępowania polegający na wielokrotnym popełnianiu czynów z ustępu 1 w wykonaniu lub dla wsparcia polityki państwowej lub organizacyjnej — a więc nie wymaga ataku w sensie militarnym, co czyni tę definicję dopasowaną do systemu kontroli dostaw lepiej niż jakikolwiek przepis o zbrodniach wojennych.</w:t>
      </w:r>
    </w:p>
    <w:p>
      <w:pPr>
        <w:pStyle w:val="BodyText"/>
      </w:pPr>
      <w:r>
        <w:t xml:space="preserve">S2 krawędzie: 3 trafienia. Art. 8 ust. 2 lit. f — próg konfliktu niemiędzynarodowego, wymagający przedłużającego się konfliktu zbrojnego między władzami rządowymi a zorganizowanymi grupami zbrojnymi albo między takimi grupami, z wyłączeniem zamieszek i sporadycznych aktów przemocy. Art. 22 ust. 2 zdanie drugie — nakaz wykładni na korzyść osoby ściganej w razie wieloznaczności. Art. 121 ust. 5 zdanie drugie — ograniczenie kompetencji Trybunału ukryte w części końcowej Statutu, poza częścią materialną, i przez to systematycznie pomijane przy lekturze art. 8.</w:t>
      </w:r>
    </w:p>
    <w:p>
      <w:pPr>
        <w:pStyle w:val="BodyText"/>
      </w:pPr>
      <w:r>
        <w:t xml:space="preserve">S3 instrumenty powiązane: 2 trafienia. Poprawka do art. 8 (celowe stosowanie głodzenia ludności cywilnej), Haga, 6 grudnia 2019 r., wejście w życie 14 października 2021 r. w trybie art. 121 ust. 5, pierwotnie wobec Nowej Zelandii; na 6 września 2026 r. przyjęły ją 24 państwa. Art. 98 ust. 1 jako reżim, który mógłby blokować wniosek o wydanie ze względu na immunitet państwa trzeciego — i który w tej konfiguracji nie działa.</w:t>
      </w:r>
    </w:p>
    <w:p>
      <w:pPr>
        <w:pStyle w:val="BodyText"/>
      </w:pPr>
      <w:r>
        <w:t xml:space="preserve">S4 nowelizacje: 1 trafienie o dużym zasięgu. Art. 8 był zmieniany co najmniej pięciokrotnie: poprawka z Kampali z 10 czerwca 2010 r. (wejście w życie 26 września 2012 r.), trzy poprawki nowojorskie z 14 grudnia 2017 r. dotyczące broni (wejście w życie 2 kwietnia 2020 r.) oraz poprawka haska z 6 grudnia 2019 r. Każda działa w reżimie art. 121 ust. 5 i każda ma własną listę państw. Wniosek metodyczny: „aktualny tekst Statutu” nie jest odpowiedzią na pytanie, co wiąże w tej sprawie — jest zbiorem reżimów o różnych zakresach podmiotowych.</w:t>
      </w:r>
    </w:p>
    <w:p>
      <w:pPr>
        <w:pStyle w:val="BodyText"/>
      </w:pPr>
      <w:r>
        <w:t xml:space="preserve">CN-GATE — norma centralna per oś sporu.</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Oś sporu</w:t>
            </w:r>
          </w:p>
        </w:tc>
        <w:tc>
          <w:tcPr/>
          <w:p>
            <w:pPr>
              <w:pStyle w:val="Compact"/>
              <w:jc w:val="left"/>
            </w:pPr>
            <w:r>
              <w:t xml:space="preserve">Norma centralna</w:t>
            </w:r>
          </w:p>
        </w:tc>
        <w:tc>
          <w:tcPr/>
          <w:p>
            <w:pPr>
              <w:pStyle w:val="Compact"/>
              <w:jc w:val="left"/>
            </w:pPr>
            <w:r>
              <w:t xml:space="preserve">CN-1 czas</w:t>
            </w:r>
          </w:p>
        </w:tc>
        <w:tc>
          <w:tcPr/>
          <w:p>
            <w:pPr>
              <w:pStyle w:val="Compact"/>
              <w:jc w:val="left"/>
            </w:pPr>
            <w:r>
              <w:t xml:space="preserve">CN-2 podmiot</w:t>
            </w:r>
          </w:p>
        </w:tc>
        <w:tc>
          <w:tcPr/>
          <w:p>
            <w:pPr>
              <w:pStyle w:val="Compact"/>
              <w:jc w:val="left"/>
            </w:pPr>
            <w:r>
              <w:t xml:space="preserve">CN-3 przedmiot</w:t>
            </w:r>
          </w:p>
        </w:tc>
      </w:tr>
      <w:tr>
        <w:tc>
          <w:tcPr/>
          <w:p>
            <w:pPr>
              <w:pStyle w:val="Compact"/>
              <w:jc w:val="left"/>
            </w:pPr>
            <w:r>
              <w:t xml:space="preserve">Utrudnianie dostaw — kwalifikacja główna</w:t>
            </w:r>
          </w:p>
        </w:tc>
        <w:tc>
          <w:tcPr/>
          <w:p>
            <w:pPr>
              <w:pStyle w:val="Compact"/>
              <w:jc w:val="left"/>
            </w:pPr>
            <w:r>
              <w:t xml:space="preserve">art. 8 ust. 2 lit. b (xxv)</w:t>
            </w:r>
          </w:p>
        </w:tc>
        <w:tc>
          <w:tcPr/>
          <w:p>
            <w:pPr>
              <w:pStyle w:val="Compact"/>
              <w:jc w:val="left"/>
            </w:pPr>
            <w:r>
              <w:t xml:space="preserve">TAK</w:t>
            </w:r>
          </w:p>
        </w:tc>
        <w:tc>
          <w:tcPr/>
          <w:p>
            <w:pPr>
              <w:pStyle w:val="Compact"/>
              <w:jc w:val="left"/>
            </w:pPr>
            <w:r>
              <w:t xml:space="preserve">TAK</w:t>
            </w:r>
          </w:p>
        </w:tc>
        <w:tc>
          <w:tcPr/>
          <w:p>
            <w:pPr>
              <w:pStyle w:val="Compact"/>
              <w:jc w:val="left"/>
            </w:pPr>
            <w:r>
              <w:t xml:space="preserve">NIE przy konflikcie niemiędzynarodowym — nagłówek lit. b ogranicza katalog do konfliktu międzynarodowego</w:t>
            </w:r>
          </w:p>
        </w:tc>
      </w:tr>
      <w:tr>
        <w:tc>
          <w:tcPr/>
          <w:p>
            <w:pPr>
              <w:pStyle w:val="Compact"/>
              <w:jc w:val="left"/>
            </w:pPr>
            <w:r>
              <w:t xml:space="preserve">Utrudnianie dostaw — bliźniak dla NIAC</w:t>
            </w:r>
          </w:p>
        </w:tc>
        <w:tc>
          <w:tcPr/>
          <w:p>
            <w:pPr>
              <w:pStyle w:val="Compact"/>
              <w:jc w:val="left"/>
            </w:pPr>
            <w:r>
              <w:t xml:space="preserve">art. 8 ust. 2 lit. e (xix)</w:t>
            </w:r>
          </w:p>
        </w:tc>
        <w:tc>
          <w:tcPr/>
          <w:p>
            <w:pPr>
              <w:pStyle w:val="Compact"/>
              <w:jc w:val="left"/>
            </w:pPr>
            <w:r>
              <w:t xml:space="preserve">NIE — poprawka wiąże indywidualnie od 2021 r., a reżim art. 121 ust. 5 nie przewiduje przyjęcia przez państwo niebędące stroną</w:t>
            </w:r>
          </w:p>
        </w:tc>
        <w:tc>
          <w:tcPr/>
          <w:p>
            <w:pPr>
              <w:pStyle w:val="Compact"/>
              <w:jc w:val="left"/>
            </w:pPr>
            <w:r>
              <w:t xml:space="preserve">NIE</w:t>
            </w:r>
          </w:p>
        </w:tc>
        <w:tc>
          <w:tcPr/>
          <w:p>
            <w:pPr>
              <w:pStyle w:val="Compact"/>
              <w:jc w:val="left"/>
            </w:pPr>
            <w:r>
              <w:t xml:space="preserve">—</w:t>
            </w:r>
          </w:p>
        </w:tc>
      </w:tr>
      <w:tr>
        <w:tc>
          <w:tcPr/>
          <w:p>
            <w:pPr>
              <w:pStyle w:val="Compact"/>
              <w:jc w:val="left"/>
            </w:pPr>
            <w:r>
              <w:t xml:space="preserve">Kwalifikacja zastępcza pierwsza</w:t>
            </w:r>
          </w:p>
        </w:tc>
        <w:tc>
          <w:tcPr/>
          <w:p>
            <w:pPr>
              <w:pStyle w:val="Compact"/>
              <w:jc w:val="left"/>
            </w:pPr>
            <w:r>
              <w:t xml:space="preserve">art. 7 ust. 1 lit. b w zw. z art. 7 ust. 2 lit. b</w:t>
            </w:r>
          </w:p>
        </w:tc>
        <w:tc>
          <w:tcPr/>
          <w:p>
            <w:pPr>
              <w:pStyle w:val="Compact"/>
              <w:jc w:val="left"/>
            </w:pPr>
            <w:r>
              <w:t xml:space="preserve">TAK — tekst z 1998 r.</w:t>
            </w:r>
          </w:p>
        </w:tc>
        <w:tc>
          <w:tcPr/>
          <w:p>
            <w:pPr>
              <w:pStyle w:val="Compact"/>
              <w:jc w:val="left"/>
            </w:pPr>
            <w:r>
              <w:t xml:space="preserve">TAK</w:t>
            </w:r>
          </w:p>
        </w:tc>
        <w:tc>
          <w:tcPr/>
          <w:p>
            <w:pPr>
              <w:pStyle w:val="Compact"/>
              <w:jc w:val="left"/>
            </w:pPr>
            <w:r>
              <w:t xml:space="preserve">⬛ wymaga wykazania zniszczenia części ludności</w:t>
            </w:r>
          </w:p>
        </w:tc>
      </w:tr>
      <w:tr>
        <w:tc>
          <w:tcPr/>
          <w:p>
            <w:pPr>
              <w:pStyle w:val="Compact"/>
              <w:jc w:val="left"/>
            </w:pPr>
            <w:r>
              <w:t xml:space="preserve">Kwalifikacja zastępcza druga</w:t>
            </w:r>
          </w:p>
        </w:tc>
        <w:tc>
          <w:tcPr/>
          <w:p>
            <w:pPr>
              <w:pStyle w:val="Compact"/>
              <w:jc w:val="left"/>
            </w:pPr>
            <w:r>
              <w:t xml:space="preserve">art. 7 ust. 1 lit. k w zw. z art. 7 ust. 2 lit. a</w:t>
            </w:r>
          </w:p>
        </w:tc>
        <w:tc>
          <w:tcPr/>
          <w:p>
            <w:pPr>
              <w:pStyle w:val="Compact"/>
              <w:jc w:val="left"/>
            </w:pPr>
            <w:r>
              <w:t xml:space="preserve">TAK</w:t>
            </w:r>
          </w:p>
        </w:tc>
        <w:tc>
          <w:tcPr/>
          <w:p>
            <w:pPr>
              <w:pStyle w:val="Compact"/>
              <w:jc w:val="left"/>
            </w:pPr>
            <w:r>
              <w:t xml:space="preserve">TAK</w:t>
            </w:r>
          </w:p>
        </w:tc>
        <w:tc>
          <w:tcPr/>
          <w:p>
            <w:pPr>
              <w:pStyle w:val="Compact"/>
              <w:jc w:val="left"/>
            </w:pPr>
            <w:r>
              <w:t xml:space="preserve">TAK</w:t>
            </w:r>
          </w:p>
        </w:tc>
      </w:tr>
      <w:tr>
        <w:tc>
          <w:tcPr/>
          <w:p>
            <w:pPr>
              <w:pStyle w:val="Compact"/>
              <w:jc w:val="left"/>
            </w:pPr>
            <w:r>
              <w:t xml:space="preserve">Kwalifikacja zastępcza trzecia</w:t>
            </w:r>
          </w:p>
        </w:tc>
        <w:tc>
          <w:tcPr/>
          <w:p>
            <w:pPr>
              <w:pStyle w:val="Compact"/>
              <w:jc w:val="left"/>
            </w:pPr>
            <w:r>
              <w:t xml:space="preserve">art. 7 ust. 1 lit. h (prześladowanie z przyczyn politycznych)</w:t>
            </w:r>
          </w:p>
        </w:tc>
        <w:tc>
          <w:tcPr/>
          <w:p>
            <w:pPr>
              <w:pStyle w:val="Compact"/>
              <w:jc w:val="left"/>
            </w:pPr>
            <w:r>
              <w:t xml:space="preserve">TAK</w:t>
            </w:r>
          </w:p>
        </w:tc>
        <w:tc>
          <w:tcPr/>
          <w:p>
            <w:pPr>
              <w:pStyle w:val="Compact"/>
              <w:jc w:val="left"/>
            </w:pPr>
            <w:r>
              <w:t xml:space="preserve">TAK</w:t>
            </w:r>
          </w:p>
        </w:tc>
        <w:tc>
          <w:tcPr/>
          <w:p>
            <w:pPr>
              <w:pStyle w:val="Compact"/>
              <w:jc w:val="left"/>
            </w:pPr>
            <w:r>
              <w:t xml:space="preserve">TAK, w związku z innym czynem z ust. 1</w:t>
            </w:r>
          </w:p>
        </w:tc>
      </w:tr>
      <w:tr>
        <w:tc>
          <w:tcPr/>
          <w:p>
            <w:pPr>
              <w:pStyle w:val="Compact"/>
              <w:jc w:val="left"/>
            </w:pPr>
            <w:r>
              <w:t xml:space="preserve">Immunitet urzędującej głowy państwa</w:t>
            </w:r>
          </w:p>
        </w:tc>
        <w:tc>
          <w:tcPr/>
          <w:p>
            <w:pPr>
              <w:pStyle w:val="Compact"/>
              <w:jc w:val="left"/>
            </w:pPr>
            <w:r>
              <w:t xml:space="preserve">art. 27 ust. 1–2</w:t>
            </w:r>
          </w:p>
        </w:tc>
        <w:tc>
          <w:tcPr/>
          <w:p>
            <w:pPr>
              <w:pStyle w:val="Compact"/>
              <w:jc w:val="left"/>
            </w:pPr>
            <w:r>
              <w:t xml:space="preserve">TAK</w:t>
            </w:r>
          </w:p>
        </w:tc>
        <w:tc>
          <w:tcPr/>
          <w:p>
            <w:pPr>
              <w:pStyle w:val="Compact"/>
              <w:jc w:val="left"/>
            </w:pPr>
            <w:r>
              <w:t xml:space="preserve">TAK — deklaracja z art. 12 ust. 3 jest akceptacją wykonywania jurysdykcji, a art. 27 ust. 2 określa, co tej jurysdykcji nie tamuje</w:t>
            </w:r>
          </w:p>
        </w:tc>
        <w:tc>
          <w:tcPr/>
          <w:p>
            <w:pPr>
              <w:pStyle w:val="Compact"/>
              <w:jc w:val="left"/>
            </w:pPr>
            <w:r>
              <w:t xml:space="preserve">TAK</w:t>
            </w:r>
          </w:p>
        </w:tc>
      </w:tr>
      <w:tr>
        <w:tc>
          <w:tcPr/>
          <w:p>
            <w:pPr>
              <w:pStyle w:val="Compact"/>
              <w:jc w:val="left"/>
            </w:pPr>
            <w:r>
              <w:t xml:space="preserve">Skutek nieprawidłowego doprowadzenia</w:t>
            </w:r>
          </w:p>
        </w:tc>
        <w:tc>
          <w:tcPr/>
          <w:p>
            <w:pPr>
              <w:pStyle w:val="Compact"/>
              <w:jc w:val="left"/>
            </w:pPr>
            <w:r>
              <w:t xml:space="preserve">art. 21 ust. 3</w:t>
            </w:r>
          </w:p>
        </w:tc>
        <w:tc>
          <w:tcPr/>
          <w:p>
            <w:pPr>
              <w:pStyle w:val="Compact"/>
              <w:jc w:val="left"/>
            </w:pPr>
            <w:r>
              <w:t xml:space="preserve">TAK</w:t>
            </w:r>
          </w:p>
        </w:tc>
        <w:tc>
          <w:tcPr/>
          <w:p>
            <w:pPr>
              <w:pStyle w:val="Compact"/>
              <w:jc w:val="left"/>
            </w:pPr>
            <w:r>
              <w:t xml:space="preserve">TAK</w:t>
            </w:r>
          </w:p>
        </w:tc>
        <w:tc>
          <w:tcPr/>
          <w:p>
            <w:pPr>
              <w:pStyle w:val="Compact"/>
              <w:jc w:val="left"/>
            </w:pPr>
            <w:r>
              <w:t xml:space="preserve">TAK</w:t>
            </w:r>
          </w:p>
        </w:tc>
      </w:tr>
      <w:tr>
        <w:tc>
          <w:tcPr/>
          <w:p>
            <w:pPr>
              <w:pStyle w:val="Compact"/>
              <w:jc w:val="left"/>
            </w:pPr>
            <w:r>
              <w:t xml:space="preserve">Dopuszczalność sprawy</w:t>
            </w:r>
          </w:p>
        </w:tc>
        <w:tc>
          <w:tcPr/>
          <w:p>
            <w:pPr>
              <w:pStyle w:val="Compact"/>
              <w:jc w:val="left"/>
            </w:pPr>
            <w:r>
              <w:t xml:space="preserve">art. 17 ust. 1 lit. a</w:t>
            </w:r>
          </w:p>
        </w:tc>
        <w:tc>
          <w:tcPr/>
          <w:p>
            <w:pPr>
              <w:pStyle w:val="Compact"/>
              <w:jc w:val="left"/>
            </w:pPr>
            <w:r>
              <w:t xml:space="preserve">TAK</w:t>
            </w:r>
          </w:p>
        </w:tc>
        <w:tc>
          <w:tcPr/>
          <w:p>
            <w:pPr>
              <w:pStyle w:val="Compact"/>
              <w:jc w:val="left"/>
            </w:pPr>
            <w:r>
              <w:t xml:space="preserve">TAK</w:t>
            </w:r>
          </w:p>
        </w:tc>
        <w:tc>
          <w:tcPr/>
          <w:p>
            <w:pPr>
              <w:pStyle w:val="Compact"/>
              <w:jc w:val="left"/>
            </w:pPr>
            <w:r>
              <w:t xml:space="preserve">⬛ brak informacji o postępowaniu krajowym w Essuss</w:t>
            </w:r>
          </w:p>
        </w:tc>
      </w:tr>
      <w:tr>
        <w:tc>
          <w:tcPr/>
          <w:p>
            <w:pPr>
              <w:pStyle w:val="Compact"/>
              <w:jc w:val="left"/>
            </w:pPr>
            <w:r>
              <w:t xml:space="preserve">Forma odpowiedzialności</w:t>
            </w:r>
          </w:p>
        </w:tc>
        <w:tc>
          <w:tcPr/>
          <w:p>
            <w:pPr>
              <w:pStyle w:val="Compact"/>
              <w:jc w:val="left"/>
            </w:pPr>
            <w:r>
              <w:t xml:space="preserve">art. 25 ust. 3 lit. a</w:t>
            </w:r>
          </w:p>
        </w:tc>
        <w:tc>
          <w:tcPr/>
          <w:p>
            <w:pPr>
              <w:pStyle w:val="Compact"/>
              <w:jc w:val="left"/>
            </w:pPr>
            <w:r>
              <w:t xml:space="preserve">TAK</w:t>
            </w:r>
          </w:p>
        </w:tc>
        <w:tc>
          <w:tcPr/>
          <w:p>
            <w:pPr>
              <w:pStyle w:val="Compact"/>
              <w:jc w:val="left"/>
            </w:pPr>
            <w:r>
              <w:t xml:space="preserve">TAK</w:t>
            </w:r>
          </w:p>
        </w:tc>
        <w:tc>
          <w:tcPr/>
          <w:p>
            <w:pPr>
              <w:pStyle w:val="Compact"/>
              <w:jc w:val="left"/>
            </w:pPr>
            <w:r>
              <w:t xml:space="preserve">TAK</w:t>
            </w:r>
          </w:p>
        </w:tc>
      </w:tr>
    </w:tbl>
    <w:p>
      <w:pPr>
        <w:pStyle w:val="BodyText"/>
      </w:pPr>
      <w:r>
        <w:t xml:space="preserve">Dwa wyniki „NIE” są rozstrzygające i przenoszą oś kwalifikacji na normy zastępcze z art. 7. Dwa ⬛ przechodzą do REM-GATE jako rozstrzygnięcia warunkowe. Ścieżka nadpisania nie jest w tej sprawie dostępna: art. 22 ust. 2 wyklucza ją bezwzględnie w zakresie definicji zbrodni.</w:t>
      </w:r>
    </w:p>
    <w:bookmarkEnd w:id="39"/>
    <w:bookmarkStart w:id="46" w:name="analiza-materialna-według-zagadnień-1"/>
    <w:p>
      <w:pPr>
        <w:pStyle w:val="Heading2"/>
      </w:pPr>
      <w:r>
        <w:t xml:space="preserve">Analiza materialna według zagadnień</w:t>
      </w:r>
    </w:p>
    <w:bookmarkStart w:id="40" w:name="Xfc4535329497968d36bc5f59be123e503916d8f"/>
    <w:p>
      <w:pPr>
        <w:pStyle w:val="Heading3"/>
      </w:pPr>
      <w:r>
        <w:t xml:space="preserve">Zagadnienie 1: kwalifikacja utrudniania dostaw medycznych</w:t>
      </w:r>
    </w:p>
    <w:p>
      <w:pPr>
        <w:pStyle w:val="FirstParagraph"/>
      </w:pPr>
      <w:r>
        <w:t xml:space="preserve">Zanim dojdzie się do poprawki, trzeba rozstrzygnąć fakt, który przesądza całą oś, a którego kazus nie podaje: charakter przeciwnika. Art. 8 ust. 2 lit. f wyznacza próg konfliktu niemiędzynarodowego jako przedłużający się konflikt zbrojny między władzami rządowymi a zorganizowanymi grupami zbrojnymi. Jeżeli przeciwnik jest zorganizowaną grupą zbrojną działającą wewnątrz Essuss — konflikt jest niemiędzynarodowy i cała analiza poprawkowa staje się konieczna. Jeżeli natomiast przeciwnik jest siłą zbrojną innego państwa albo grupą działającą na jego rzecz — konflikt jest międzynarodowy, art. 8 ust. 2 lit. b (xxv) stosuje się wprost, a problem art. 121 ust. 5 znika w całości. Kazus mówi jedynie o „regionie opanowanym przez przeciwnika”, co nie rozstrzyga. To jest pierwszy brak faktyczny o znaczeniu przesądzającym i musi zostać postawiony przed jakąkolwiek konkluzją.</w:t>
      </w:r>
    </w:p>
    <w:p>
      <w:pPr>
        <w:pStyle w:val="BodyText"/>
      </w:pPr>
      <w:r>
        <w:t xml:space="preserve">Wariant konfliktu niemiędzynarodowego. Punkt (xxv) leży w katalogu, którego nagłówek ogranicza go do konfliktu międzynarodowego, więc nie ma zastosowania. Jego odpowiednik — art. 8 ust. 2 lit. e (xix), w brzmieniu „celowe stosowanie głodzenia ludności cywilnej jako metody prowadzenia wojny przez pozbawianie jej przedmiotów niezbędnych do przetrwania, w tym umyślne utrudnianie dostaw pomocy” — istnieje od 2019 r. i wiąże wyłącznie państwa, które go przyjęły. Warto odnotować różnicę tekstową między bliźniakami: wersja dla konfliktu niemiędzynarodowego nie zawiera zastrzeżenia „zgodnie z postanowieniami Konwencji genewskich”, które w punkcie (xxv) ogranicza pojęcie dostaw pomocy. Różnica działa na korzyść prokuratora, ale tylko tam, gdzie poprawka w ogóle obowiązuje.</w:t>
      </w:r>
    </w:p>
    <w:p>
      <w:pPr>
        <w:pStyle w:val="BodyText"/>
      </w:pPr>
      <w:r>
        <w:t xml:space="preserve">Wobec Essuss reżim poprawkowy nie ma reguły. Art. 121 ust. 5 zna wyłącznie Państwa-Strony, a Essuss nim nie jest. Prokurator będzie argumentował, że deklaracja z art. 12 ust. 3 akceptuje wykonywanie jurysdykcji według Statutu w brzmieniu obowiązującym, a więc wraz z poprawkami. Obrona odpowie, że deklaracja nie może rozszerzyć zakresu przedmiotowego ponad to, co Statut przewiduje dla samych Państw-Stron, i że skoro Państwo-Strona może poprawki nie przyjąć, to państwo o statusie słabszym tym bardziej nie może być nią związane bez własnego aktu. Argument obrony jest mocniejszy, i to nie z powodu swojej treści, lecz z powodu art. 22 ust. 2: przy dwóch obronnych odczytach definicji zbrodni wybiera się ten korzystniejszy dla oskarżonej. Konkluzja: zarzutu opartego na art. 8 ust. 2 lit. e (xix) nie należy stawiać.</w:t>
      </w:r>
    </w:p>
    <w:p>
      <w:pPr>
        <w:pStyle w:val="BodyText"/>
      </w:pPr>
      <w:r>
        <w:t xml:space="preserve">Ścieżka zastępcza. Art. 7 ust. 2 lit. b definiuje eksterminację jako obejmującą celowe stworzenie warunków życia, między innymi pozbawienie dostępu do żywności i leków, obliczone na zniszczenie części ludności. Dopasowanie do stanu faktycznego jest niemal dosłowne: system kontroli dostaw, wielokrotne zatrzymywanie konwojów z lekami i sprzętem ratunkowym, brak środków do leczenia chorób przewlekłych i obrażeń wojennych. Element, którego kazus nie potwierdza, to skutek — zbrodnia eksterminacji wymaga zniszczenia części ludności, a więc śmierci na znaczną skalę. Kazus mówi o braku środków, nie o zgonach. ⬛ i rozstrzygnięcie warunkowe: przy wykazaniu śmiertelności powiązanej z brakiem leków — art. 7 ust. 1 lit. b; przy jej braku — art. 7 ust. 1 lit. k, czyli inne nieludzkie czyny o podobnym charakterze, umyślnie powodujące wielkie cierpienie albo poważne uszkodzenie ciała lub zdrowia psychicznego bądź fizycznego, gdzie skutek śmiertelny nie jest znamieniem.</w:t>
      </w:r>
    </w:p>
    <w:p>
      <w:pPr>
        <w:pStyle w:val="BodyText"/>
      </w:pPr>
      <w:r>
        <w:t xml:space="preserve">Chapeau art. 7 ust. 1 wymaga popełnienia w ramach rozległego lub systematycznego ataku skierowanego przeciwko ludności cywilnej, z wiedzą o ataku. Znamiona są tu spełnione lepiej niż w wariancie wojennym: system kontroli zatwierdzony przez głowę państwa i stosowany wielokrotnie jest z definicji polityką państwową w rozumieniu art. 7 ust. 2 lit. a, a jego stosowanie na obszarze całego regionu wypełnia człon „systematyczny” niezależnie od liczby zdarzeń. Twierdzenie prokuratora, że ograniczenia miały osłabić ludność wspierającą przeciwnika, otwiera dodatkowo art. 7 ust. 1 lit. h — prześladowanie identyfikowalnej grupy z przyczyn politycznych, w związku z innym czynem z ustępu 1.</w:t>
      </w:r>
    </w:p>
    <w:p>
      <w:pPr>
        <w:pStyle w:val="BodyText"/>
      </w:pPr>
      <w:r>
        <w:t xml:space="preserve">Sprawdzone i odrzucone reżimy alternatywne, wpisane wprost, bo REM-1 wymaga listy, a nie samego stwierdzenia braku. Art. 8 ust. 2 lit. c (i) — okrutne traktowanie w rozumieniu wspólnego art. 3 Konwencji genewskich: chapeau litery c wymaga czynów popełnionych „przeciwko osobom niebiorącym czynnego udziału w działaniach wojennych”, a utrwalone rozumienie tej kategorii zakłada, że ofiary znajdują się we władzy sprawcy; ludność w regionie kontrolowanym przez przeciwnika w tym stosunku nie pozostaje. Art. 8 ust. 2 lit. e (ii) i (iii) — umyślne kierowanie ataków przeciwko jednostkom i personelowi medycznemu oraz przeciwko personelowi misji pomocy humanitarnej: znamieniem jest „atak”, czyli akt przemocy, a zatrzymywanie konwojów na punktach kontrolnych aktem przemocy nie jest. Art. 8 ust. 2 lit. e (xii) — niszczenie lub zajmowanie mienia przeciwnika: nie obejmuje niewpuszczenia mienia na obszar.</w:t>
      </w:r>
    </w:p>
    <w:bookmarkEnd w:id="40"/>
    <w:bookmarkStart w:id="41" w:name="X0377869b76a35d8d199c6aa685023e3d18a814a"/>
    <w:p>
      <w:pPr>
        <w:pStyle w:val="Heading3"/>
      </w:pPr>
      <w:r>
        <w:t xml:space="preserve">Zagadnienie 2: związek z konfliktem zbrojnym i strona chroniona</w:t>
      </w:r>
    </w:p>
    <w:p>
      <w:pPr>
        <w:pStyle w:val="FirstParagraph"/>
      </w:pPr>
      <w:r>
        <w:t xml:space="preserve">Pytanie jest w kazusie sformułowane tak, jak formułuje je obrona, i warto zauważyć, że przy ścieżce zastępczej po prostu odpada. Związek z konfliktem zbrojnym jest znamieniem zbrodni wojennych, nie zbrodni przeciwko ludzkości; art. 7 nie wymaga ani konfliktu, ani nexusu. Jest to trzeci — po pominięciu problemu poprawki i po lepszym dopasowaniu chapeau — powód, dla którego przeniesienie kwalifikacji jest ruchem korzystnym dla oskarżenia, a nie ustępstwem.</w:t>
      </w:r>
    </w:p>
    <w:p>
      <w:pPr>
        <w:pStyle w:val="BodyText"/>
      </w:pPr>
      <w:r>
        <w:t xml:space="preserve">Pojęcie strony chronionej wymaga sprostowania, bo jest w tej sprawie importowane z niewłaściwego reżimu. Kategoria osób chronionych w rozumieniu Konwencji genewskich jest znamieniem ciężkich naruszeń z art. 8 ust. 2 lit. a. Punkt (xxv) nią nie operuje — mówi o ludności cywilnej. Obrona, która zbuduje linię na tym, że mieszkańcy regionu opanowanego przez przeciwnika nie są osobami chronionymi, będzie odpowiadać na zarzut, którego nikt nie postawił.</w:t>
      </w:r>
    </w:p>
    <w:p>
      <w:pPr>
        <w:pStyle w:val="BodyText"/>
      </w:pPr>
      <w:r>
        <w:t xml:space="preserve">Gdyby jednak sprawa poszła torem wojennym (wariant konfliktu międzynarodowego z zagadnienia pierwszego), nexus wymaga wykazania, że zachowanie było ściśle powiązane z konfliktem — nie tylko czasowo współistniało. Materiał kazusu daje to powiązanie wprost: system kontroli dostaw dotyczył wyłącznie regionu opanowanego przez przeciwnika i był uzasadniany przemytem broni. Uzasadnienie obrony jest tu jednocześnie dowodem nexusu dla oskarżenia, co jest w tego typu sprawach częste i warto to wykorzystać zamiast zwalczać.</w:t>
      </w:r>
    </w:p>
    <w:bookmarkEnd w:id="41"/>
    <w:bookmarkStart w:id="42" w:name="X5fafa9b5a49a7dc65dda9f936d2641b28e23710"/>
    <w:p>
      <w:pPr>
        <w:pStyle w:val="Heading3"/>
      </w:pPr>
      <w:r>
        <w:t xml:space="preserve">Zagadnienie 3: zakres deklaracji jurysdykcyjnej i jej cofnięcie</w:t>
      </w:r>
    </w:p>
    <w:p>
      <w:pPr>
        <w:pStyle w:val="FirstParagraph"/>
      </w:pPr>
      <w:r>
        <w:t xml:space="preserve">Art. 12 ust. 3 stanowi, że jeżeli wymagana jest akceptacja państwa niebędącego stroną Statutu, państwo to może w drodze deklaracji złożonej Sekretarzowi Trybunału zaakceptować wykonywanie jurysdykcji przez Trybunał w odniesieniu do danej zbrodni, przy czym państwo akceptujące współpracuje z Trybunałem bez zwłoki i bez wyjątku zgodnie z częścią 9. Art. 11 ust. 2 potwierdza, że deklaracja może sięgać wstecz przed wejście Statutu w życie dla danego państwa — a więc jest instrumentem o działaniu retrospektywnym z natury.</w:t>
      </w:r>
    </w:p>
    <w:p>
      <w:pPr>
        <w:pStyle w:val="BodyText"/>
      </w:pPr>
      <w:r>
        <w:t xml:space="preserve">Zakres. Deklaracja obejmuje „określoną sytuację i okres”. ⬛ Kazus nie podaje granic tego okresu ani sposobu zdefiniowania sytuacji. Rozstrzygnięcie warunkowe: jeżeli zarzucane czyny mieszczą się w zadeklarowanym okresie i sytuacji — jurysdykcja czasowa jest spełniona, bo art. 11 ust. 1 wiąże ją z chwilą popełnienia czynu; jeżeli część czynów wykracza poza okres — zarzuty trzeba rozdzielić i potwierdzić tylko w części objętej deklaracją, a nie oddalić w całości. Rozdzielenie jest tu operacją obowiązkową, nie opcją: system kontroli dostaw działał w czasie i poszczególne zatrzymania konwojów mają własne daty.</w:t>
      </w:r>
    </w:p>
    <w:p>
      <w:pPr>
        <w:pStyle w:val="BodyText"/>
      </w:pPr>
      <w:r>
        <w:t xml:space="preserve">Cofnięcie. Statut nie przewiduje mechanizmu wycofania deklaracji z art. 12 ust. 3 i to jest ustalenie tekstowe, nie domysł. Argument najmocniejszy jest przy tym nie ten, po który sięga się najpierw. Konstrukcja systemowa — skoro nawet wystąpienie ze Statutu w trybie art. 127 nie zwalnia państwa z obowiązków powstałych w czasie, gdy było stroną, nie wpływa na współpracę w postępowaniach wszczętych wcześniej i nie przesądza dalszego rozpoznania spraw już rozpatrywanych przez Trybunał, to tym bardziej nie może tego uczynić cofnięcie deklaracji ad hoc — jest argumentem z analogii i tak trzeba go oznaczyć. Mocniejszy jest argument tekstowy: kompetencja Trybunału w czasie jest wyznaczona chwilą popełnienia czynu (art. 11 ust. 1), a deklaracja jest aktem akceptacji odnoszącym się do zamkniętego, przeszłego okresu. Akceptacja wykonana co do przeszłości nie jest zobowiązaniem ciągłym, które można wypowiedzieć na przyszłość ze skutkiem dla przeszłości. Stanowisko nowego rządu jest kwestią polityki zagranicznej Essuss, a nie kompetencji Trybunału — z tym zastrzeżeniem, że rodzi ono realny problem wykonawczy przy współpracy z art. 12 ust. 3 zdanie drugie, którą Essuss samo na siebie przyjęło.</w:t>
      </w:r>
    </w:p>
    <w:p>
      <w:pPr>
        <w:pStyle w:val="BodyText"/>
      </w:pPr>
      <w:r>
        <w:t xml:space="preserve">Ograniczenie zasięgu art. 22 ust. 2, które trzeba postawić uczciwie w obie strony. Nakaz ścisłej wykładni i zakaz analogii odnoszą się w art. 22 ust. 2 do „definicji zbrodni”. Nie obejmują więc przepisów jurysdykcyjnych i proceduralnych — obrona nie może użyć art. 22 ust. 2 przeciwko szerokiemu odczytaniu art. 12 ust. 3. Ale ta sama granica działa przeciwko oskarżeniu w zagadnieniu pierwszym: tam chodzi właśnie o definicję zbrodni i tam art. 22 ust. 2 stosuje się z pełną siłą. Asymetria jest tekstowa i należy ją podnieść samodzielnie, zanim zrobi to przeciwnik.</w:t>
      </w:r>
    </w:p>
    <w:bookmarkEnd w:id="42"/>
    <w:bookmarkStart w:id="43" w:name="Xcb45716df37d817308046a35a4c118caac02e9b"/>
    <w:p>
      <w:pPr>
        <w:pStyle w:val="Heading3"/>
      </w:pPr>
      <w:r>
        <w:t xml:space="preserve">Zagadnienie 4: immunitet urzędującej głowy państwa</w:t>
      </w:r>
    </w:p>
    <w:p>
      <w:pPr>
        <w:pStyle w:val="FirstParagraph"/>
      </w:pPr>
      <w:r>
        <w:t xml:space="preserve">Art. 27 ust. 1 stanowi, że Statut stosuje się jednakowo do wszystkich osób bez względu na pełnioną funkcję, a funkcja głowy państwa w żadnym razie nie zwalnia z odpowiedzialności karnej ani sama przez się nie stanowi podstawy złagodzenia kary. Ustęp 2 dodaje, że immunitety i szczególne normy proceduralne związane z funkcją, na gruncie prawa krajowego lub międzynarodowego, nie stanowią przeszkody dla wykonywania jurysdykcji przez Trybunał.</w:t>
      </w:r>
    </w:p>
    <w:p>
      <w:pPr>
        <w:pStyle w:val="BodyText"/>
      </w:pPr>
      <w:r>
        <w:t xml:space="preserve">Relacja pionowa — między Trybunałem a Syrax — jest rozstrzygnięta najkrótszą drogą, a droga ta prowadzi przez deklarację, nie przez zwyczaj. Essuss samo zaakceptowało wykonywanie jurysdykcji przez Trybunał. Art. 27 ust. 2 jest właśnie przepisem określającym, co wykonywaniu tej jurysdykcji nie stoi na przeszkodzie. Akceptując wykonywanie jurysdykcji, państwo akceptuje reżim, w którego ramach jest ona wykonywana, wraz z art. 27. Immunitet głowy państwa Essuss nie może zatem tamować postępowania, bo państwo, do którego ten immunitet należy, zgodziło się na jego niestosowanie w tej sytuacji.</w:t>
      </w:r>
    </w:p>
    <w:p>
      <w:pPr>
        <w:pStyle w:val="BodyText"/>
      </w:pPr>
      <w:r>
        <w:t xml:space="preserve">Relacja pozioma — między Trybunałem a państwem, które ujęło i przekazało Syrax — wymaga innego narzędzia. Tu znajduje zastosowanie linia Al-Bashir. Izba Apelacyjna stwierdziła, że nie istnieje ani praktyka państw, ani opinio juris, które wspierałyby istnienie immunitetu głowy państwa na gruncie prawa zwyczajowego wobec sądu międzynarodowego, a brak takiej normy zwyczajowej ma znaczenie nie tylko dla pytania, czy sąd międzynarodowy może wydać nakaz aresztowania i prowadzić postępowanie, lecz także dla relacji horyzontalnej między państwami, gdy sąd międzynarodowy zwraca się do państwa o zatrzymanie i wydanie głowy państwa innego państwa. Izba Apelacyjna odczytała art. 27 ust. 2 jako wyłączający powoływanie się na immunitet również w odniesieniu do zatrzymania i wydania, a zatem jako odnoszący się także do „jurysdykcji wykonawczej” Trybunału wobec państw-stron.</w:t>
      </w:r>
    </w:p>
    <w:p>
      <w:pPr>
        <w:pStyle w:val="BodyText"/>
      </w:pPr>
      <w:r>
        <w:t xml:space="preserve">Trzeba jednak wskazać różnicę, która w kazusie jest istotna i którą łatwo przemilczeć. Wobec Sudanu — państwa niebędącego stroną — Izba Apelacyjna pracowała w konfiguracji, w której obowiązek pełnej współpracy wynikał z rezolucji Rady Bezpieczeństwa. W kazusie żadnego przekazania przez Radę nie ma. Prokurator, który powoła Al-Bashir jako jedyną podstawę, powoła orzeczenie odczytane poprawnie i wydane w innej konfiguracji podmiotowej. Właściwe użycie tego orzeczenia jest węższe: dla ustalenia braku zwyczajowego immunitetu wobec sądu międzynarodowego i dla relacji poziomej, przy jednoczesnym oparciu relacji pionowej na własnej deklaracji Essuss.</w:t>
      </w:r>
    </w:p>
    <w:p>
      <w:pPr>
        <w:pStyle w:val="BodyText"/>
      </w:pPr>
      <w:r>
        <w:t xml:space="preserve">Art. 98 ust. 1 stanowi, że Trybunał nie może wystąpić z wnioskiem o wydanie lub pomoc, który wymagałby od państwa wezwanego działania niezgodnego z jego zobowiązaniami wobec immunitetu państwowego lub dyplomatycznego osoby albo mienia państwa trzeciego, chyba że Trybunał uzyska uprzednio współpracę tego państwa trzeciego w zakresie uchylenia immunitetu. W tej konfiguracji przepis nie blokuje niczego: państwem trzecim, którego immunitet wchodziłby w grę, jest Essuss, a Essuss wyraziło akceptację wykonywania jurysdykcji, co w warstwie materialnej odpowiada uzyskaniu tej współpracy.</w:t>
      </w:r>
    </w:p>
    <w:p>
      <w:pPr>
        <w:pStyle w:val="BodyText"/>
      </w:pPr>
      <w:r>
        <w:t xml:space="preserve">Zależność, którą trzeba zadeklarować: konkluzja immunitetowa opiera się na deklaracji, więc jeśli zagadnienie trzecie rozstrzygnie się na niekorzyść prokuratora co do zakresu deklaracji, oś immunitetowa otwiera się ponownie i wtedy jedyną podstawą pozostaje zwyczaj z linii Al-Bashir — bez wsparcia rezolucji Rady, a więc w wersji istotnie słabszej.</w:t>
      </w:r>
    </w:p>
    <w:bookmarkEnd w:id="43"/>
    <w:bookmarkStart w:id="44" w:name="Xf6d5818e1e7c180a4a78ac8505036b34643dbdf"/>
    <w:p>
      <w:pPr>
        <w:pStyle w:val="Heading3"/>
      </w:pPr>
      <w:r>
        <w:t xml:space="preserve">Zagadnienie 5: skutki nielegalnego lub nieregularnego ujęcia</w:t>
      </w:r>
    </w:p>
    <w:p>
      <w:pPr>
        <w:pStyle w:val="FirstParagraph"/>
      </w:pPr>
      <w:r>
        <w:t xml:space="preserve">Pierwsze sprostowanie dotyczy nazwy. Przekazanie osoby Trybunałowi w części 9 Statutu nie jest ekstradycją, lecz wydaniem w odrębnym reżimie. Zdanie kazusu o przekazaniu „bez pełnego krajowego postępowania ekstradycyjnego” opisuje więc brak procedury, która nie była właściwa. Właściwą procedurą jest art. 59: państwo-strona, które otrzymało wniosek o tymczasowe aresztowanie albo o aresztowanie i wydanie, niezwłocznie podejmuje kroki w celu zatrzymania, a osoba zatrzymana jest bezzwłocznie doprowadzona przed właściwy organ sądowy państwa zatrzymania, który stwierdza, że nakaz dotyczy tej osoby, że zatrzymania dokonano we właściwym trybie i że prawa osoby były przestrzegane. Zdanie zamykające ustęp 4 odbiera temu organowi możliwość badania, czy nakaz aresztowania został prawidłowo wydany — kontrola jest więc z założenia wąska, ale jest obowiązkowa.</w:t>
      </w:r>
    </w:p>
    <w:p>
      <w:pPr>
        <w:pStyle w:val="BodyText"/>
      </w:pPr>
      <w:r>
        <w:t xml:space="preserve">Drugie sprostowanie dotyczy skutku. Izba Apelacyjna w postępowaniu Lubanga stwierdziła, że Statut nie przewiduje zawieszenia postępowania z powodu nadużycia procedury jako takiego; drogą jest art. 21 ust. 3, który nakazuje, by stosowanie i wykładnia prawa były zgodne z uznanymi międzynarodowo prawami człowieka, a w kontekście Statutu przede wszystkim z prawem do rzetelnego procesu rozumianym szeroko. Test jest wysoki i został sformułowany wprost: gdy rzetelny proces staje się niemożliwy wskutek naruszeń podstawowych praw podejrzanego lub oskarżonego przez tych, którzy go oskarżają, postawienie takiej osoby przed sądem byłoby wewnętrznie sprzeczne, a postępowanie należy zatrzymać. Naruszenie prawa do wolności przez nielegalne zatrzymanie rodzi natomiast prawo do odszkodowania na podstawie art. 85 ust. 1, który przyznaje każdemu, kto był ofiarą bezprawnego aresztowania lub zatrzymania, zaskarżalne prawo do odszkodowania.</w:t>
      </w:r>
    </w:p>
    <w:p>
      <w:pPr>
        <w:pStyle w:val="BodyText"/>
      </w:pPr>
      <w:r>
        <w:t xml:space="preserve">Wynika z tego rozstrzygnięcie warunkowe o dwóch gałęziach i to ⬛, które o nich przesądza, jest w kazusie niewypełnione: nie podano nic o traktowaniu Syrax w toku operacji. Jeżeli ujęciu towarzyszyły tortury albo poważne złe traktowanie — droga z art. 21 ust. 3 jest otwarta i wniosek obrony o zakończenie postępowania podlega merytorycznemu rozpoznaniu według testu niemożliwości rzetelnego procesu. Jeżeli operacja była nielegalna w relacji międzypaństwowej, ale nie towarzyszyło jej złe traktowanie — postępowanie toczy się dalej, a naruszenie jest naprawiane odszkodowaniem z art. 85 ust. 1 oraz, gdy państwo ujęcia jest stroną Statutu, stwierdzeniem uchybienia art. 59 ust. 2. Spór o legalność samej operacji między dwoma państwami nie jest wtedy sprawą Syrax i nie może być przez nią przekształcony w zarzut jurysdykcyjny.</w:t>
      </w:r>
    </w:p>
    <w:p>
      <w:pPr>
        <w:pStyle w:val="BodyText"/>
      </w:pPr>
      <w:r>
        <w:t xml:space="preserve">Trzecia warstwa, odrębna od dwóch powyższych: dowody. Nawet przy kontynuowaniu postępowania materiał uzyskany w sposób naruszający uznane międzynarodowo prawa człowieka podlega odrębnej ocenie dopuszczalności. Jest to inne pytanie niż pytanie o zawieszenie i inne niż pytanie o odszkodowanie; łączenie go z nimi jest częstym błędem obrony, który kosztuje ją najsilniejszy z trzech wniosków.</w:t>
      </w:r>
    </w:p>
    <w:bookmarkEnd w:id="44"/>
    <w:bookmarkStart w:id="45" w:name="X94b50230b6dba52e22594c23bf4ba36f5af089f"/>
    <w:p>
      <w:pPr>
        <w:pStyle w:val="Heading3"/>
      </w:pPr>
      <w:r>
        <w:t xml:space="preserve">Zagadnienie 6: forma indywidualnej odpowiedzialności</w:t>
      </w:r>
    </w:p>
    <w:p>
      <w:pPr>
        <w:pStyle w:val="FirstParagraph"/>
      </w:pPr>
      <w:r>
        <w:t xml:space="preserve">Materiał kazusu jest asymetryczny w sposób, który przesądza dobór formy: dokumenty są fragmentaryczne, część rozkazów przekazywano ustnie, ale jeden fakt jest podany jednoznacznie — Syrax zatwierdziła system kontroli dostaw. Zatwierdzenie jest działaniem, nie zaniechaniem, i to rozstrzyga hierarchię zarzutów.</w:t>
      </w:r>
    </w:p>
    <w:p>
      <w:pPr>
        <w:pStyle w:val="BodyText"/>
      </w:pPr>
      <w:r>
        <w:t xml:space="preserve">Art. 25 ust. 3 lit. a jako zarzut główny. Przepis obejmuje osobę, która popełnia zbrodnię indywidualnie, wspólnie z inną osobą lub za pośrednictwem innej osoby, niezależnie od tego, czy ta inna osoba ponosi odpowiedzialność karną. Ostatni człon jest tu kluczowy: pozwala przypisać sprawstwo osobie kierującej aparatem, której bezpośredni wykonawcy — funkcjonariusze na punktach kontrolnych — mogą działać w warunkach wyłączających ich własną odpowiedzialność. Zatwierdzenie systemu przez głowę państwa i utrzymywanie go mimo znanych skutków wypełnia konstrukcję sprawstwa pośredniego lepiej niż jakakolwiek forma pomocnicza.</w:t>
      </w:r>
    </w:p>
    <w:p>
      <w:pPr>
        <w:pStyle w:val="BodyText"/>
      </w:pPr>
      <w:r>
        <w:t xml:space="preserve">Art. 25 ust. 3 lit. b jako zarzut alternatywny. Odpowiada osoba, która zleca, nakłania lub namawia do popełnienia zbrodni, która faktycznie zostaje popełniona lub której popełnienia usiłowano. Zaletą tej formy jest niższy próg dowodowy co do struktury władzy; wadą — konieczność wykazania treści polecenia, co przy rozkazach ustnych i fragmentarycznej dokumentacji jest najsłabszym punktem sprawy.</w:t>
      </w:r>
    </w:p>
    <w:p>
      <w:pPr>
        <w:pStyle w:val="BodyText"/>
      </w:pPr>
      <w:r>
        <w:t xml:space="preserve">Art. 25 ust. 3 lit. d jako forma rezerwowa. Obejmuje każdy inny sposób przyczynienia się do popełnienia zbrodni przez grupę osób działających we wspólnym celu, przy czym przyczynienie musi być umyślne i albo dokonane w celu wsparcia działalności lub celu przestępczego grupy, albo ze świadomością zamiaru grupy popełnienia zbrodni. Próg jest najniższy ze wszystkich i dlatego forma ta jest wartościowa jako zabezpieczenie, a nie jako zarzut wiodący.</w:t>
      </w:r>
    </w:p>
    <w:p>
      <w:pPr>
        <w:pStyle w:val="BodyText"/>
      </w:pPr>
      <w:r>
        <w:t xml:space="preserve">Art. 28 lit. b jako zarzut odrębny, nie konkurencyjny. Syrax jest przełożoną cywilną, więc właściwy jest ustęp b, nie a — a różnica w standardzie wiedzy jest istotna: wymaga się, by przełożony wiedział albo świadomie zlekceważył informację, która wyraźnie wskazywała, że podwładni popełniają zbrodnie lub zamierzają je popełnić, by zbrodnie dotyczyły działalności objętej efektywną odpowiedzialnością i kontrolą przełożonego oraz by przełożony nie podjął wszelkich koniecznych i rozsądnych środków w swojej mocy, aby zapobiec popełnieniu albo je stłumić lub przekazać sprawę właściwym organom. Ta forma nie pasuje do zatwierdzenia systemu — pasuje natomiast do tego, co działo się później: konwoje zatrzymywano wielokrotnie, a w szpitalach zabrakło środków. Informacja o skutkach jest właśnie informacją, która wyraźnie wskazuje. Zalecenie: postawić art. 28 lit. b jako osobny zarzut obejmujący okres po ujawnieniu się braków, a nie jako alternatywę wobec art. 25 ust. 3.</w:t>
      </w:r>
    </w:p>
    <w:p>
      <w:pPr>
        <w:pStyle w:val="BodyText"/>
      </w:pPr>
      <w:r>
        <w:t xml:space="preserve">Uzasadnienie dowodowe tego układu jest praktyczne. Art. 28 lit. b jest formą najodporniejszą na słabość materiału, bo nie wymaga udowodnienia treści żadnego pojedynczego polecenia — wymaga wykazania wiedzy albo świadomego zlekceważenia oraz braku reakcji, a raporty o brakach w szpitalach są dowodem obu tych elementów. Standard z art. 61 ust. 7 wymaga na tym etapie wystarczającego materiału dla ustalenia poważnych podstaw do przyjęcia, że osoba popełniła każdą z zarzucanych zbrodni; art. 61 ust. 5 zezwala prokuratorowi opierać się na materiale dokumentarnym lub streszczeniach i nie wymaga powoływania świadków, których zeznania planuje przedstawić na rozprawie. Konfiguracja materiału z kazusu jest więc dla etapu potwierdzenia zarzutów wystarczająca, choć nie musi być wystarczająca dla wyroku.</w:t>
      </w:r>
    </w:p>
    <w:bookmarkEnd w:id="45"/>
    <w:bookmarkEnd w:id="46"/>
    <w:bookmarkStart w:id="47" w:name="macierz-argumentów-1"/>
    <w:p>
      <w:pPr>
        <w:pStyle w:val="Heading2"/>
      </w:pPr>
      <w:r>
        <w:t xml:space="preserve">Macierz argumentów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Zagadnienie</w:t>
            </w:r>
          </w:p>
        </w:tc>
        <w:tc>
          <w:tcPr/>
          <w:p>
            <w:pPr>
              <w:pStyle w:val="Compact"/>
              <w:jc w:val="left"/>
            </w:pPr>
            <w:r>
              <w:t xml:space="preserve">Argument prokuratora</w:t>
            </w:r>
          </w:p>
        </w:tc>
        <w:tc>
          <w:tcPr/>
          <w:p>
            <w:pPr>
              <w:pStyle w:val="Compact"/>
              <w:jc w:val="left"/>
            </w:pPr>
            <w:r>
              <w:t xml:space="preserve">Odpowiedź obrony</w:t>
            </w:r>
          </w:p>
        </w:tc>
      </w:tr>
      <w:tr>
        <w:tc>
          <w:tcPr/>
          <w:p>
            <w:pPr>
              <w:pStyle w:val="Compact"/>
              <w:jc w:val="left"/>
            </w:pPr>
            <w:r>
              <w:t xml:space="preserve">Kwalifikacja główna</w:t>
            </w:r>
          </w:p>
        </w:tc>
        <w:tc>
          <w:tcPr/>
          <w:p>
            <w:pPr>
              <w:pStyle w:val="Compact"/>
              <w:jc w:val="left"/>
            </w:pPr>
            <w:r>
              <w:t xml:space="preserve">Utrudnianie dostaw medycznych wypełnia znamiona głodzenia jako metody prowadzenia wojny</w:t>
            </w:r>
          </w:p>
        </w:tc>
        <w:tc>
          <w:tcPr/>
          <w:p>
            <w:pPr>
              <w:pStyle w:val="Compact"/>
              <w:jc w:val="left"/>
            </w:pPr>
            <w:r>
              <w:t xml:space="preserve">Punkt (xxv) leży w katalogu ograniczonym nagłówkiem do konfliktu międzynarodowego; bliźniak dla NIAC pochodzi z poprawki z 2019 r. wiążącej indywidualnie</w:t>
            </w:r>
          </w:p>
        </w:tc>
      </w:tr>
      <w:tr>
        <w:tc>
          <w:tcPr/>
          <w:p>
            <w:pPr>
              <w:pStyle w:val="Compact"/>
              <w:jc w:val="left"/>
            </w:pPr>
            <w:r>
              <w:t xml:space="preserve">Poprawka wobec Essuss</w:t>
            </w:r>
          </w:p>
        </w:tc>
        <w:tc>
          <w:tcPr/>
          <w:p>
            <w:pPr>
              <w:pStyle w:val="Compact"/>
              <w:jc w:val="left"/>
            </w:pPr>
            <w:r>
              <w:t xml:space="preserve">Deklaracja z art. 12 ust. 3 akceptuje Statut w brzmieniu obowiązującym, wraz z poprawkami</w:t>
            </w:r>
          </w:p>
        </w:tc>
        <w:tc>
          <w:tcPr/>
          <w:p>
            <w:pPr>
              <w:pStyle w:val="Compact"/>
              <w:jc w:val="left"/>
            </w:pPr>
            <w:r>
              <w:t xml:space="preserve">Reżim art. 121 ust. 5 operuje wyłącznie pojęciem Państwa-Strony; luki nie wolno wypełnić na niekorzyść oskarżonej (art. 22 ust. 2)</w:t>
            </w:r>
          </w:p>
        </w:tc>
      </w:tr>
      <w:tr>
        <w:tc>
          <w:tcPr/>
          <w:p>
            <w:pPr>
              <w:pStyle w:val="Compact"/>
              <w:jc w:val="left"/>
            </w:pPr>
            <w:r>
              <w:t xml:space="preserve">Kwalifikacja zastępcza</w:t>
            </w:r>
          </w:p>
        </w:tc>
        <w:tc>
          <w:tcPr/>
          <w:p>
            <w:pPr>
              <w:pStyle w:val="Compact"/>
              <w:jc w:val="left"/>
            </w:pPr>
            <w:r>
              <w:t xml:space="preserve">Art. 7 ust. 2 lit. b wymienia pozbawienie dostępu do żywności i leków wprost; przepis z 1998 r., bez potrzeby poprawki i bez wymogu nexusu</w:t>
            </w:r>
          </w:p>
        </w:tc>
        <w:tc>
          <w:tcPr/>
          <w:p>
            <w:pPr>
              <w:pStyle w:val="Compact"/>
              <w:jc w:val="left"/>
            </w:pPr>
            <w:r>
              <w:t xml:space="preserve">Eksterminacja wymaga zniszczenia części ludności, a kazus nie podaje zgonów; chapeau wymaga rozległości lub systematyczności ponad pojedyncze zatrzymania</w:t>
            </w:r>
          </w:p>
        </w:tc>
      </w:tr>
      <w:tr>
        <w:tc>
          <w:tcPr/>
          <w:p>
            <w:pPr>
              <w:pStyle w:val="Compact"/>
              <w:jc w:val="left"/>
            </w:pPr>
            <w:r>
              <w:t xml:space="preserve">Nexus i strona chroniona</w:t>
            </w:r>
          </w:p>
        </w:tc>
        <w:tc>
          <w:tcPr/>
          <w:p>
            <w:pPr>
              <w:pStyle w:val="Compact"/>
              <w:jc w:val="left"/>
            </w:pPr>
            <w:r>
              <w:t xml:space="preserve">Przy ścieżce z art. 7 pytanie nie powstaje; przy ścieżce wojennej nexus wynika z uzasadnienia samej obrony (przemyt broni)</w:t>
            </w:r>
          </w:p>
        </w:tc>
        <w:tc>
          <w:tcPr/>
          <w:p>
            <w:pPr>
              <w:pStyle w:val="Compact"/>
              <w:jc w:val="left"/>
            </w:pPr>
            <w:r>
              <w:t xml:space="preserve">Kategoria osoby chronionej z reżimu ciężkich naruszeń nie jest spełniona wobec ludności obszaru kontrolowanego przez przeciwnika</w:t>
            </w:r>
          </w:p>
        </w:tc>
      </w:tr>
      <w:tr>
        <w:tc>
          <w:tcPr/>
          <w:p>
            <w:pPr>
              <w:pStyle w:val="Compact"/>
              <w:jc w:val="left"/>
            </w:pPr>
            <w:r>
              <w:t xml:space="preserve">Deklaracja</w:t>
            </w:r>
          </w:p>
        </w:tc>
        <w:tc>
          <w:tcPr/>
          <w:p>
            <w:pPr>
              <w:pStyle w:val="Compact"/>
              <w:jc w:val="left"/>
            </w:pPr>
            <w:r>
              <w:t xml:space="preserve">Jurysdykcja czasowa ustala się na chwilę czynu; Statut nie zna cofnięcia deklaracji z art. 12 ust. 3</w:t>
            </w:r>
          </w:p>
        </w:tc>
        <w:tc>
          <w:tcPr/>
          <w:p>
            <w:pPr>
              <w:pStyle w:val="Compact"/>
              <w:jc w:val="left"/>
            </w:pPr>
            <w:r>
              <w:t xml:space="preserve">Deklaracja obejmowała określoną sytuację i okres; poza tym zakresem jurysdykcji nie ma, a nowy rząd kwestionuje jej dalszą skuteczność</w:t>
            </w:r>
          </w:p>
        </w:tc>
      </w:tr>
      <w:tr>
        <w:tc>
          <w:tcPr/>
          <w:p>
            <w:pPr>
              <w:pStyle w:val="Compact"/>
              <w:jc w:val="left"/>
            </w:pPr>
            <w:r>
              <w:t xml:space="preserve">Immunitet</w:t>
            </w:r>
          </w:p>
        </w:tc>
        <w:tc>
          <w:tcPr/>
          <w:p>
            <w:pPr>
              <w:pStyle w:val="Compact"/>
              <w:jc w:val="left"/>
            </w:pPr>
            <w:r>
              <w:t xml:space="preserve">Essuss samo zaakceptowało wykonywanie jurysdykcji, a art. 27 ust. 2 jest częścią reżimu tego wykonywania; brak zwyczajowego immunitetu wobec sądu międzynarodowego</w:t>
            </w:r>
          </w:p>
        </w:tc>
        <w:tc>
          <w:tcPr/>
          <w:p>
            <w:pPr>
              <w:pStyle w:val="Compact"/>
              <w:jc w:val="left"/>
            </w:pPr>
            <w:r>
              <w:t xml:space="preserve">Linia Al-Bashir zapadła przy przekazaniu przez Radę Bezpieczeństwa, którego tu nie ma; deklaracja poprzedniego rządu nie może zastąpić zgody państwa na uchylenie immunitetu urzędującej głowy państwa</w:t>
            </w:r>
          </w:p>
        </w:tc>
      </w:tr>
      <w:tr>
        <w:tc>
          <w:tcPr/>
          <w:p>
            <w:pPr>
              <w:pStyle w:val="Compact"/>
              <w:jc w:val="left"/>
            </w:pPr>
            <w:r>
              <w:t xml:space="preserve">Doprowadzenie</w:t>
            </w:r>
          </w:p>
        </w:tc>
        <w:tc>
          <w:tcPr/>
          <w:p>
            <w:pPr>
              <w:pStyle w:val="Compact"/>
              <w:jc w:val="left"/>
            </w:pPr>
            <w:r>
              <w:t xml:space="preserve">Statut nie zna zawieszenia za nadużycie procedury; drogą jest art. 21 ust. 3 i test niemożliwości rzetelnego procesu; nielegalne zatrzymanie naprawia art. 85 ust. 1</w:t>
            </w:r>
          </w:p>
        </w:tc>
        <w:tc>
          <w:tcPr/>
          <w:p>
            <w:pPr>
              <w:pStyle w:val="Compact"/>
              <w:jc w:val="left"/>
            </w:pPr>
            <w:r>
              <w:t xml:space="preserve">Pominięto kontrolę z art. 59 ust. 2, a operacja o spornej legalności czyni całe doprowadzenie wadliwym; wadliwość ta rzutuje na rzetelność postępowania jako całości</w:t>
            </w:r>
          </w:p>
        </w:tc>
      </w:tr>
      <w:tr>
        <w:tc>
          <w:tcPr/>
          <w:p>
            <w:pPr>
              <w:pStyle w:val="Compact"/>
              <w:jc w:val="left"/>
            </w:pPr>
            <w:r>
              <w:t xml:space="preserve">Forma odpowiedzialności</w:t>
            </w:r>
          </w:p>
        </w:tc>
        <w:tc>
          <w:tcPr/>
          <w:p>
            <w:pPr>
              <w:pStyle w:val="Compact"/>
              <w:jc w:val="left"/>
            </w:pPr>
            <w:r>
              <w:t xml:space="preserve">Zatwierdzenie systemu to działanie — art. 25 ust. 3 lit. a; art. 28 lit. b osobno dla okresu po ujawnieniu braków</w:t>
            </w:r>
          </w:p>
        </w:tc>
        <w:tc>
          <w:tcPr/>
          <w:p>
            <w:pPr>
              <w:pStyle w:val="Compact"/>
              <w:jc w:val="left"/>
            </w:pPr>
            <w:r>
              <w:t xml:space="preserve">Dokumenty fragmentaryczne, rozkazy ustne; brak dowodu efektywnej kontroli nad konkretnymi zatrzymaniami konwojów</w:t>
            </w:r>
          </w:p>
        </w:tc>
      </w:tr>
    </w:tbl>
    <w:bookmarkEnd w:id="47"/>
    <w:bookmarkStart w:id="48" w:name="X8bc04c07aebed062da02ad98c612cd839788097"/>
    <w:p>
      <w:pPr>
        <w:pStyle w:val="Heading2"/>
      </w:pPr>
      <w:r>
        <w:t xml:space="preserve">Braki faktyczne i dowody rozstrzygające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Brak</w:t>
            </w:r>
          </w:p>
        </w:tc>
        <w:tc>
          <w:tcPr/>
          <w:p>
            <w:pPr>
              <w:pStyle w:val="Compact"/>
              <w:jc w:val="left"/>
            </w:pPr>
            <w:r>
              <w:t xml:space="preserve">Dlaczego rozstrzyga</w:t>
            </w:r>
          </w:p>
        </w:tc>
        <w:tc>
          <w:tcPr/>
          <w:p>
            <w:pPr>
              <w:pStyle w:val="Compact"/>
              <w:jc w:val="left"/>
            </w:pPr>
            <w:r>
              <w:t xml:space="preserve">Dowód, który go usuwa</w:t>
            </w:r>
          </w:p>
        </w:tc>
      </w:tr>
      <w:tr>
        <w:tc>
          <w:tcPr/>
          <w:p>
            <w:pPr>
              <w:pStyle w:val="Compact"/>
              <w:jc w:val="left"/>
            </w:pPr>
            <w:r>
              <w:t xml:space="preserve">Charakter przeciwnika w konflikcie</w:t>
            </w:r>
          </w:p>
        </w:tc>
        <w:tc>
          <w:tcPr/>
          <w:p>
            <w:pPr>
              <w:pStyle w:val="Compact"/>
              <w:jc w:val="left"/>
            </w:pPr>
            <w:r>
              <w:t xml:space="preserve">Przesądza między art. 8 ust. 2 lit. b (xxv) stosowanym wprost a całą analizą poprawkową</w:t>
            </w:r>
          </w:p>
        </w:tc>
        <w:tc>
          <w:tcPr/>
          <w:p>
            <w:pPr>
              <w:pStyle w:val="Compact"/>
              <w:jc w:val="left"/>
            </w:pPr>
            <w:r>
              <w:t xml:space="preserve">Ustalenia o strukturze i powiązaniach grupy, dowody wsparcia ze strony innego państwa, raporty organizacji międzynarodowych</w:t>
            </w:r>
          </w:p>
        </w:tc>
      </w:tr>
      <w:tr>
        <w:tc>
          <w:tcPr/>
          <w:p>
            <w:pPr>
              <w:pStyle w:val="Compact"/>
              <w:jc w:val="left"/>
            </w:pPr>
            <w:r>
              <w:t xml:space="preserve">Data złożenia i zakres czasowy deklaracji z art. 12 ust. 3</w:t>
            </w:r>
          </w:p>
        </w:tc>
        <w:tc>
          <w:tcPr/>
          <w:p>
            <w:pPr>
              <w:pStyle w:val="Compact"/>
              <w:jc w:val="left"/>
            </w:pPr>
            <w:r>
              <w:t xml:space="preserve">Wyznacza jurysdykcję ratione temporis i przesądza o rozdzieleniu zarzutów</w:t>
            </w:r>
          </w:p>
        </w:tc>
        <w:tc>
          <w:tcPr/>
          <w:p>
            <w:pPr>
              <w:pStyle w:val="Compact"/>
              <w:jc w:val="left"/>
            </w:pPr>
            <w:r>
              <w:t xml:space="preserve">Tekst deklaracji złożonej Sekretarzowi Trybunału, notyfikacja</w:t>
            </w:r>
          </w:p>
        </w:tc>
      </w:tr>
      <w:tr>
        <w:tc>
          <w:tcPr/>
          <w:p>
            <w:pPr>
              <w:pStyle w:val="Compact"/>
              <w:jc w:val="left"/>
            </w:pPr>
            <w:r>
              <w:t xml:space="preserve">Zakres przedmiotowy deklaracji („określona sytuacja”)</w:t>
            </w:r>
          </w:p>
        </w:tc>
        <w:tc>
          <w:tcPr/>
          <w:p>
            <w:pPr>
              <w:pStyle w:val="Compact"/>
              <w:jc w:val="left"/>
            </w:pPr>
            <w:r>
              <w:t xml:space="preserve">Rozstrzyga, czy zarzucane czyny w ogóle mieszczą się w akceptacji</w:t>
            </w:r>
          </w:p>
        </w:tc>
        <w:tc>
          <w:tcPr/>
          <w:p>
            <w:pPr>
              <w:pStyle w:val="Compact"/>
              <w:jc w:val="left"/>
            </w:pPr>
            <w:r>
              <w:t xml:space="preserve">Tekst deklaracji, korespondencja z Kancelarią Trybunału</w:t>
            </w:r>
          </w:p>
        </w:tc>
      </w:tr>
      <w:tr>
        <w:tc>
          <w:tcPr/>
          <w:p>
            <w:pPr>
              <w:pStyle w:val="Compact"/>
              <w:jc w:val="left"/>
            </w:pPr>
            <w:r>
              <w:t xml:space="preserve">Zgony powiązane z brakiem leków i sprzętu</w:t>
            </w:r>
          </w:p>
        </w:tc>
        <w:tc>
          <w:tcPr/>
          <w:p>
            <w:pPr>
              <w:pStyle w:val="Compact"/>
              <w:jc w:val="left"/>
            </w:pPr>
            <w:r>
              <w:t xml:space="preserve">Rozstrzyga między art. 7 ust. 1 lit. b a art. 7 ust. 1 lit. k</w:t>
            </w:r>
          </w:p>
        </w:tc>
        <w:tc>
          <w:tcPr/>
          <w:p>
            <w:pPr>
              <w:pStyle w:val="Compact"/>
              <w:jc w:val="left"/>
            </w:pPr>
            <w:r>
              <w:t xml:space="preserve">Dokumentacja szpitalna, raporty epidemiologiczne, opinia biegłego z zakresu medycyny sądowej</w:t>
            </w:r>
          </w:p>
        </w:tc>
      </w:tr>
      <w:tr>
        <w:tc>
          <w:tcPr/>
          <w:p>
            <w:pPr>
              <w:pStyle w:val="Compact"/>
              <w:jc w:val="left"/>
            </w:pPr>
            <w:r>
              <w:t xml:space="preserve">Treść zatwierdzenia systemu kontroli i jego adresaci</w:t>
            </w:r>
          </w:p>
        </w:tc>
        <w:tc>
          <w:tcPr/>
          <w:p>
            <w:pPr>
              <w:pStyle w:val="Compact"/>
              <w:jc w:val="left"/>
            </w:pPr>
            <w:r>
              <w:t xml:space="preserve">Warunek testu z art. 25 ust. 3 lit. a i lit. b</w:t>
            </w:r>
          </w:p>
        </w:tc>
        <w:tc>
          <w:tcPr/>
          <w:p>
            <w:pPr>
              <w:pStyle w:val="Compact"/>
              <w:jc w:val="left"/>
            </w:pPr>
            <w:r>
              <w:t xml:space="preserve">Akt zatwierdzenia, protokoły posiedzeń, instrukcje wykonawcze, zapisy narad</w:t>
            </w:r>
          </w:p>
        </w:tc>
      </w:tr>
      <w:tr>
        <w:tc>
          <w:tcPr/>
          <w:p>
            <w:pPr>
              <w:pStyle w:val="Compact"/>
              <w:jc w:val="left"/>
            </w:pPr>
            <w:r>
              <w:t xml:space="preserve">Czy i kiedy informacja o brakach w szpitalach dotarła do Syrax</w:t>
            </w:r>
          </w:p>
        </w:tc>
        <w:tc>
          <w:tcPr/>
          <w:p>
            <w:pPr>
              <w:pStyle w:val="Compact"/>
              <w:jc w:val="left"/>
            </w:pPr>
            <w:r>
              <w:t xml:space="preserve">Rdzeń testu z art. 28 lit. b („świadomie zlekceważył informację, która wyraźnie wskazywała”)</w:t>
            </w:r>
          </w:p>
        </w:tc>
        <w:tc>
          <w:tcPr/>
          <w:p>
            <w:pPr>
              <w:pStyle w:val="Compact"/>
              <w:jc w:val="left"/>
            </w:pPr>
            <w:r>
              <w:t xml:space="preserve">Raporty sytuacyjne, korespondencja sztabowa, zeznania personelu kancelarii, rejestry doręczeń</w:t>
            </w:r>
          </w:p>
        </w:tc>
      </w:tr>
      <w:tr>
        <w:tc>
          <w:tcPr/>
          <w:p>
            <w:pPr>
              <w:pStyle w:val="Compact"/>
              <w:jc w:val="left"/>
            </w:pPr>
            <w:r>
              <w:t xml:space="preserve">Czy podjęto jakiekolwiek środki po ujawnieniu braków</w:t>
            </w:r>
          </w:p>
        </w:tc>
        <w:tc>
          <w:tcPr/>
          <w:p>
            <w:pPr>
              <w:pStyle w:val="Compact"/>
              <w:jc w:val="left"/>
            </w:pPr>
            <w:r>
              <w:t xml:space="preserve">Trzecia przesłanka art. 28 lit. b</w:t>
            </w:r>
          </w:p>
        </w:tc>
        <w:tc>
          <w:tcPr/>
          <w:p>
            <w:pPr>
              <w:pStyle w:val="Compact"/>
              <w:jc w:val="left"/>
            </w:pPr>
            <w:r>
              <w:t xml:space="preserve">Polecenia korygujące, zmiany procedur na punktach kontrolnych, dokumenty o przekazaniu sprawy organom</w:t>
            </w:r>
          </w:p>
        </w:tc>
      </w:tr>
      <w:tr>
        <w:tc>
          <w:tcPr/>
          <w:p>
            <w:pPr>
              <w:pStyle w:val="Compact"/>
              <w:jc w:val="left"/>
            </w:pPr>
            <w:r>
              <w:t xml:space="preserve">Status państwa ujęcia jako strony Statutu</w:t>
            </w:r>
          </w:p>
        </w:tc>
        <w:tc>
          <w:tcPr/>
          <w:p>
            <w:pPr>
              <w:pStyle w:val="Compact"/>
              <w:jc w:val="left"/>
            </w:pPr>
            <w:r>
              <w:t xml:space="preserve">Przesądza, czy art. 59 wiązał i czy pominięcie kontroli sądowej jest naruszeniem Statutu</w:t>
            </w:r>
          </w:p>
        </w:tc>
        <w:tc>
          <w:tcPr/>
          <w:p>
            <w:pPr>
              <w:pStyle w:val="Compact"/>
              <w:jc w:val="left"/>
            </w:pPr>
            <w:r>
              <w:t xml:space="preserve">Wykaz państw-stron u depozytariusza</w:t>
            </w:r>
          </w:p>
        </w:tc>
      </w:tr>
      <w:tr>
        <w:tc>
          <w:tcPr/>
          <w:p>
            <w:pPr>
              <w:pStyle w:val="Compact"/>
              <w:jc w:val="left"/>
            </w:pPr>
            <w:r>
              <w:t xml:space="preserve">Sposób traktowania Syrax w toku operacji ujęcia</w:t>
            </w:r>
          </w:p>
        </w:tc>
        <w:tc>
          <w:tcPr/>
          <w:p>
            <w:pPr>
              <w:pStyle w:val="Compact"/>
              <w:jc w:val="left"/>
            </w:pPr>
            <w:r>
              <w:t xml:space="preserve">Rozstrzyga między zawieszeniem z art. 21 ust. 3 a odszkodowaniem z art. 85 ust. 1</w:t>
            </w:r>
          </w:p>
        </w:tc>
        <w:tc>
          <w:tcPr/>
          <w:p>
            <w:pPr>
              <w:pStyle w:val="Compact"/>
              <w:jc w:val="left"/>
            </w:pPr>
            <w:r>
              <w:t xml:space="preserve">Dokumentacja medyczna, zapisy z miejsca zatrzymania, zeznania uczestników operacji, badanie po przekazaniu</w:t>
            </w:r>
          </w:p>
        </w:tc>
      </w:tr>
      <w:tr>
        <w:tc>
          <w:tcPr/>
          <w:p>
            <w:pPr>
              <w:pStyle w:val="Compact"/>
              <w:jc w:val="left"/>
            </w:pPr>
            <w:r>
              <w:t xml:space="preserve">Czy Essuss prowadzi postępowanie wobec Syrax co do tych samych czynów</w:t>
            </w:r>
          </w:p>
        </w:tc>
        <w:tc>
          <w:tcPr/>
          <w:p>
            <w:pPr>
              <w:pStyle w:val="Compact"/>
              <w:jc w:val="left"/>
            </w:pPr>
            <w:r>
              <w:t xml:space="preserve">Warunek oceny dopuszczalności z art. 17 ust. 1 lit. a i ust. 2</w:t>
            </w:r>
          </w:p>
        </w:tc>
        <w:tc>
          <w:tcPr/>
          <w:p>
            <w:pPr>
              <w:pStyle w:val="Compact"/>
              <w:jc w:val="left"/>
            </w:pPr>
            <w:r>
              <w:t xml:space="preserve">Akta postępowania krajowego, akty oskarżenia, decyzje o umorzeniu wraz z uzasadnieniem</w:t>
            </w:r>
          </w:p>
        </w:tc>
      </w:tr>
      <w:tr>
        <w:tc>
          <w:tcPr/>
          <w:p>
            <w:pPr>
              <w:pStyle w:val="Compact"/>
              <w:jc w:val="left"/>
            </w:pPr>
            <w:r>
              <w:t xml:space="preserve">Dowody rzeczywistego przemytu broni w konwojach</w:t>
            </w:r>
          </w:p>
        </w:tc>
        <w:tc>
          <w:tcPr/>
          <w:p>
            <w:pPr>
              <w:pStyle w:val="Compact"/>
              <w:jc w:val="left"/>
            </w:pPr>
            <w:r>
              <w:t xml:space="preserve">Podstawa obrony co do konieczności kontroli bezpieczeństwa; wpływa na ocenę zamiaru</w:t>
            </w:r>
          </w:p>
        </w:tc>
        <w:tc>
          <w:tcPr/>
          <w:p>
            <w:pPr>
              <w:pStyle w:val="Compact"/>
              <w:jc w:val="left"/>
            </w:pPr>
            <w:r>
              <w:t xml:space="preserve">Protokoły przeszukań konwojów, wykazy zabezpieczonych przedmiotów, dane wywiadowcze</w:t>
            </w:r>
          </w:p>
        </w:tc>
      </w:tr>
    </w:tbl>
    <w:bookmarkEnd w:id="48"/>
    <w:bookmarkStart w:id="49" w:name="proponowane-rozstrzygnięcie-1"/>
    <w:p>
      <w:pPr>
        <w:pStyle w:val="Heading2"/>
      </w:pPr>
      <w:r>
        <w:t xml:space="preserve">Proponowane rozstrzygnięcie</w:t>
      </w:r>
    </w:p>
    <w:p>
      <w:pPr>
        <w:pStyle w:val="FirstParagraph"/>
      </w:pPr>
      <w:r>
        <w:t xml:space="preserve">W zakresie kwalifikacji: nie potwierdzać zarzutu opartego na art. 8 ust. 2 lit. e (xix). Podstawą odmowy jest zakres podmiotowy reżimu poprawkowego z art. 121 ust. 5 w związku z art. 22 ust. 2, a nie ocena materiału dowodowego — i należy to zapisać wprost, żeby odmowa nie zamykała drogi do tych samych faktów w innej kwalifikacji.</w:t>
      </w:r>
    </w:p>
    <w:p>
      <w:pPr>
        <w:pStyle w:val="BodyText"/>
      </w:pPr>
      <w:r>
        <w:t xml:space="preserve">W zakresie kwalifikacji zastępczej: potwierdzić zarzut z art. 7 ust. 1 lit. k w związku z art. 7 ust. 2 lit. a jako podstawę pewną oraz — warunkowo — zarzut z art. 7 ust. 1 lit. b w związku z art. 7 ust. 2 lit. b. Rozstrzygnięcie warunkowe: przy wykazaniu zgonów powiązanych z pozbawieniem dostępu do leków potwierdzić eksterminację i uczynić ją zarzutem wiodącym; przy braku takiego wykazania pozostać przy innych nieludzkich czynach, bez obniżania opisu czynu. Rozważyć nadto zarzut z art. 7 ust. 1 lit. h, jeżeli materiał potwierdzi, że kryterium doboru obszaru objętego kontrolą było poparcie ludności dla przeciwnika.</w:t>
      </w:r>
    </w:p>
    <w:p>
      <w:pPr>
        <w:pStyle w:val="BodyText"/>
      </w:pPr>
      <w:r>
        <w:t xml:space="preserve">W zakresie kwalifikacji wojennej: pozostawić otwarty zarzut z art. 8 ust. 2 lit. b (xxv) jako zarzut warunkowy na wypadek ustalenia międzynarodowego charakteru konfliktu. Nie jest to zarzut ewentualny w sensie procesowym, lecz zarzut, którego przesłanka faktyczna nie została jeszcze zbadana — i tak należy go opisać w dokumencie zarzutów, z jawnym wskazaniem, że wymaga uprzedniego ustalenia charakteru przeciwnika.</w:t>
      </w:r>
    </w:p>
    <w:p>
      <w:pPr>
        <w:pStyle w:val="BodyText"/>
      </w:pPr>
      <w:r>
        <w:t xml:space="preserve">W zakresie deklaracji: uznać jurysdykcję w granicach zadeklarowanej sytuacji i okresu, rozdzielając zarzuty według dat poszczególnych zatrzymań konwojów. Oddalić wniosek nowego rządu o stwierdzenie bezskuteczności deklaracji, wskazując, że kompetencja Trybunału w czasie wyznaczona jest chwilą popełnienia czynu, a Statut nie przewiduje wycofania akceptacji ze skutkiem wstecznym. Argument z art. 127 powołać wyraźnie jako argument systemowy z analogii, nie jako ustalenie tekstowe.</w:t>
      </w:r>
    </w:p>
    <w:p>
      <w:pPr>
        <w:pStyle w:val="BodyText"/>
      </w:pPr>
      <w:r>
        <w:t xml:space="preserve">W zakresie immunitetu: oddalić wniosek obrony o zakończenie postępowania z powodu immunitetu, opierając rozstrzygnięcie w pierwszej kolejności na akceptacji wyrażonej przez samo Essuss w deklaracji z art. 12 ust. 3 w związku z art. 27 ust. 2, a dopiero posiłkowo na braku zwyczajowego immunitetu głowy państwa wobec sądu międzynarodowego. Zaznaczyć wprost, że rozstrzygnięcie to jest zależne od utrzymania konkluzji o zakresie deklaracji.</w:t>
      </w:r>
    </w:p>
    <w:p>
      <w:pPr>
        <w:pStyle w:val="BodyText"/>
      </w:pPr>
      <w:r>
        <w:t xml:space="preserve">W zakresie doprowadzenia: rozstrzygnięcie warunkowe. Jeżeli materiał wykaże tortury albo poważne złe traktowanie w związku z ujęciem i przekazaniem — rozpoznać wniosek o zakończenie postępowania merytorycznie według testu z art. 21 ust. 3 i zawiesić postępowanie, o ile rzetelny proces stał się niemożliwy. Jeżeli takiego materiału nie ma — oddalić wniosek, stwierdzić w sentencji uchybienie art. 59 ust. 2 (o ile państwo ujęcia jest stroną Statutu), zachować dla Syrax roszczenie z art. 85 ust. 1 i rozstrzygnąć osobno o dopuszczalności dowodów uzyskanych w toku operacji. Oddalenie wniosku o zawieszenie nie jest tu oddaleniem zarzutu bezprawności ujęcia — jest wskazaniem, że jego środkiem naprawczym jest odszkodowanie i kontrola dowodowa, nie umorzenie.</w:t>
      </w:r>
    </w:p>
    <w:p>
      <w:pPr>
        <w:pStyle w:val="BodyText"/>
      </w:pPr>
      <w:r>
        <w:t xml:space="preserve">W zakresie form odpowiedzialności: potwierdzić art. 25 ust. 3 lit. a jako formę wiodącą dla zaprojektowania i zatwierdzenia systemu kontroli dostaw; art. 25 ust. 3 lit. b jako formę alternatywną w granicach udowodnionych poleceń; art. 28 lit. b jako zarzut odrębny obejmujący okres po ujawnieniu się braków w szpitalach. Nie kumulować skazania w tych samych granicach czasowych i przedmiotowych — rozdzielić je według okresów, bo to rozdzielenie jest jednocześnie odpowiedzią na słabość materiału dowodowego.</w:t>
      </w:r>
    </w:p>
    <w:p>
      <w:pPr>
        <w:pStyle w:val="BodyText"/>
      </w:pPr>
      <w:r>
        <w:t xml:space="preserve">W zakresie dopuszczalności: przed potwierdzeniem zarzutów wezwać Essuss do przedstawienia informacji o postępowaniu krajowym. Rozstrzygnięcie warunkowe: jeżeli postępowanie krajowe obejmuje tę samą osobę i te same czyny i jest prowadzone rzetelnie — sprawa jest niedopuszczalna z art. 17 ust. 1 lit. a; jeżeli prowadzone jest w celu uchronienia oskarżonej od odpowiedzialności albo bez niezależności i bezstronności — stwierdzić niechęć w rozumieniu art. 17 ust. 2 lit. a i c i uznać sprawę za dopuszczalną. Okoliczność, że Syrax nadal pełni urząd, jest materiałem dla drugiej z tych gałęzi, ale sama przez się jej nie przesądza.</w:t>
      </w:r>
    </w:p>
    <w:bookmarkEnd w:id="49"/>
    <w:bookmarkStart w:id="50" w:name="bramka-środka-naprawczego-rem-gate-k-04"/>
    <w:p>
      <w:pPr>
        <w:pStyle w:val="Heading2"/>
      </w:pPr>
      <w:r>
        <w:t xml:space="preserve">Bramka środka naprawczego (REM-GATE) — K-04</w:t>
      </w:r>
    </w:p>
    <w:p>
      <w:pPr>
        <w:pStyle w:val="FirstParagraph"/>
      </w:pPr>
      <w:r>
        <w:t xml:space="preserve">REM-0 próby: 2 powołania kandydujące do znacznika ⚠️, 2 próby dwukanałowe, 2 odzyskane, 0 porażek.</w:t>
      </w:r>
      <w:r>
        <w:t xml:space="preserve"> </w:t>
      </w:r>
      <w:r>
        <w:rPr>
          <w:rStyle w:val="VerbatimChar"/>
        </w:rPr>
        <w:t xml:space="preserve">legal.un.org</w:t>
      </w:r>
      <w:r>
        <w:t xml:space="preserve"> </w:t>
      </w:r>
      <w:r>
        <w:t xml:space="preserve">— curl 503 w trzech próbach, także dla korzenia hosta, oraz kod 000 dla wariantu z</w:t>
      </w:r>
      <w:r>
        <w:t xml:space="preserve"> </w:t>
      </w:r>
      <w:r>
        <w:rPr>
          <w:rStyle w:val="VerbatimChar"/>
        </w:rPr>
        <w:t xml:space="preserve">www.</w:t>
      </w:r>
      <w:r>
        <w:t xml:space="preserve">; kanał zastąpiony depozytariuszem</w:t>
      </w:r>
      <w:r>
        <w:t xml:space="preserve"> </w:t>
      </w:r>
      <w:r>
        <w:rPr>
          <w:rStyle w:val="VerbatimChar"/>
        </w:rPr>
        <w:t xml:space="preserve">treaties.un.org</w:t>
      </w:r>
      <w:r>
        <w:t xml:space="preserve"> </w:t>
      </w:r>
      <w:r>
        <w:t xml:space="preserve">(curl 200, pełny tekst UNTS), więc powołania Statutu pozostają na RZĘDZIE 1 bez znacznika. Orzeczenia Izby Apelacyjnej pobrane z</w:t>
      </w:r>
      <w:r>
        <w:t xml:space="preserve"> </w:t>
      </w:r>
      <w:r>
        <w:rPr>
          <w:rStyle w:val="VerbatimChar"/>
        </w:rPr>
        <w:t xml:space="preserve">icc-cpi.int</w:t>
      </w:r>
      <w:r>
        <w:t xml:space="preserve"> </w:t>
      </w:r>
      <w:r>
        <w:t xml:space="preserve">przez curl 200, mimo że tabela kanałów odnotowuje blokadę bota na</w:t>
      </w:r>
      <w:r>
        <w:t xml:space="preserve"> </w:t>
      </w:r>
      <w:r>
        <w:rPr>
          <w:rStyle w:val="VerbatimChar"/>
        </w:rPr>
        <w:t xml:space="preserve">asp.icc-cpi.int</w:t>
      </w:r>
      <w:r>
        <w:t xml:space="preserve"> </w:t>
      </w:r>
      <w:r>
        <w:t xml:space="preserve">— pomiar odbiegający od tabeli, zgłoszony jako obserwacja.</w:t>
      </w:r>
    </w:p>
    <w:p>
      <w:pPr>
        <w:pStyle w:val="BodyText"/>
      </w:pPr>
      <w:r>
        <w:t xml:space="preserve">REM-1 oddalenia: 2 oddalone (zarzut z art. 8 ust. 2 lit. e (xix); wniosek o zakończenie postępowania z powodu immunitetu), 2 sparowane alternatywy rozwinięte na tę samą głębokość (kwalifikacja z art. 7 ust. 1 lit. b, k i h; oddalenie immunitetu z własną podstawą deklaracyjną i posiłkową zwyczajową). Sprawdzone i odrzucone reżimy dla utrudniania dostaw, wpisane jako lista: art. 8 ust. 2 lit. c (i) — brak przesłanki pozostawania ofiar we władzy sprawcy; art. 8 ust. 2 lit. e (ii) i (iii) — znamieniem jest atak, a zatrzymanie konwoju nim nie jest; art. 8 ust. 2 lit. e (xii) — nie obejmuje niewpuszczenia mienia na obszar.</w:t>
      </w:r>
    </w:p>
    <w:p>
      <w:pPr>
        <w:pStyle w:val="BodyText"/>
      </w:pPr>
      <w:r>
        <w:t xml:space="preserve">REM-2 braki: 11 pozycji ⬛, 11 rozstrzygnięć warunkowych, 0 blokad dopuszczalności. Pozycja o zakresie deklaracji z art. 12 ust. 3 jest jedyną, która mogłaby taką blokadę utworzyć, i nie tworzy jej, ponieważ obie gałęzie są operacyjne: w granicach deklaracji zarzuty podlegają potwierdzeniu, poza nimi — rozdzieleniu, nie oddaleniu w całości.</w:t>
      </w:r>
    </w:p>
    <w:p>
      <w:pPr>
        <w:pStyle w:val="BodyText"/>
      </w:pPr>
      <w:r>
        <w:t xml:space="preserve">REM-3 instrumenty miękkie: brak obszarów opartych na instrumentach niewiążących. Cała argumentacja spoczywa na tekście traktatowym (RZĄD 1, depozytariusz) i na orzeczeniach Trybunału (RZĄD 1, publikator sądowy). Standardy niepowołane jednostkami redakcyjnymi wymieniono w wykazie źródeł.</w:t>
      </w:r>
    </w:p>
    <w:p>
      <w:pPr>
        <w:pStyle w:val="BodyText"/>
      </w:pPr>
      <w:r>
        <w:t xml:space="preserve">REM-4 pokrycie: kwalifikacja i reżim poprawkowy — PEŁNA; deklaracja jurysdykcyjna — PEŁNA; immunitet — PEŁNA; doprowadzenie oskarżonej — PEŁNA; formy odpowiedzialności — PEŁNA; dopuszczalność i komplementarność — CIENKA i deklaruję to wprost: oś rozwinięta do poziomu rozstrzygnięcia warunkowego i wezwania do przedstawienia informacji, bez analizy przesłanek niemożności z art. 17 ust. 3, których kazus w ogóle nie zaczepia; reparacje i sytuacja pokrzywdzonych — ⬛, oś w kazusie nieporuszona i nierozwijana.</w:t>
      </w:r>
    </w:p>
    <w:bookmarkEnd w:id="50"/>
    <w:bookmarkStart w:id="51" w:name="zweryfikowane-pozycje-źródłowe-k-04"/>
    <w:p>
      <w:pPr>
        <w:pStyle w:val="Heading2"/>
      </w:pPr>
      <w:r>
        <w:t xml:space="preserve">Zweryfikowane pozycje źródłowe (K-04)</w:t>
      </w:r>
    </w:p>
    <w:p>
      <w:pPr>
        <w:pStyle w:val="FirstParagraph"/>
      </w:pPr>
      <w:r>
        <w:t xml:space="preserve">Rzymski Statut Międzynarodowego Trybunału Karnego z dnia 17 lipca 1998 r., UNTS vol. 2187, nr I-38544 — sprawdzono art. 7 ust. 1 lit. a–k, art. 7 ust. 2 lit. a–i i ust. 3, art. 8 ust. 1, ust. 2 lit. a, lit. b (i)–(xxvi) wraz z nagłówkiem, lit. c (i)–(iv) wraz z nagłówkiem, lit. d, lit. e (i)–(xii) wraz z nagłówkiem, lit. f, ust. 3; art. 9, art. 10, art. 11 ust. 1–2, art. 12 ust. 1–3, art. 13, art. 14, art. 15, art. 16, art. 17 ust. 1–3, art. 18, art. 21 ust. 1–3, art. 22 ust. 1–3, art. 23, art. 25 ust. 1–4, art. 26, art. 27 ust. 1–2, art. 28 lit. a–b, art. 29, art. 59 ust. 1–7, art. 60, art. 61 ust. 1–10, art. 85 ust. 1–3, art. 98 ust. 1–2, art. 121 ust. 1–7, art. 122, art. 127 ust. 1–2. ✅ [VER: treaties.un.org, curl 200, pełny tekst UNTS, RZĄD 1, 2026-09-06]</w:t>
      </w:r>
    </w:p>
    <w:p>
      <w:pPr>
        <w:pStyle w:val="BodyText"/>
      </w:pPr>
      <w:r>
        <w:t xml:space="preserve">Poprawka do art. 8 Rzymskiego Statutu (celowe stosowanie głodzenia ludności cywilnej), Haga, 6 grudnia 2019 r., przyjęta rezolucją ICC-ASP/18/Res.5 — sprawdzono tekst nowego art. 8 ust. 2 lit. e (xix), datę wejścia w życie (14 października 2021 r., pierwotnie wobec Nowej Zelandii, w trybie art. 121 ust. 5) oraz listę 24 państw, które złożyły dokumenty ratyfikacji lub przyjęcia według stanu na 6 września 2026 r. ✅ [VER: treaties.un.org, notyfikacja depozytariusza C.N.394.2020.TREATIES-XVIII.10.g z 15 września 2020 r. oraz karta statusu XVIII-10-g, curl 200, RZĄD 1, 2026-09-06]</w:t>
      </w:r>
    </w:p>
    <w:p>
      <w:pPr>
        <w:pStyle w:val="BodyText"/>
      </w:pPr>
      <w:r>
        <w:t xml:space="preserve">Poprawki do art. 8 Rzymskiego Statutu: Kampala, 10 czerwca 2010 r. (wejście w życie 26 września 2012 r., pierwotnie wobec San Marino) oraz trzy poprawki nowojorskie z 14 grudnia 2017 r. dotyczące broni (wejście w życie 2 kwietnia 2020 r., pierwotnie wobec Luksemburga) — sprawdzono daty i tryb wejścia w życie wyłącznie w celu wykazania, że każda z nich działa w reżimie art. 121 ust. 5 z odrębną listą państw. ✅ [VER: treaties.un.org, karty statusu XVIII-10-a, XVIII-10-d, XVIII-10-e, XVIII-10-f, curl 200, RZĄD 1, 2026-09-06]</w:t>
      </w:r>
    </w:p>
    <w:p>
      <w:pPr>
        <w:pStyle w:val="BodyText"/>
      </w:pPr>
      <w:r>
        <w:t xml:space="preserve">Wyrok Izby Apelacyjnej Międzynarodowego Trybunału Karnego z dnia 6 maja 2019 r. w sprawie Prokurator przeciwko Omarowi Hassanowi Ahmadowi Al Bashirowi, Judgment in the Jordan Referral re Al-Bashir Appeal, ICC-02/05-01/09-397 (OA2) — sprawdzono ustalenia kluczowe pkt 1–4 dotyczące braku zwyczajowego immunitetu głowy państwa wobec sądu międzynarodowego, odczytania art. 27 ust. 2 jako obejmującego również relację horyzontalną oraz relacji art. 27 do art. 98. ✅ [VER: icc-cpi.int, curl 200, pełny tekst 98 stron, RZĄD 1, 2026-09-06]</w:t>
      </w:r>
    </w:p>
    <w:p>
      <w:pPr>
        <w:pStyle w:val="BodyText"/>
      </w:pPr>
      <w:r>
        <w:t xml:space="preserve">Wyrok Izby Apelacyjnej Międzynarodowego Trybunału Karnego z dnia 14 grudnia 2006 r. w sprawie Prokurator przeciwko Thomasowi Lubandze Dyilo, ICC-01/04-01/06-772 (OA4) — sprawdzono pkt 35–39 dotyczące braku podstawy statutowej dla zawieszenia postępowania z powodu nadużycia procedury jako takiego, roli art. 21 ust. 3 oraz testu niemożliwości rzetelnego procesu. ✅ [VER: icc-cpi.int, curl 200, pełny tekst, RZĄD 1, 2026-09-06]</w:t>
      </w:r>
    </w:p>
    <w:p>
      <w:pPr>
        <w:pStyle w:val="BodyText"/>
      </w:pPr>
      <w:r>
        <w:t xml:space="preserve">Nie przypisano jednostkom redakcyjnym i przedstawiono jako standard doktrynalny: konstrukcja sprawstwa pośredniego przez kontrolę nad zorganizowanym aparatem władzy w orzecznictwie Trybunału na gruncie art. 25 ust. 3 lit. a; treść testu związku z konfliktem zbrojnym (nexus) i jego elementy; rozumienie pojęcia osób pozostających we władzy strony konfliktu w orzecznictwie dotyczącym wspólnego art. 3 Konwencji genewskich; kryteria oceny niechęci i niemożności państwa przy komplementarności. Wymagają samodzielnego potwierdzenia w tekstach źródłowych i w orzecznictwie.</w:t>
      </w:r>
    </w:p>
    <w:bookmarkEnd w:id="51"/>
    <w:bookmarkEnd w:id="52"/>
    <w:bookmarkStart w:id="53" w:name="nota-do-partii-6"/>
    <w:p>
      <w:pPr>
        <w:pStyle w:val="Heading1"/>
      </w:pPr>
      <w:r>
        <w:t xml:space="preserve">Nota do partii 6</w:t>
      </w:r>
    </w:p>
    <w:p>
      <w:pPr>
        <w:pStyle w:val="FirstParagraph"/>
      </w:pPr>
      <w:r>
        <w:t xml:space="preserve">Cztery obserwacje z wykonania partii, przydatne przy kolejnych kazusach.</w:t>
      </w:r>
    </w:p>
    <w:p>
      <w:pPr>
        <w:pStyle w:val="BodyText"/>
      </w:pPr>
      <w:r>
        <w:t xml:space="preserve">Bramka zakresu zmieniła wynik dwukrotnie i za każdym razem w inny sposób. W K-04 nagłówek katalogu wyłączył punkt, który brzmi jak napisany do tego stanu faktycznego — a jego bliźniak dla drugiego typu konfliktu istnieje, tylko wiąże 24 państwa spośród wszystkich stron Statutu. W K-03 zamknięte wyliczenie trzech rodzajów nienawiści w jednym ustępie zamknęło całą drogę zarzutu podżegania. Żadnego z tych ustaleń nie da się odtworzyć ze znajomości instytucji; oba wymagają przeczytania jednostki do końca i sprawdzenia, w jakim katalogu leży.</w:t>
      </w:r>
    </w:p>
    <w:p>
      <w:pPr>
        <w:pStyle w:val="BodyText"/>
      </w:pPr>
      <w:r>
        <w:t xml:space="preserve">Reżim poprawkowy okazał się osią o największym zasięgu i nie był w kazusie w ogóle zapowiedziany. Pytanie problemowe brzmiało, czy utrudnianie dostaw medycznych spełnia znamiona zbrodni pozostającej w jurysdykcji Trybunału — sformułowanie, które kieruje uwagę na znamiona, a nie na to, czy przepis o tych znamionach obowiązuje wobec tego państwa. Jest to dokładnie ten wzorzec, w którym poprawnie odczytany przepis bez zastosowania jest groźniejszy niż przepis niezweryfikowany: cała analiza znamion wyglądałaby rzetelnie.</w:t>
      </w:r>
    </w:p>
    <w:p>
      <w:pPr>
        <w:pStyle w:val="BodyText"/>
      </w:pPr>
      <w:r>
        <w:t xml:space="preserve">Rozdzielenie znacznika źródła od siły argumentu wypadło w tej partii asymetrycznie i warto to odnotować. W K-04 cała argumentacja stoi na tekście traktatowym i na orzeczeniach sądowych, więc problem w ogóle nie powstaje. W K-03 znaczną część wywodu w czterech z sześciu zagadnień niesie Komentarz Ogólny nr 34 — instrument niewiążący. Argumentacja została przeprowadzona w pełnej objętości, z jawnym oznaczeniem mocy przy każdym powołaniu; skrócenie jej z powodu statusu instrumentu byłoby pomyleniem dwóch niezależnych osi.</w:t>
      </w:r>
    </w:p>
    <w:p>
      <w:pPr>
        <w:pStyle w:val="BodyText"/>
      </w:pPr>
      <w:r>
        <w:t xml:space="preserve">Najgroźniejszy błąd tej partii byłby błędem z właściwej linii orzeczniczej użytej w niewłaściwej konfiguracji. W K-04 linia Al-Bashir pasuje do sprawy pod każdym względem poza jednym: jej trzon opiera się na przekazaniu sytuacji przez Radę Bezpieczeństwa, a w kazusie podstawą jest własna deklaracja państwa. Powołanie jej jako jedynej podstawy dałoby prawidłowy wynik z nieprawidłowego uzasadnienia — a przy sprawnym przeciwniku prawidłowy wynik z nieprawidłowego uzasadnienia jest wynikiem straconym.</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kazusów wieloaspektowych — arkusz odpowiedzi</dc:title>
  <dc:creator/>
  <cp:keywords/>
  <dcterms:created xsi:type="dcterms:W3CDTF">2026-09-07T05:45:39Z</dcterms:created>
  <dcterms:modified xsi:type="dcterms:W3CDTF">2026-09-07T05:45:39Z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Partia 6: K-03 – K-04 (część międzynarodowa)</vt:lpwstr>
  </property>
</Properties>
</file>