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7:</w:t>
      </w:r>
      <w:r>
        <w:t xml:space="preserve"> </w:t>
      </w:r>
      <w:r>
        <w:t xml:space="preserve">K-01</w:t>
      </w:r>
      <w:r>
        <w:t xml:space="preserve"> </w:t>
      </w:r>
      <w:r>
        <w:t xml:space="preserve">–</w:t>
      </w:r>
      <w:r>
        <w:t xml:space="preserve"> </w:t>
      </w:r>
      <w:r>
        <w:t xml:space="preserve">K-02</w:t>
      </w:r>
      <w:r>
        <w:t xml:space="preserve"> </w:t>
      </w:r>
      <w:r>
        <w:t xml:space="preserve">(powtórne</w:t>
      </w:r>
      <w:r>
        <w:t xml:space="preserve"> </w:t>
      </w:r>
      <w:r>
        <w:t xml:space="preserve">rozwiązanie)</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K-01, K-02 — rozwiązanie powtórne, niezależne od partii 5</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Ze skillami — router prawny v3.41, ścieżka UP-5, PRIMARY DR-14; bramki MG-1, MG-2, CN-GATE, REM-GATE</w:t>
            </w:r>
          </w:p>
        </w:tc>
      </w:tr>
      <w:tr>
        <w:tc>
          <w:tcPr/>
          <w:p>
            <w:pPr>
              <w:pStyle w:val="Compact"/>
              <w:jc w:val="left"/>
            </w:pPr>
            <w:r>
              <w:t xml:space="preserve">Weryfikacja źródeł</w:t>
            </w:r>
          </w:p>
        </w:tc>
        <w:tc>
          <w:tcPr/>
          <w:p>
            <w:pPr>
              <w:pStyle w:val="Compact"/>
              <w:jc w:val="left"/>
            </w:pPr>
            <w:r>
              <w:t xml:space="preserve">Pełna weryfikacja od zera, bez korzystania z ustaleń partii 5 (Reguła 9 — brak wyjątku „już było”). Cellar Urzędu Publikacji UE (curl, RZĄD 1), depozytariusz UNTS (curl, RZĄD 1), legal.un.org (curl, RZĄD 1), icsid.worldbank.org (curl, RZĄD 1), ilo.org i un.org (curl, RZĄD 1)</w:t>
            </w:r>
          </w:p>
        </w:tc>
      </w:tr>
      <w:tr>
        <w:tc>
          <w:tcPr/>
          <w:p>
            <w:pPr>
              <w:pStyle w:val="Compact"/>
              <w:jc w:val="left"/>
            </w:pPr>
            <w:r>
              <w:t xml:space="preserve">Data sporządzenia</w:t>
            </w:r>
          </w:p>
        </w:tc>
        <w:tc>
          <w:tcPr/>
          <w:p>
            <w:pPr>
              <w:pStyle w:val="Compact"/>
              <w:jc w:val="left"/>
            </w:pPr>
            <w:r>
              <w:t xml:space="preserve">6 września 2026 r.</w:t>
            </w:r>
          </w:p>
        </w:tc>
      </w:tr>
      <w:tr>
        <w:tc>
          <w:tcPr/>
          <w:p>
            <w:pPr>
              <w:pStyle w:val="Compact"/>
              <w:jc w:val="left"/>
            </w:pPr>
            <w:r>
              <w:t xml:space="preserve">Wynik powtórzenia</w:t>
            </w:r>
          </w:p>
        </w:tc>
        <w:tc>
          <w:tcPr/>
          <w:p>
            <w:pPr>
              <w:pStyle w:val="Compact"/>
              <w:jc w:val="left"/>
            </w:pPr>
            <w:r>
              <w:t xml:space="preserve">Cztery rozstrzygnięcia zmienione lub istotnie skorygowane wobec partii 5, jedno powołanie sprostowane, jedno źródło podniesione z RZĘDU 2A na RZĄD 1. Wykaz różnic w nocie końcowej</w:t>
            </w:r>
          </w:p>
        </w:tc>
      </w:tr>
    </w:tbl>
    <w:bookmarkEnd w:id="20"/>
    <w:bookmarkStart w:id="36" w:name="k-01-heliox-przeciwko-królestwu-solarii"/>
    <w:p>
      <w:pPr>
        <w:pStyle w:val="Heading1"/>
      </w:pPr>
      <w:r>
        <w:t xml:space="preserve">K-01 Heliox przeciwko Królestwu Solarii</w:t>
      </w:r>
    </w:p>
    <w:bookmarkStart w:id="21" w:name="teza-wstępna"/>
    <w:p>
      <w:pPr>
        <w:pStyle w:val="Heading2"/>
      </w:pPr>
      <w:r>
        <w:t xml:space="preserve">Teza wstępna</w:t>
      </w:r>
    </w:p>
    <w:p>
      <w:pPr>
        <w:pStyle w:val="FirstParagraph"/>
      </w:pPr>
      <w:r>
        <w:t xml:space="preserve">Kazus wygląda na spór o pomoc państwa, a rozstrzyga się na rozdzieleniu trzech osi, które w praktyce zlewają się w jedną.</w:t>
      </w:r>
    </w:p>
    <w:p>
      <w:pPr>
        <w:pStyle w:val="BodyText"/>
      </w:pPr>
      <w:r>
        <w:t xml:space="preserve">Pierwsza: kto i kiedy orzeka o pomocy. Komisja wszczęła formalne postępowanie, ale nie wydała decyzji końcowej. Nie istnieje więc decyzja o windykacji, a Solaria odzyskuje świadczenia z własnej inicjatywy, na podstawie własnej ustawy, i musi ten środek obronić samodzielnie.</w:t>
      </w:r>
    </w:p>
    <w:p>
      <w:pPr>
        <w:pStyle w:val="BodyText"/>
      </w:pPr>
      <w:r>
        <w:t xml:space="preserve">Druga: podstawą arbitrażu jest umowa mieszana zawarta przez Unię i jej państwa członkowskie z państwem trzecim. Linia Achmea–PL Holdings dotyczy relacji między państwami członkowskimi i nie sięga tej konfiguracji. Ograniczenie po stronie Solarii jest realne, ale wynika z czego innego — z konstrukcji sprawy C-638/19 P i z ceny, jaką państwo płaci za niewykonanie wyroku.</w:t>
      </w:r>
    </w:p>
    <w:p>
      <w:pPr>
        <w:pStyle w:val="BodyText"/>
      </w:pPr>
      <w:r>
        <w:t xml:space="preserve">Trzecia: ryczałtowe wyliczenie kwot według mocy instalacji upada niezależnie od odpowiedzi na dwa poprzednie pytania — na proporcjonalności i na prawie do bycia wysłuchanym.</w:t>
      </w:r>
    </w:p>
    <w:p>
      <w:pPr>
        <w:pStyle w:val="BodyText"/>
      </w:pPr>
      <w:r>
        <w:t xml:space="preserve">Dwa ustalenia porządkujące, z których każde zmienia wynik jednego zagadnienia. Ustalenia komitetu konwencji z Aarhus nie przekładają się na wadliwość programu, ponieważ art. 2 pkt 2 konwencji in fine wyłącza z definicji władzy publicznej organy działające jako władza ustawodawcza; program przyjęto ustawą, więc art. 6 nie ma zastosowania. Oraz: ochrona zaufania beneficjenta nie jest wyłącznie konstrukcją prawa krajowego dopuszczoną przez orzecznictwo — ma własną podstawę tekstową w art. 16 ust. 1 zdanie drugie rozporządzenia 2015/1589, który zakazuje Komisji żądania windykacji, gdy byłoby to sprzeczne z ogólną zasadą prawa Unii. Ta jednostka zmienia ciężar wywodu: Heliox nie musi wykazywać, że prawo Unii zaufania nie wyklucza — może wskazać przepis, który je chroni.</w:t>
      </w:r>
    </w:p>
    <w:bookmarkEnd w:id="21"/>
    <w:bookmarkStart w:id="22" w:name="mapa-jurysdykcji-źródeł-i-kompetencji"/>
    <w:p>
      <w:pPr>
        <w:pStyle w:val="Heading2"/>
      </w:pPr>
      <w:r>
        <w:t xml:space="preserve">Mapa jurysdykcji, źródeł i kompetencji</w:t>
      </w:r>
    </w:p>
    <w:p>
      <w:pPr>
        <w:pStyle w:val="FirstParagraph"/>
      </w:pPr>
      <w:r>
        <w:t xml:space="preserve">Fora i ich zakres. Komisja decyduje o zniesieniu lub zmianie pomocy niezgodnej z rynkiem wewnętrznym, po uprzednim wezwaniu zainteresowanych stron do przedstawienia uwag (art. 108 ust. 2 akapit pierwszy TFUE). Sąd krajowy nie orzeka o zgodności pomocy z rynkiem wewnętrznym; orzeka o tym, czy środek jest pomocą, o skutkach naruszenia zakazu wprowadzania w życie z art. 108 ust. 3 zdanie ostatnie oraz — tutaj — o legalności krajowego środka odzyskowego. Trybunał Sprawiedliwości odpowiada na pytania prejudycjalne (art. 267) i rozpoznaje skargi o stwierdzenie nieważności. Trybunał arbitrażowy jest sędzią własnej kompetencji (art. 41 ust. 1 konwencji waszyngtońskiej). Sądy państw egzekucji stosują art. 54. Komitet konwencji z Aarhus jest organem nieorzeczniczym o mocy perswazyjnej.</w:t>
      </w:r>
    </w:p>
    <w:p>
      <w:pPr>
        <w:pStyle w:val="BodyText"/>
      </w:pPr>
      <w:r>
        <w:t xml:space="preserve">Cztery warstwy, których nie wolno łączyć. Jurysdykcja trybunału arbitrażowego, prawo właściwe dla meritum, ważność wyroku i jego wykonalność to cztery odrębne pytania z odrębnymi forami. Rozdzielenie ma tu oparcie tekstowe mocniejsze, niż zwykle się przyjmuje: art. 26 konwencji waszyngtońskiej stanowi, że zgoda stron na arbitraż w trybie konwencji jest — o ile nie postanowiono inaczej — zgodą z wyłączeniem wszelkich innych środków. Sąd krajowy państwa egzekucji nie bada więc kompetencji trybunału, a badanie ważności wyroku należy do mechanizmu unieważnienia z samej konwencji.</w:t>
      </w:r>
    </w:p>
    <w:p>
      <w:pPr>
        <w:pStyle w:val="BodyText"/>
      </w:pPr>
      <w:r>
        <w:t xml:space="preserve">Kolejność w czasie ma znaczenie materialne. Pomoc ocenia się według chwili jej przyznania. Trybunał ujął ten test w sprawie C-638/19 P w sposób, który daje się zastosować wprost: czynnikiem decydującym dla ustalenia dnia, w którym beneficjenci uzyskali prawo do otrzymania pomocy, jest nabycie przez nich pewnego prawa do jej otrzymania oraz wynikające z tego zobowiązanie państwa do jej przyznania, bo dopiero w tym momencie środek może zakłócić konkurencję i wpłynąć na wymianę handlową w rozumieniu art. 107 ust. 1 TFUE. Obowiązek powstrzymania się od wprowadzenia pomocy w życie działa natomiast w sposób ciągły — do wydania decyzji końcowej.</w:t>
      </w:r>
    </w:p>
    <w:bookmarkEnd w:id="22"/>
    <w:bookmarkStart w:id="23" w:name="bramki-weryfikacyjne-mg-1-mg-2-cn-gate"/>
    <w:p>
      <w:pPr>
        <w:pStyle w:val="Heading2"/>
      </w:pPr>
      <w:r>
        <w:t xml:space="preserve">Bramki weryfikacyjne (MG-1, MG-2, CN-GATE)</w:t>
      </w:r>
    </w:p>
    <w:p>
      <w:pPr>
        <w:pStyle w:val="FirstParagraph"/>
      </w:pPr>
      <w:r>
        <w:t xml:space="preserve">MG-1 — zakres czasowy i podmiotowy. Solaria jest państwem członkowskim, więc związana prawem Unii w całości. Państwo pochodzenia Heliox jest państwem trzecim i stroną umowy mieszanej zawartej z Unią i jej państwami członkowskimi. ⬛ Kazus nie podaje daty wejścia w życie tej umowy dla żadnej ze stron ani daty jej ratyfikacji przez Solarię — brak o znaczeniu przesądzającym dla oceny, czy w chwili inwestycji istniała podstawa zgody na arbitraż. ⬛ Nie podaje też, czy Solaria jest stroną konwencji waszyngtońskiej ani czy wyrok wydano w reżimie konwencyjnym, czy w regulaminie dodatkowym; różnica przesądza, czy działa art. 54, czy konwencja nowojorska z jej katalogiem podstaw odmowy. Retroakcja: program przyjęto przed inwestycją, ustawę odzyskową po niej — problem czasowy dotyczy nie obowiązywania norm, lecz momentu przyznania pomocy, i jest rozpoznawany w zagadnieniu drugim.</w:t>
      </w:r>
    </w:p>
    <w:p>
      <w:pPr>
        <w:pStyle w:val="BodyText"/>
      </w:pPr>
      <w:r>
        <w:t xml:space="preserve">MG-2 — wykładnia i krawędzie jednostek.</w:t>
      </w:r>
    </w:p>
    <w:p>
      <w:pPr>
        <w:pStyle w:val="BodyText"/>
      </w:pPr>
      <w:r>
        <w:t xml:space="preserve">S1 definicje: 1 trafienie. Art. 2 pkt 2 konwencji z Aarhus, zdanie zamykające definicję — definicja władzy publicznej nie obejmuje organów lub instytucji w zakresie, w jakim działają jako władza sądownicza lub ustawodawcza. Trafienie rozstrzygające dla zagadnienia pierwszego.</w:t>
      </w:r>
    </w:p>
    <w:p>
      <w:pPr>
        <w:pStyle w:val="BodyText"/>
      </w:pPr>
      <w:r>
        <w:t xml:space="preserve">S2 krawędzie: 3 trafienia. Art. 108 ust. 3 zdanie ostatnie TFUE — zakaz wprowadzania projektowanych środków w życie do wydania decyzji końcowej; jednostka na końcu ustępu, łatwa do pominięcia przy lekturze ust. 2. Art. 55 konwencji waszyngtońskiej — nic w art. 54 nie może być rozumiane jako uchylenie prawa obowiązującego w państwie umawiającym się w zakresie immunitetu egzekucyjnego; ograniczenie niewidoczne w samym art. 54. Art. 16 ust. 1 zdanie drugie rozporządzenia 2015/1589 — Komisja nie wymaga windykacji, jeżeli byłoby to sprzeczne z ogólną zasadą prawa Unii; jednostka doklejona do przepisu o windykacji i przez to systematycznie czytana jako element definicji decyzji, a nie jako samodzielne ograniczenie.</w:t>
      </w:r>
    </w:p>
    <w:p>
      <w:pPr>
        <w:pStyle w:val="BodyText"/>
      </w:pPr>
      <w:r>
        <w:t xml:space="preserve">S3 akty powiązane: 3 trafienia. Rozporządzenie Rady (UE) 2015/1589, w szczególności art. 13 (nakaz zawieszenia i tymczasowej windykacji, ta druga pod trzema przesłankami łącznie), art. 16 (windykacja i odsetki) oraz art. 17 (dziesięcioletni okres przedawnienia i skutek jego upływu). Art. 7 i 8 konwencji z Aarhus jako reżim zastępczy dla art. 6. Art. 26 i 27 konwencji waszyngtońskiej jako reżim wyłączności arbitrażu i warunkowego odblokowania ochrony dyplomatycznej.</w:t>
      </w:r>
    </w:p>
    <w:p>
      <w:pPr>
        <w:pStyle w:val="BodyText"/>
      </w:pPr>
      <w:r>
        <w:t xml:space="preserve">S4 nowelizacje: brak trafień istotnych dla stanu faktycznego. Rozporządzenie 2015/1589 jest tekstem jednolitym zastępującym rozporządzenie 659/1999; art. 13 ust. 2 zawiera własny przepis intertemporalny ograniczający jego stosowanie do pomocy wdrożonej po wejściu w życie rozporządzenia 659/1999, co w tym stanie faktycznym nie tworzy problemu.</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Udział społeczeństwa</w:t>
            </w:r>
          </w:p>
        </w:tc>
        <w:tc>
          <w:tcPr/>
          <w:p>
            <w:pPr>
              <w:pStyle w:val="Compact"/>
              <w:jc w:val="left"/>
            </w:pPr>
            <w:r>
              <w:t xml:space="preserve">konwencja z Aarhus, art. 2 pkt 2 i art. 8</w:t>
            </w:r>
          </w:p>
        </w:tc>
        <w:tc>
          <w:tcPr/>
          <w:p>
            <w:pPr>
              <w:pStyle w:val="Compact"/>
              <w:jc w:val="left"/>
            </w:pPr>
            <w:r>
              <w:t xml:space="preserve">TAK</w:t>
            </w:r>
          </w:p>
        </w:tc>
        <w:tc>
          <w:tcPr/>
          <w:p>
            <w:pPr>
              <w:pStyle w:val="Compact"/>
              <w:jc w:val="left"/>
            </w:pPr>
            <w:r>
              <w:t xml:space="preserve">NIE dla art. 6 — organ działający jako władza ustawodawcza poza definicją władzy publicznej</w:t>
            </w:r>
          </w:p>
        </w:tc>
        <w:tc>
          <w:tcPr/>
          <w:p>
            <w:pPr>
              <w:pStyle w:val="Compact"/>
              <w:jc w:val="left"/>
            </w:pPr>
            <w:r>
              <w:t xml:space="preserve">TAK dla art. 8</w:t>
            </w:r>
          </w:p>
        </w:tc>
      </w:tr>
      <w:tr>
        <w:tc>
          <w:tcPr/>
          <w:p>
            <w:pPr>
              <w:pStyle w:val="Compact"/>
              <w:jc w:val="left"/>
            </w:pPr>
            <w:r>
              <w:t xml:space="preserve">Kwalifikacja programu</w:t>
            </w:r>
          </w:p>
        </w:tc>
        <w:tc>
          <w:tcPr/>
          <w:p>
            <w:pPr>
              <w:pStyle w:val="Compact"/>
              <w:jc w:val="left"/>
            </w:pPr>
            <w:r>
              <w:t xml:space="preserve">art. 107 ust. 1 TFUE</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Odzyskanie z inicjatywy krajowej</w:t>
            </w:r>
          </w:p>
        </w:tc>
        <w:tc>
          <w:tcPr/>
          <w:p>
            <w:pPr>
              <w:pStyle w:val="Compact"/>
              <w:jc w:val="left"/>
            </w:pPr>
            <w:r>
              <w:t xml:space="preserve">art. 16 ust. 1 rozp. 2015/1589</w:t>
            </w:r>
          </w:p>
        </w:tc>
        <w:tc>
          <w:tcPr/>
          <w:p>
            <w:pPr>
              <w:pStyle w:val="Compact"/>
              <w:jc w:val="left"/>
            </w:pPr>
            <w:r>
              <w:t xml:space="preserve">TAK</w:t>
            </w:r>
          </w:p>
        </w:tc>
        <w:tc>
          <w:tcPr/>
          <w:p>
            <w:pPr>
              <w:pStyle w:val="Compact"/>
              <w:jc w:val="left"/>
            </w:pPr>
            <w:r>
              <w:t xml:space="preserve">NIE — norma zakłada uprzednią decyzję negatywną Komisji, której brak</w:t>
            </w:r>
          </w:p>
        </w:tc>
        <w:tc>
          <w:tcPr/>
          <w:p>
            <w:pPr>
              <w:pStyle w:val="Compact"/>
              <w:jc w:val="left"/>
            </w:pPr>
            <w:r>
              <w:t xml:space="preserve">—</w:t>
            </w:r>
          </w:p>
        </w:tc>
      </w:tr>
      <w:tr>
        <w:tc>
          <w:tcPr/>
          <w:p>
            <w:pPr>
              <w:pStyle w:val="Compact"/>
              <w:jc w:val="left"/>
            </w:pPr>
            <w:r>
              <w:t xml:space="preserve">Ochrona zaufania w prawie Unii</w:t>
            </w:r>
          </w:p>
        </w:tc>
        <w:tc>
          <w:tcPr/>
          <w:p>
            <w:pPr>
              <w:pStyle w:val="Compact"/>
              <w:jc w:val="left"/>
            </w:pPr>
            <w:r>
              <w:t xml:space="preserve">art. 16 ust. 1 zdanie drugie rozp. 2015/1589</w:t>
            </w:r>
          </w:p>
        </w:tc>
        <w:tc>
          <w:tcPr/>
          <w:p>
            <w:pPr>
              <w:pStyle w:val="Compact"/>
              <w:jc w:val="left"/>
            </w:pPr>
            <w:r>
              <w:t xml:space="preserve">TAK</w:t>
            </w:r>
          </w:p>
        </w:tc>
        <w:tc>
          <w:tcPr/>
          <w:p>
            <w:pPr>
              <w:pStyle w:val="Compact"/>
              <w:jc w:val="left"/>
            </w:pPr>
            <w:r>
              <w:t xml:space="preserve">TAK</w:t>
            </w:r>
          </w:p>
        </w:tc>
        <w:tc>
          <w:tcPr/>
          <w:p>
            <w:pPr>
              <w:pStyle w:val="Compact"/>
              <w:jc w:val="left"/>
            </w:pPr>
            <w:r>
              <w:t xml:space="preserve">warunkowo — działa wobec Komisji, a wobec państwa pośrednio, przez ogólne zasady</w:t>
            </w:r>
          </w:p>
        </w:tc>
      </w:tr>
      <w:tr>
        <w:tc>
          <w:tcPr/>
          <w:p>
            <w:pPr>
              <w:pStyle w:val="Compact"/>
              <w:jc w:val="left"/>
            </w:pPr>
            <w:r>
              <w:t xml:space="preserve">Arbitraż</w:t>
            </w:r>
          </w:p>
        </w:tc>
        <w:tc>
          <w:tcPr/>
          <w:p>
            <w:pPr>
              <w:pStyle w:val="Compact"/>
              <w:jc w:val="left"/>
            </w:pPr>
            <w:r>
              <w:t xml:space="preserve">art. 344 TFUE</w:t>
            </w:r>
          </w:p>
        </w:tc>
        <w:tc>
          <w:tcPr/>
          <w:p>
            <w:pPr>
              <w:pStyle w:val="Compact"/>
              <w:jc w:val="left"/>
            </w:pPr>
            <w:r>
              <w:t xml:space="preserve">TAK</w:t>
            </w:r>
          </w:p>
        </w:tc>
        <w:tc>
          <w:tcPr/>
          <w:p>
            <w:pPr>
              <w:pStyle w:val="Compact"/>
              <w:jc w:val="left"/>
            </w:pPr>
            <w:r>
              <w:t xml:space="preserve">NIE — postanowienie dotyczy zobowiązania państw członkowskich między sobą; umowa mieszana z państwem trzecim poza zakresem</w:t>
            </w:r>
          </w:p>
        </w:tc>
        <w:tc>
          <w:tcPr/>
          <w:p>
            <w:pPr>
              <w:pStyle w:val="Compact"/>
              <w:jc w:val="left"/>
            </w:pPr>
            <w:r>
              <w:t xml:space="preserve">—</w:t>
            </w:r>
          </w:p>
        </w:tc>
      </w:tr>
      <w:tr>
        <w:tc>
          <w:tcPr/>
          <w:p>
            <w:pPr>
              <w:pStyle w:val="Compact"/>
              <w:jc w:val="left"/>
            </w:pPr>
            <w:r>
              <w:t xml:space="preserve">Wykonalność</w:t>
            </w:r>
          </w:p>
        </w:tc>
        <w:tc>
          <w:tcPr/>
          <w:p>
            <w:pPr>
              <w:pStyle w:val="Compact"/>
              <w:jc w:val="left"/>
            </w:pPr>
            <w:r>
              <w:t xml:space="preserve">art. 54 konwencji waszyngtońskiej</w:t>
            </w:r>
          </w:p>
        </w:tc>
        <w:tc>
          <w:tcPr/>
          <w:p>
            <w:pPr>
              <w:pStyle w:val="Compact"/>
              <w:jc w:val="left"/>
            </w:pPr>
            <w:r>
              <w:t xml:space="preserve">⬛ brak danych o statusie Solarii</w:t>
            </w:r>
          </w:p>
        </w:tc>
        <w:tc>
          <w:tcPr/>
          <w:p>
            <w:pPr>
              <w:pStyle w:val="Compact"/>
              <w:jc w:val="left"/>
            </w:pPr>
            <w:r>
              <w:t xml:space="preserve">⬛</w:t>
            </w:r>
          </w:p>
        </w:tc>
        <w:tc>
          <w:tcPr/>
          <w:p>
            <w:pPr>
              <w:pStyle w:val="Compact"/>
              <w:jc w:val="left"/>
            </w:pPr>
            <w:r>
              <w:t xml:space="preserve">TAK, jeżeli reżim konwencyjny</w:t>
            </w:r>
          </w:p>
        </w:tc>
      </w:tr>
      <w:tr>
        <w:tc>
          <w:tcPr/>
          <w:p>
            <w:pPr>
              <w:pStyle w:val="Compact"/>
              <w:jc w:val="left"/>
            </w:pPr>
            <w:r>
              <w:t xml:space="preserve">Ochrona dyplomatyczna państwa trzeciego</w:t>
            </w:r>
          </w:p>
        </w:tc>
        <w:tc>
          <w:tcPr/>
          <w:p>
            <w:pPr>
              <w:pStyle w:val="Compact"/>
              <w:jc w:val="left"/>
            </w:pPr>
            <w:r>
              <w:t xml:space="preserve">art. 27 ust. 1 konwencji waszyngtońskiej</w:t>
            </w:r>
          </w:p>
        </w:tc>
        <w:tc>
          <w:tcPr/>
          <w:p>
            <w:pPr>
              <w:pStyle w:val="Compact"/>
              <w:jc w:val="left"/>
            </w:pPr>
            <w:r>
              <w:t xml:space="preserve">TAK</w:t>
            </w:r>
          </w:p>
        </w:tc>
        <w:tc>
          <w:tcPr/>
          <w:p>
            <w:pPr>
              <w:pStyle w:val="Compact"/>
              <w:jc w:val="left"/>
            </w:pPr>
            <w:r>
              <w:t xml:space="preserve">⬛ zależy od statusu obu państw</w:t>
            </w:r>
          </w:p>
        </w:tc>
        <w:tc>
          <w:tcPr/>
          <w:p>
            <w:pPr>
              <w:pStyle w:val="Compact"/>
              <w:jc w:val="left"/>
            </w:pPr>
            <w:r>
              <w:t xml:space="preserve">TAK — odblokowuje się przy niewykonaniu wyroku</w:t>
            </w:r>
          </w:p>
        </w:tc>
      </w:tr>
    </w:tbl>
    <w:p>
      <w:pPr>
        <w:pStyle w:val="BodyText"/>
      </w:pPr>
      <w:r>
        <w:t xml:space="preserve">Trzy wyniki „NIE” są rozstrzygające i przenoszą analizę na normy zastępcze: art. 8 konwencji z Aarhus, krajową podstawę odzyskania ocenianą wprost przez ogólne zasady prawa Unii oraz konstrukcję z C-638/19 P zamiast linii Achmea. Trzy ⬛ przechodzą do REM-GATE jako rozstrzygnięcia warunkowe.</w:t>
      </w:r>
    </w:p>
    <w:bookmarkEnd w:id="23"/>
    <w:bookmarkStart w:id="30" w:name="analiza-materialna-według-zagadnień"/>
    <w:p>
      <w:pPr>
        <w:pStyle w:val="Heading2"/>
      </w:pPr>
      <w:r>
        <w:t xml:space="preserve">Analiza materialna według zagadnień</w:t>
      </w:r>
    </w:p>
    <w:bookmarkStart w:id="24" w:name="X750d1ee549f1ecabfec628f843545d38b544fa4"/>
    <w:p>
      <w:pPr>
        <w:pStyle w:val="Heading3"/>
      </w:pPr>
      <w:r>
        <w:t xml:space="preserve">Zagadnienie 1: wadliwa partycypacja a los certyfikatów</w:t>
      </w:r>
    </w:p>
    <w:p>
      <w:pPr>
        <w:pStyle w:val="FirstParagraph"/>
      </w:pPr>
      <w:r>
        <w:t xml:space="preserve">Ustalenie komitetu konwencji z Aarhus jest w kazusie przedstawione jako atut Heliox i organizacji ekologicznych. Przy odczycie tekstu okazuje się atutem znacznie słabszym, ale nie zerowym, i tę różnicę trzeba utrzymać przez cały wywód.</w:t>
      </w:r>
    </w:p>
    <w:p>
      <w:pPr>
        <w:pStyle w:val="BodyText"/>
      </w:pPr>
      <w:r>
        <w:t xml:space="preserve">Art. 6 ust. 1 lit. a konwencji nakazuje stosować postanowienia tego artykułu do decyzji o wydaniu pozwolenia na planowane przedsięwzięcia wymienione w załączniku I; lit. b rozciąga je, zgodnie z prawem krajowym, na przedsięwzięcia mogące mieć znaczące oddziaływanie na środowisko, przy czym to Strony określają, czy dane przedsięwzięcie podlega tym postanowieniom. Program wsparcia przyjęty ustawą nie jest decyzją o wydaniu pozwolenia na przedsięwzięcie. Rozstrzyga jednak co innego i leży to o jeden szczebel wyżej: zdanie zamykające art. 2 pkt 2 stanowi, że definicja władzy publicznej nie obejmuje organów lub instytucji w zakresie, w jakim działają jako władza sądownicza lub ustawodawcza. Parlament uchwalający ustawę o programie wsparcia mieści się w tym wyłączeniu w całości, więc cały reżim adresowany do władzy publicznej odpada u podstawy.</w:t>
      </w:r>
    </w:p>
    <w:p>
      <w:pPr>
        <w:pStyle w:val="BodyText"/>
      </w:pPr>
      <w:r>
        <w:t xml:space="preserve">Reżimem właściwym jest art. 8 — udział społeczeństwa w przygotowywaniu przepisów wykonawczych i innych powszechnie obowiązujących aktów normatywnych. Jego modalność jest jednak celowo słabsza i trzeba ją odtworzyć wiernie: Strona „stara się promować” rzeczywisty udział społeczeństwa, kroki wymienione w literach a–c opisano słowem „powinny” (określenie terminów, publikacja projektów, możliwość zgłaszania uwag), a rezultaty udziału bierze się pod uwagę „tak dalece, jak to jest możliwe”. Jest to obowiązek starannego działania, nie obowiązek rezultatu, i nie jest sankcjonowany nieważnością aktu.</w:t>
      </w:r>
    </w:p>
    <w:p>
      <w:pPr>
        <w:pStyle w:val="BodyText"/>
      </w:pPr>
      <w:r>
        <w:t xml:space="preserve">Wniosek jest dwuczłonowy i trzeba go postawić uczciwie. Trzy okoliczności z kazusu — publikacja dokumentów wyłącznie w języku krajowym, dostęp do portalu uzależniony od wykazania szczególnego interesu, brak raportu z konsultacji — odbiegają od standardu art. 8 lit. a–c, przy czym najmocniejszy jest zarzut dotyczący dostępu warunkowanego wykazaniem interesu, bo lit. b wymaga publicznej dostępności projektów bez takiego warunku. Ale nawet pełne stwierdzenie tego naruszenia nie unieważnia ustawy ani nie odbiera skuteczności certyfikatom wydanym na jej podstawie. Argument partycypacyjny działa więc w innym miejscu, niż wygląda: jako element oceny, czy inwestor mógł traktować ramy prawne za ustabilizowane, i jako materiał dla odpowiedzialności odszkodowawczej państwa.</w:t>
      </w:r>
    </w:p>
    <w:p>
      <w:pPr>
        <w:pStyle w:val="BodyText"/>
      </w:pPr>
      <w:r>
        <w:t xml:space="preserve">Domknięcie zamiatania: art. 6 ust. 1 lit. c pozwala Stronie zdecydować w indywidualnych przypadkach o niestosowaniu art. 6 do przedsięwzięć służących obronie narodowej. Wyjątek nie ma tu zastosowania i odnotowuję to wyłącznie po to, by pozycja S2 zamknęła się nazwanym skutkiem, a nie milczeniem.</w:t>
      </w:r>
    </w:p>
    <w:p>
      <w:pPr>
        <w:pStyle w:val="BodyText"/>
      </w:pPr>
      <w:r>
        <w:t xml:space="preserve">Ustalenia komitetu nie są orzeczeniem. Ich moc jest perswazyjna — i tak należy je przedstawić, nie osłabiając przy tym samego argumentu.</w:t>
      </w:r>
    </w:p>
    <w:bookmarkEnd w:id="24"/>
    <w:bookmarkStart w:id="25" w:name="X6470dfd2eb6e7a62031251db8067b21dd4d1218"/>
    <w:p>
      <w:pPr>
        <w:pStyle w:val="Heading3"/>
      </w:pPr>
      <w:r>
        <w:t xml:space="preserve">Zagadnienie 2: kto i kiedy stwierdza pomoc</w:t>
      </w:r>
    </w:p>
    <w:p>
      <w:pPr>
        <w:pStyle w:val="FirstParagraph"/>
      </w:pPr>
      <w:r>
        <w:t xml:space="preserve">Podział kompetencji jest ostry. Jeśli Komisja stwierdzi, po wezwaniu zainteresowanych stron do przedstawienia uwag, że pomoc nie jest zgodna z rynkiem wewnętrznym w rozumieniu art. 107 albo że jest nadużywana, decyduje o zniesieniu lub zmianie tej pomocy przez dane państwo w wyznaczonym terminie (art. 108 ust. 2 akapit pierwszy TFUE). Sąd krajowy nie może stwierdzić niezgodności; może stwierdzić, że środek jest pomocą, i wyciągnąć konsekwencje z naruszenia art. 108 ust. 3 zdanie ostatnie, który zakazuje wprowadzania projektowanych środków w życie, dopóki procedura nie doprowadzi do wydania decyzji końcowej.</w:t>
      </w:r>
    </w:p>
    <w:p>
      <w:pPr>
        <w:pStyle w:val="BodyText"/>
      </w:pPr>
      <w:r>
        <w:t xml:space="preserve">Tu leży pierwszy punkt rozstrzygający, pomijany przy szybkiej lekturze. Komisja wszczęła postępowanie formalne, ale nie wydała decyzji końcowej. Nie ma zatem decyzji o windykacji w rozumieniu art. 16 ust. 1 rozporządzenia 2015/1589 — a to ten przepis, i tylko on, nakazuje państwu podjęcie wszelkich koniecznych środków w celu windykacji pomocy od beneficjenta, wraz z odsetkami płatnymi od dnia udostępnienia pomocy do daty jej windykacji (ust. 2). Nie skorzystano też z art. 13 ust. 2, który pozwala Komisji nakazać tymczasową windykację, ale wyłącznie przy spełnieniu trzech kryteriów łącznie: braku wątpliwości co do charakteru pomocowego środka zgodnie z przyjętą praktyką, wymogu pilnego działania oraz poważnego ryzyka wyrządzenia konkurentowi poważnej i nieodwracalnej szkody.</w:t>
      </w:r>
    </w:p>
    <w:p>
      <w:pPr>
        <w:pStyle w:val="BodyText"/>
      </w:pPr>
      <w:r>
        <w:t xml:space="preserve">Konsekwencja jest dla Solarii dotkliwa. Ustawa odzyskowa nie jest wykonaniem obowiązku unijnego — jest samodzielnym środkiem krajowym. Nie działa więc żadna z konstrukcji, które w sprawach pomocowych rutynowo przełamują ochronę zaufania. Solaria musi obronić ten środek na własnych nogach: wykazać podstawę w prawie krajowym, cel, proporcjonalność i poszanowanie praw nabytych. Argument „musieliśmy, bo taki jest wymóg prawa Unii” jest w tym stanie faktycznym nieprawdziwy.</w:t>
      </w:r>
    </w:p>
    <w:p>
      <w:pPr>
        <w:pStyle w:val="BodyText"/>
      </w:pPr>
      <w:r>
        <w:t xml:space="preserve">Odrębnie: zakaz z art. 108 ust. 3 zdanie ostatnie dotyczy wprowadzania pomocy w życie, a nie jej likwidacji. Obniżenie wsparcia na przyszłość go nie narusza i nie wymaga zgody Komisji. Odrębnie jeszcze: art. 17 ust. 1 rozporządzenia poddaje uprawnienia Komisji w zakresie windykacji dziesięcioletniemu okresowi przedawnienia, biegnącemu od dnia przyznania pomocy beneficjentowi — indywidualnie albo w ramach programu pomocowego — przerywanemu każdym działaniem Komisji lub państwa działającego na jej wniosek i zawieszanemu na czas postępowania przed Trybunałem. Ustęp 3 stanowi, że pomoc, wobec której okres upłynął, uznaje się za pomoc istniejącą, co przenosi ją do reżimu art. 108 ust. 1 TFUE i wyklucza windykację. Przy programie wieloletnim data przyznania ustalana jest osobno dla każdej transzy i to ustalenie może rozstrzygnąć część sprawy bez wchodzenia w meritum.</w:t>
      </w:r>
    </w:p>
    <w:bookmarkEnd w:id="25"/>
    <w:bookmarkStart w:id="26" w:name="X1fa105694bb19d32b8b3b571979e4926571b951"/>
    <w:p>
      <w:pPr>
        <w:pStyle w:val="Heading3"/>
      </w:pPr>
      <w:r>
        <w:t xml:space="preserve">Zagadnienie 3: uzasadnione oczekiwania a zakaz utrwalania bezprawnej korzyści</w:t>
      </w:r>
    </w:p>
    <w:p>
      <w:pPr>
        <w:pStyle w:val="FirstParagraph"/>
      </w:pPr>
      <w:r>
        <w:t xml:space="preserve">Rozdzielenie tych wartości wymaga czterech odrębnych pytań, nie jednego — i czwarte jest tym, którego się zwykle nie zadaje.</w:t>
      </w:r>
    </w:p>
    <w:p>
      <w:pPr>
        <w:pStyle w:val="BodyText"/>
      </w:pPr>
      <w:r>
        <w:t xml:space="preserve">Wobec kogo powstało oczekiwanie. Oczekiwania co do legalności pomocy w relacji z Komisją mogą powstać wyłącznie z zachowania instytucji unijnej. Publiczna opinia ministerstwa, że program nie stanowi pomocy, Komisji nie wiąże. Reguła jest tu twarda: wobec obowiązkowego charakteru nadzoru Komisji nad pomocą państwa przedsiębiorstwa, którym pomoc przyznano, nie mogą co do zasady mieć uzasadnionego oczekiwania, że pomoc jest zgodna z prawem, chyba że przyznano ją z zachowaniem przewidzianej procedury; staranny przedsiębiorca powinien normalnie być w stanie ustalić, czy procedury dochowano (C-5/89, pkt 14). Doradcy Heliox znali zarzuty organizacji ekologicznych i znali stanowisko ministerstwa, a więc wiedzieli, że kwalifikacja programu jest sporna. To okoliczność obciążająca ich, nie chroniąca.</w:t>
      </w:r>
    </w:p>
    <w:p>
      <w:pPr>
        <w:pStyle w:val="BodyText"/>
      </w:pPr>
      <w:r>
        <w:t xml:space="preserve">Czy wystąpiły okoliczności wyjątkowe. Ten sam wyrok zastrzega, że beneficjentowi pomocy przyznanej bezprawnie nie odbiera się możliwości powołania się na okoliczności wyjątkowe, na podstawie których zasadnie przyjął, że pomoc jest zgodna z prawem, i odmówienia jej zwrotu; ocenę okoliczności faktycznych przeprowadza sąd krajowy, w razie potrzeby po zwróceniu się do Trybunału z pytaniem prejudycjalnym (pkt 16). Imienne certyfikaty potwierdzające korzystanie z programu przez cały okres wsparcia są najmocniejszym materiałem Heliox właśnie tutaj — nie jako źródło oczekiwań wobec Komisji, lecz jako akt indywidualny organu, wykraczający poza ogólne zapewnienie ustawowe.</w:t>
      </w:r>
    </w:p>
    <w:p>
      <w:pPr>
        <w:pStyle w:val="BodyText"/>
      </w:pPr>
      <w:r>
        <w:t xml:space="preserve">Czy certyfikat tworzy pewne prawo. To jest pytanie, którego przy pierwszym podejściu się nie stawia, a które test z C-638/19 P czyni obowiązkowym. Skoro czynnikiem decydującym dla ustalenia dnia przyznania pomocy jest nabycie przez beneficjenta pewnego prawa do jej otrzymania oraz odpowiadające mu zobowiązanie państwa, to ten sam test odpowiada na dwa pytania naraz: kiedy pomoc przyznano i czy certyfikat wykracza poza zapewnienie polityczne. Jeżeli certyfikat imienny tworzy po stronie organu zobowiązanie do świadczenia przez cały zadeklarowany okres — data przyznania to data certyfikatu dla całego okresu, a nie data każdej wypłaty, co uruchamia bieg przedawnienia z art. 17 ust. 1 rozporządzenia dla całości i jednocześnie czyni certyfikat okolicznością wyjątkową w rozumieniu pkt 16. Jeżeli certyfikat jest wyłącznie potwierdzeniem spełnienia warunków ustawowych, bez własnego zobowiązania — przyznanie następuje transzami, przedawnienie biegnie osobno dla każdej, a siła argumentu z okoliczności wyjątkowych maleje. ⬛ Kazus nie podaje treści certyfikatu; to brak faktyczny o znaczeniu przesądzającym i jest ich w tej sprawie dwa, obok daty jego wydania wobec daty rozpoczęcia inwestycji.</w:t>
      </w:r>
    </w:p>
    <w:p>
      <w:pPr>
        <w:pStyle w:val="BodyText"/>
      </w:pPr>
      <w:r>
        <w:t xml:space="preserve">Czy prawo Unii chroni zaufanie samodzielnie. Tak, i to jest korekta wobec ujęcia, w którym ochrona zaufania jest wyłącznie tolerowaną konstrukcją krajową. Art. 16 ust. 1 zdanie drugie rozporządzenia 2015/1589 stanowi, że Komisja nie wymaga windykacji pomocy, jeżeli byłoby to sprzeczne z ogólną zasadą prawa Unii. Ochrona uzasadnionych oczekiwań i pewność prawa są takimi zasadami. Przepis adresowany jest do Komisji, więc nie stosuje się wprost do środka krajowego podjętego bez jej decyzji — ale ma dwa skutki, których nie wolno pominąć. Po pierwsze, wyklucza tezę, że prawo Unii wymaga odzyskania bezwarunkowo. Po drugie, wyznacza standard, do którego Solaria musi się odnieść: skoro sama Komisja nie mogłaby nakazać windykacji sprzecznej z ogólną zasadą prawa Unii, to państwo działające wyprzedzająco, bez decyzji, tym bardziej nie może nakazać jej z pominięciem tej zasady.</w:t>
      </w:r>
    </w:p>
    <w:p>
      <w:pPr>
        <w:pStyle w:val="BodyText"/>
      </w:pPr>
      <w:r>
        <w:t xml:space="preserve">Granica działa jednak także w drugą stronę i uczciwość wymaga jej wskazania. Państwo członkowskie, którego organy przyznały pomoc z naruszeniem reguł proceduralnych, nie może powoływać się na uzasadnione oczekiwania beneficjentów, aby usprawiedliwić niewykonanie decyzji Komisji nakazującej windykację; gdyby mogło, przepisy o pomocy państwa zostałyby pozbawione skuteczności, ponieważ organy krajowe powoływałyby się na własne bezprawne zachowanie (C-5/89, pkt 17). W stanie z kazusu ten punkt nie działa, bo decyzji Komisji nie ma. Ale działa warunkowo i trzeba to zapisać: z chwilą wydania decyzji końcowej nakazującej windykację cała konstrukcja ochrony zaufania po stronie Solarii jako państwa upada, a ochrona pozostaje wyłącznie po stronie Heliox jako beneficjenta i wyłącznie w granicach pkt 16.</w:t>
      </w:r>
    </w:p>
    <w:p>
      <w:pPr>
        <w:pStyle w:val="BodyText"/>
      </w:pPr>
      <w:r>
        <w:t xml:space="preserve">Rozdzielenie ma zatem następujący kształt. Zakaz utrwalania bezprawnej korzyści jest realny, ale jest to zakaz adresowany do państwa w relacji z Komisją i uruchamiany jej decyzją. Dopóki decyzji nie ma, w relacji państwo–inwestor obowiązują zwykłe reguły ochrony zaufania, wzmocnione przez akt indywidualny i osłabione przez wiedzę inwestora o sporności kwalifikacji.</w:t>
      </w:r>
    </w:p>
    <w:bookmarkEnd w:id="26"/>
    <w:bookmarkStart w:id="27" w:name="Xf78823c5c7100ceb4c26a8d39d6e9abf7961df5"/>
    <w:p>
      <w:pPr>
        <w:pStyle w:val="Heading3"/>
      </w:pPr>
      <w:r>
        <w:t xml:space="preserve">Zagadnienie 4: arbitraż, wyrok i granice odmowy wykonania</w:t>
      </w:r>
    </w:p>
    <w:p>
      <w:pPr>
        <w:pStyle w:val="FirstParagraph"/>
      </w:pPr>
      <w:r>
        <w:t xml:space="preserve">To zagadnienie zawiera pułapkę, w którą wpada się przez analogię — i drugą, w którą wpada się przez nieprecyzyjne powołanie.</w:t>
      </w:r>
    </w:p>
    <w:p>
      <w:pPr>
        <w:pStyle w:val="BodyText"/>
      </w:pPr>
      <w:r>
        <w:t xml:space="preserve">Pułapka pierwsza. Linia orzecznicza, po którą sięga się odruchowo, dotyczy klauzul arbitrażowych między państwami członkowskimi. W sprawie C-284/16 Trybunał orzekł, że art. 267 i 344 TFUE stoją na przeszkodzie postanowieniu umowy międzynarodowej zawartej między państwami członkowskimi, wedle którego inwestor z jednego z nich może w sporze dotyczącym inwestycji w drugim wszcząć przeciwko niemu postępowanie przed sądem polubownym, którego kompetencję to państwo zobowiązało się uznać. W sprawie C-109/20 Trybunał rozciągnął ten skutek na zapis na sąd polubowny ad hoc o treści identycznej z nieważną klauzulą. Wspólnym mianownikiem obu jest relacja wewnątrzunijna. Kazus opisuje umowę zawartą przez Unię i jej państwa członkowskie z państwem trzecim; art. 344 TFUE zobowiązuje natomiast państwa członkowskie, by nie poddawały sporów dotyczących wykładni lub stosowania Traktatów procedurze innej niż w nich przewidziana — a więc dotyczy ich zobowiązania między sobą. Zarzut „klauzula jest nieważna na podstawie Achmea” byłby w tej sprawie błędem zakresu podmiotowego.</w:t>
      </w:r>
    </w:p>
    <w:p>
      <w:pPr>
        <w:pStyle w:val="BodyText"/>
      </w:pPr>
      <w:r>
        <w:t xml:space="preserve">Pułapka druga, którą powtórna weryfikacja ujawniła. Sprawa C-741/19 bywa powoływana jako rozstrzygnięcie o braku możliwości stosowania art. 26 Traktatu karty energetycznej między państwami członkowskimi. Odczyt sentencji tego nie potwierdza: Trybunał orzekł, że art. 1 pkt 6 i art. 26 ust. 1 Traktatu karty energetycznej należy interpretować w ten sposób, iż nabycie przez przedsiębiorstwo z jednej z umawiających się stron wierzytelności wynikającej z umowy dostawy energii elektrycznej niezwiązanej z inwestycją, przysługującej przedsiębiorstwu z państwa niebędącego stroną traktatu wobec przedsiębiorstwa publicznego z innej umawiającej się strony, nie stanowi „inwestycji” w rozumieniu tych postanowień. Teza o braku możliwości stosowania art. 26 między państwami członkowskimi znajduje się w uzasadnieniu i w opisie przedmiotu sprawy, a nie w rozstrzygnięciu. Powołanie jej jako sentencji jest nieścisłością, którą przeciwnik wykorzysta — a przy umowie z państwem trzecim wyrok i tak nie jest podstawą właściwą.</w:t>
      </w:r>
    </w:p>
    <w:p>
      <w:pPr>
        <w:pStyle w:val="BodyText"/>
      </w:pPr>
      <w:r>
        <w:t xml:space="preserve">Realne ograniczenie leży gdzie indziej i wynika ze sprawy C-638/19 P. Trybunał uchylił wyrok Sądu i przekazał sprawę do ponownego rozpoznania, a rdzeniem sporu było to, kiedy pomoc została przyznana. Test sformułowany przez Trybunał — nabycie pewnego prawa do otrzymania pomocy i odpowiadające mu zobowiązanie państwa — przeniesiony na kazus daje pytanie, które trzeba postawić wprost: czy wykonanie wyroku arbitrażowego odtwarza korzyść objętą programem, czy stanowi kompensatę za odrębne zdarzenie, jakim jest zniesienie wsparcia, mające własną datę i własne źródło w postaci naruszenia umowy inwestycyjnej.</w:t>
      </w:r>
    </w:p>
    <w:p>
      <w:pPr>
        <w:pStyle w:val="BodyText"/>
      </w:pPr>
      <w:r>
        <w:t xml:space="preserve">Co do samej odmowy wykonania: art. 53 ust. 1 konwencji waszyngtońskiej stanowi, że wyrok jest wiążący dla stron i nie podlega apelacji ani żadnemu innemu środkowi poza przewidzianymi w konwencji, a każda strona ma się do niego stosować, chyba że wykonanie zostało zawieszone w trybie odpowiednich postanowień konwencji. Art. 54 ust. 1 zobowiązuje każde państwo umawiające się do uznania wyroku za wiążący i wykonania nałożonych nim zobowiązań pieniężnych na swoim terytorium tak, jakby był prawomocnym orzeczeniem sądu tego państwa. Sąd krajowy nie ma zatem uprawnienia do kontroli merytorycznej. Reżim ma jednak dwa wentyle, które w tej sprawie decydują: art. 54 ust. 3 poddaje wykonanie wyroku prawu o wykonywaniu orzeczeń obowiązującemu w państwie, na którego terytorium wykonania się dochodzi, a art. 55 zastrzega, że nic w art. 54 nie może być rozumiane jako uchylenie prawa dotyczącego immunitetu egzekucyjnego państwa. Odmowa uznania jest więc trudna do obronienia; ograniczenie egzekucji z majątku państwowego jest natomiast normalnym zastosowaniem art. 55.</w:t>
      </w:r>
    </w:p>
    <w:p>
      <w:pPr>
        <w:pStyle w:val="BodyText"/>
      </w:pPr>
      <w:r>
        <w:t xml:space="preserve">Cena zawieszenia, której przy pierwszym podejściu się nie liczy. Art. 27 ust. 1 konwencji stanowi, że państwo umawiające się nie udziela ochrony dyplomatycznej ani nie wnosi roszczenia międzynarodowego w sporze, który jeden z jego obywateli i inne państwo umawiające się zgodziły się poddać albo poddały arbitrażowi — chyba że to drugie państwo nie zastosowało się do wyroku. Zawieszenie wykonania przez Solarię otwiera więc państwu pochodzenia Heliox drogę, która do tej pory była zamknięta. Nie przesądza to o wyborze strategii, ale przesądza o tym, że zawieszenie nie jest środkiem neutralnym: przenosi spór z płaszczyzny inwestor–państwo na płaszczyznę międzypaństwową i tam Solaria traci ochronę, jaką dawała jej wyłączność arbitrażu z art. 26.</w:t>
      </w:r>
    </w:p>
    <w:bookmarkEnd w:id="27"/>
    <w:bookmarkStart w:id="28" w:name="zagadnienie-5-proporcjonalność-i-ryczałt"/>
    <w:p>
      <w:pPr>
        <w:pStyle w:val="Heading3"/>
      </w:pPr>
      <w:r>
        <w:t xml:space="preserve">Zagadnienie 5: proporcjonalność i ryczałt</w:t>
      </w:r>
    </w:p>
    <w:p>
      <w:pPr>
        <w:pStyle w:val="FirstParagraph"/>
      </w:pPr>
      <w:r>
        <w:t xml:space="preserve">Tu leży najmocniejszy i najprostszy do wykazania zarzut Heliox, niezależny od wszystkiego powyżej.</w:t>
      </w:r>
    </w:p>
    <w:p>
      <w:pPr>
        <w:pStyle w:val="BodyText"/>
      </w:pPr>
      <w:r>
        <w:t xml:space="preserve">Kwoty odzyskiwane obliczono ryczałtowo według mocy instalacji, bez zbadania rzeczywistej korzyści każdego projektu. Konstrukcja odzyskania jest natomiast restytucyjna: art. 16 ust. 2 rozporządzenia 2015/1589 stanowi, że pomoc podlegająca windykacji obejmuje odsetki naliczone według stopy ustalonej przez Komisję, płatne od dnia udostępnienia pomocy beneficjentowi do daty jej windykacji. Konstrukcja odsetek liczonych od udostępnienia zakłada, że przedmiotem zwrotu jest korzyść faktycznie uzyskana i faktycznie utrzymywana w czasie. Ryczałt według mocy zainstalowanej nie mierzy korzyści — mierzy wielkość instalacji. Dla dwóch projektów o tej samej mocy, ale różnym wykorzystaniu, różnym profilu produkcji i różnym udziale wsparcia w przychodzie, daje ten sam wynik, co jest wynikiem arbitralnym.</w:t>
      </w:r>
    </w:p>
    <w:p>
      <w:pPr>
        <w:pStyle w:val="BodyText"/>
      </w:pPr>
      <w:r>
        <w:t xml:space="preserve">Zarzut ma trzy niezależne nogi. Proporcjonalność: środek wykracza poza to, co konieczne do przywrócenia stanu sprzed przyznania korzyści. Równe traktowanie: identyczne traktowanie sytuacji nieporównywalnych narusza tę zasadę tak samo jak odmienne traktowanie porównywalnych. Skuteczna ochrona sądowa: metoda ryczałtowa, która nie dopuszcza wykazania rzeczywistej korzyści, czyni prawo do obrony pozornym.</w:t>
      </w:r>
    </w:p>
    <w:p>
      <w:pPr>
        <w:pStyle w:val="BodyText"/>
      </w:pPr>
      <w:r>
        <w:t xml:space="preserve">Ten zarzut należy postawić na pierwszym miejscu, ponieważ nie wymaga rozstrzygnięcia żadnej z kontrowersji unijnych ani arbitrażowych i nie zależy od wyniku postępowania Komisji. Warto przy tym zauważyć asymetrię, która działa na korzyść Heliox: nawet gdyby Komisja wydała decyzję negatywną, art. 16 ust. 3 nakazuje przeprowadzić windykację zgodnie z procedurami prawa krajowego pod warunkiem, że przewidują one bezzwłoczne i skuteczne wykonanie decyzji — warunek dotyczy skuteczności, a nie zwolnienia z rygorów proporcjonalności przy ustalaniu kwoty.</w:t>
      </w:r>
    </w:p>
    <w:bookmarkEnd w:id="28"/>
    <w:bookmarkStart w:id="29" w:name="X543e6e5cf9ec9eb75f387b81b6a4b18078d75be"/>
    <w:p>
      <w:pPr>
        <w:pStyle w:val="Heading3"/>
      </w:pPr>
      <w:r>
        <w:t xml:space="preserve">Zagadnienie 6: kolejność postępowań i środki tymczasowe</w:t>
      </w:r>
    </w:p>
    <w:p>
      <w:pPr>
        <w:pStyle w:val="FirstParagraph"/>
      </w:pPr>
      <w:r>
        <w:t xml:space="preserve">Ryzyko sprzecznych rozstrzygnięć jest realne, a narzędzia jego opanowania rozproszone.</w:t>
      </w:r>
    </w:p>
    <w:p>
      <w:pPr>
        <w:pStyle w:val="BodyText"/>
      </w:pPr>
      <w:r>
        <w:t xml:space="preserve">Sąd krajowy, którego orzeczenia nie podlegają zaskarżeniu według prawa wewnętrznego, jest zobowiązany wnieść sprawę do Trybunału (art. 267 akapit trzeci TFUE). Uczynił to — i jest to właściwa kolejność, bo rozstrzygnięcie kwestii unijnej przed orzeczeniem o krajowym środku odzyskowym eliminuje najpoważniejsze ryzyko rozbieżności.</w:t>
      </w:r>
    </w:p>
    <w:p>
      <w:pPr>
        <w:pStyle w:val="BodyText"/>
      </w:pPr>
      <w:r>
        <w:t xml:space="preserve">Postępowanie o stwierdzenie nieważności nie wstrzymuje z mocy prawa skutków zaskarżonego aktu; wstrzymanie wymaga odrębnego postanowienia. Odnotowuję przy tym sprzeczność w opisie stanu faktycznego: kazus mówi o toczącym się postępowaniu o unieważnienie decyzji Komisji przy jednoczesnym braku decyzji końcowej. Przedmiotem takiej skargi może być decyzja o wszczęciu formalnego postępowania, ale jest to inny akt o innych skutkach i bez ustalenia, o który chodzi, nie da się ocenić wpływu tego postępowania na kolejność.</w:t>
      </w:r>
    </w:p>
    <w:p>
      <w:pPr>
        <w:pStyle w:val="BodyText"/>
      </w:pPr>
      <w:r>
        <w:t xml:space="preserve">W płaszczyźnie egzekucyjnej narzędziem właściwym jest wniosek o zawieszenie wykonania w reżimie konwencyjnym oraz powołanie art. 55 w państwach egzekucji. Improwizowane rozwiązania krajowe są ryzykowne, bo każdy zbędny krok kontroli merytorycznej narusza art. 53 ust. 1. I trzeba dodać to, czego przy pierwszym podejściu brakuje: zawieszenie wykonania ma cenę opisaną w zagadnieniu czwartym, więc kolejność postępowań należy projektować tak, by okres zawieszenia był możliwie krótki i powiązany z konkretnym zdarzeniem — wydaniem decyzji końcowej albo odpowiedzią Trybunału — a nie otwarty.</w:t>
      </w:r>
    </w:p>
    <w:bookmarkEnd w:id="29"/>
    <w:bookmarkEnd w:id="30"/>
    <w:bookmarkStart w:id="31"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Heliox</w:t>
            </w:r>
          </w:p>
        </w:tc>
        <w:tc>
          <w:tcPr/>
          <w:p>
            <w:pPr>
              <w:pStyle w:val="Compact"/>
              <w:jc w:val="left"/>
            </w:pPr>
            <w:r>
              <w:t xml:space="preserve">Odpowiedź Solarii i Komisji</w:t>
            </w:r>
          </w:p>
        </w:tc>
      </w:tr>
      <w:tr>
        <w:tc>
          <w:tcPr/>
          <w:p>
            <w:pPr>
              <w:pStyle w:val="Compact"/>
              <w:jc w:val="left"/>
            </w:pPr>
            <w:r>
              <w:t xml:space="preserve">Partycypacja</w:t>
            </w:r>
          </w:p>
        </w:tc>
        <w:tc>
          <w:tcPr/>
          <w:p>
            <w:pPr>
              <w:pStyle w:val="Compact"/>
              <w:jc w:val="left"/>
            </w:pPr>
            <w:r>
              <w:t xml:space="preserve">Ustalenia komitetu potwierdzają nietransparentność procesu; ramy prawne były wadliwe od początku</w:t>
            </w:r>
          </w:p>
        </w:tc>
        <w:tc>
          <w:tcPr/>
          <w:p>
            <w:pPr>
              <w:pStyle w:val="Compact"/>
              <w:jc w:val="left"/>
            </w:pPr>
            <w:r>
              <w:t xml:space="preserve">Art. 2 pkt 2 in fine wyłącza organ ustawodawczy; właściwy jest art. 8 — obowiązek starania bez sankcji nieważności</w:t>
            </w:r>
          </w:p>
        </w:tc>
      </w:tr>
      <w:tr>
        <w:tc>
          <w:tcPr/>
          <w:p>
            <w:pPr>
              <w:pStyle w:val="Compact"/>
              <w:jc w:val="left"/>
            </w:pPr>
            <w:r>
              <w:t xml:space="preserve">Certyfikaty</w:t>
            </w:r>
          </w:p>
        </w:tc>
        <w:tc>
          <w:tcPr/>
          <w:p>
            <w:pPr>
              <w:pStyle w:val="Compact"/>
              <w:jc w:val="left"/>
            </w:pPr>
            <w:r>
              <w:t xml:space="preserve">Imienny akt organu na cały okres wsparcia tworzy pewne prawo i odpowiadające mu zobowiązanie państwa, a więc jest okolicznością wyjątkową (C-5/89 pkt 16)</w:t>
            </w:r>
          </w:p>
        </w:tc>
        <w:tc>
          <w:tcPr/>
          <w:p>
            <w:pPr>
              <w:pStyle w:val="Compact"/>
              <w:jc w:val="left"/>
            </w:pPr>
            <w:r>
              <w:t xml:space="preserve">Certyfikat nie sanuje braku notyfikacji; staranny przedsiębiorca mógł ustalić stan procedury (C-5/89 pkt 14)</w:t>
            </w:r>
          </w:p>
        </w:tc>
      </w:tr>
      <w:tr>
        <w:tc>
          <w:tcPr/>
          <w:p>
            <w:pPr>
              <w:pStyle w:val="Compact"/>
              <w:jc w:val="left"/>
            </w:pPr>
            <w:r>
              <w:t xml:space="preserve">Wiedza inwestora</w:t>
            </w:r>
          </w:p>
        </w:tc>
        <w:tc>
          <w:tcPr/>
          <w:p>
            <w:pPr>
              <w:pStyle w:val="Compact"/>
              <w:jc w:val="left"/>
            </w:pPr>
            <w:r>
              <w:t xml:space="preserve">Publiczne stanowisko ministerstwa potwierdzało brak charakteru pomocowego</w:t>
            </w:r>
          </w:p>
        </w:tc>
        <w:tc>
          <w:tcPr/>
          <w:p>
            <w:pPr>
              <w:pStyle w:val="Compact"/>
              <w:jc w:val="left"/>
            </w:pPr>
            <w:r>
              <w:t xml:space="preserve">Stanowisko krajowe nie wiąże Komisji; znajomość sporu o kwalifikację wyklucza dobrą wiarę co do legalności</w:t>
            </w:r>
          </w:p>
        </w:tc>
      </w:tr>
      <w:tr>
        <w:tc>
          <w:tcPr/>
          <w:p>
            <w:pPr>
              <w:pStyle w:val="Compact"/>
              <w:jc w:val="left"/>
            </w:pPr>
            <w:r>
              <w:t xml:space="preserve">Podstawa odzyskania</w:t>
            </w:r>
          </w:p>
        </w:tc>
        <w:tc>
          <w:tcPr/>
          <w:p>
            <w:pPr>
              <w:pStyle w:val="Compact"/>
              <w:jc w:val="left"/>
            </w:pPr>
            <w:r>
              <w:t xml:space="preserve">Brak decyzji Komisji — środek krajowy nie ma umocowania w prawie Unii i nie korzysta z konstrukcji przełamujących zaufanie</w:t>
            </w:r>
          </w:p>
        </w:tc>
        <w:tc>
          <w:tcPr/>
          <w:p>
            <w:pPr>
              <w:pStyle w:val="Compact"/>
              <w:jc w:val="left"/>
            </w:pPr>
            <w:r>
              <w:t xml:space="preserve">Państwo może działać wyprzedzająco wobec ryzyka utrwalenia korzyści; art. 108 ust. 3 nie chroni beneficjenta pomocy niezgłoszonej</w:t>
            </w:r>
          </w:p>
        </w:tc>
      </w:tr>
      <w:tr>
        <w:tc>
          <w:tcPr/>
          <w:p>
            <w:pPr>
              <w:pStyle w:val="Compact"/>
              <w:jc w:val="left"/>
            </w:pPr>
            <w:r>
              <w:t xml:space="preserve">Ochrona zaufania w prawie Unii</w:t>
            </w:r>
          </w:p>
        </w:tc>
        <w:tc>
          <w:tcPr/>
          <w:p>
            <w:pPr>
              <w:pStyle w:val="Compact"/>
              <w:jc w:val="left"/>
            </w:pPr>
            <w:r>
              <w:t xml:space="preserve">Art. 16 ust. 1 zdanie drugie zakazuje windykacji sprzecznej z ogólną zasadą prawa Unii — a fortiori wiąże państwo działające bez decyzji</w:t>
            </w:r>
          </w:p>
        </w:tc>
        <w:tc>
          <w:tcPr/>
          <w:p>
            <w:pPr>
              <w:pStyle w:val="Compact"/>
              <w:jc w:val="left"/>
            </w:pPr>
            <w:r>
              <w:t xml:space="preserve">Przepis adresowany jest do Komisji i dotyczy jej decyzji; nie tworzy uprawnienia beneficjenta wobec państwa</w:t>
            </w:r>
          </w:p>
        </w:tc>
      </w:tr>
      <w:tr>
        <w:tc>
          <w:tcPr/>
          <w:p>
            <w:pPr>
              <w:pStyle w:val="Compact"/>
              <w:jc w:val="left"/>
            </w:pPr>
            <w:r>
              <w:t xml:space="preserve">Metoda ryczałtowa</w:t>
            </w:r>
          </w:p>
        </w:tc>
        <w:tc>
          <w:tcPr/>
          <w:p>
            <w:pPr>
              <w:pStyle w:val="Compact"/>
              <w:jc w:val="left"/>
            </w:pPr>
            <w:r>
              <w:t xml:space="preserve">Nie mierzy korzyści; narusza proporcjonalność, równe traktowanie i prawo do obrony</w:t>
            </w:r>
          </w:p>
        </w:tc>
        <w:tc>
          <w:tcPr/>
          <w:p>
            <w:pPr>
              <w:pStyle w:val="Compact"/>
              <w:jc w:val="left"/>
            </w:pPr>
            <w:r>
              <w:t xml:space="preserve">Ryczałt zapewnia wykonalność i jednolite traktowanie beneficjentów tego samego programu</w:t>
            </w:r>
          </w:p>
        </w:tc>
      </w:tr>
      <w:tr>
        <w:tc>
          <w:tcPr/>
          <w:p>
            <w:pPr>
              <w:pStyle w:val="Compact"/>
              <w:jc w:val="left"/>
            </w:pPr>
            <w:r>
              <w:t xml:space="preserve">Arbitraż</w:t>
            </w:r>
          </w:p>
        </w:tc>
        <w:tc>
          <w:tcPr/>
          <w:p>
            <w:pPr>
              <w:pStyle w:val="Compact"/>
              <w:jc w:val="left"/>
            </w:pPr>
            <w:r>
              <w:t xml:space="preserve">Umowa mieszana z państwem trzecim — ratio Achmea i PL Holdings nie sięga tej konfiguracji; art. 344 dotyczy relacji między państwami członkowskimi</w:t>
            </w:r>
          </w:p>
        </w:tc>
        <w:tc>
          <w:tcPr/>
          <w:p>
            <w:pPr>
              <w:pStyle w:val="Compact"/>
              <w:jc w:val="left"/>
            </w:pPr>
            <w:r>
              <w:t xml:space="preserve">Wykonanie wyroku odtwarza zakwestionowaną korzyść i samo może być pomocą (konstrukcja z C-638/19 P)</w:t>
            </w:r>
          </w:p>
        </w:tc>
      </w:tr>
      <w:tr>
        <w:tc>
          <w:tcPr/>
          <w:p>
            <w:pPr>
              <w:pStyle w:val="Compact"/>
              <w:jc w:val="left"/>
            </w:pPr>
            <w:r>
              <w:t xml:space="preserve">Wykonanie</w:t>
            </w:r>
          </w:p>
        </w:tc>
        <w:tc>
          <w:tcPr/>
          <w:p>
            <w:pPr>
              <w:pStyle w:val="Compact"/>
              <w:jc w:val="left"/>
            </w:pPr>
            <w:r>
              <w:t xml:space="preserve">Art. 53 ust. 1 i art. 54 ust. 1 wykluczają kontrolę merytoryczną przez sąd krajowy</w:t>
            </w:r>
          </w:p>
        </w:tc>
        <w:tc>
          <w:tcPr/>
          <w:p>
            <w:pPr>
              <w:pStyle w:val="Compact"/>
              <w:jc w:val="left"/>
            </w:pPr>
            <w:r>
              <w:t xml:space="preserve">Art. 54 ust. 3 poddaje wykonanie prawu miejsca, a art. 55 chroni immunitet egzekucyjny</w:t>
            </w:r>
          </w:p>
        </w:tc>
      </w:tr>
      <w:tr>
        <w:tc>
          <w:tcPr/>
          <w:p>
            <w:pPr>
              <w:pStyle w:val="Compact"/>
              <w:jc w:val="left"/>
            </w:pPr>
            <w:r>
              <w:t xml:space="preserve">Kolejność</w:t>
            </w:r>
          </w:p>
        </w:tc>
        <w:tc>
          <w:tcPr/>
          <w:p>
            <w:pPr>
              <w:pStyle w:val="Compact"/>
              <w:jc w:val="left"/>
            </w:pPr>
            <w:r>
              <w:t xml:space="preserve">Zawieszenie wykonania jest odmową wykonania rozłożoną w czasie i odblokowuje art. 27 ust. 1 na korzyść państwa pochodzenia inwestora</w:t>
            </w:r>
          </w:p>
        </w:tc>
        <w:tc>
          <w:tcPr/>
          <w:p>
            <w:pPr>
              <w:pStyle w:val="Compact"/>
              <w:jc w:val="left"/>
            </w:pPr>
            <w:r>
              <w:t xml:space="preserve">Art. 267 akapit trzeci nakazywał pytanie; zawieszenie do decyzji Komisji chroni jej wyłączną kompetencję</w:t>
            </w:r>
          </w:p>
        </w:tc>
      </w:tr>
    </w:tbl>
    <w:bookmarkEnd w:id="31"/>
    <w:bookmarkStart w:id="32"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Treść certyfikatu — czy tworzy zobowiązanie państwa, czy potwierdza spełnienie warunków</w:t>
            </w:r>
          </w:p>
        </w:tc>
        <w:tc>
          <w:tcPr/>
          <w:p>
            <w:pPr>
              <w:pStyle w:val="Compact"/>
              <w:jc w:val="left"/>
            </w:pPr>
            <w:r>
              <w:t xml:space="preserve">Test z C-638/19 P: przesądza jednocześnie o dacie przyznania pomocy i o sile argumentu z okoliczności wyjątkowych</w:t>
            </w:r>
          </w:p>
        </w:tc>
        <w:tc>
          <w:tcPr/>
          <w:p>
            <w:pPr>
              <w:pStyle w:val="Compact"/>
              <w:jc w:val="left"/>
            </w:pPr>
            <w:r>
              <w:t xml:space="preserve">Wzór certyfikatu, decyzja o jego wydaniu, przepis ustawy będący jego podstawą</w:t>
            </w:r>
          </w:p>
        </w:tc>
      </w:tr>
      <w:tr>
        <w:tc>
          <w:tcPr/>
          <w:p>
            <w:pPr>
              <w:pStyle w:val="Compact"/>
              <w:jc w:val="left"/>
            </w:pPr>
            <w:r>
              <w:t xml:space="preserve">Data wydania certyfikatu wobec daty rozpoczęcia inwestycji</w:t>
            </w:r>
          </w:p>
        </w:tc>
        <w:tc>
          <w:tcPr/>
          <w:p>
            <w:pPr>
              <w:pStyle w:val="Compact"/>
              <w:jc w:val="left"/>
            </w:pPr>
            <w:r>
              <w:t xml:space="preserve">Warunek okoliczności wyjątkowej z C-5/89 pkt 16</w:t>
            </w:r>
          </w:p>
        </w:tc>
        <w:tc>
          <w:tcPr/>
          <w:p>
            <w:pPr>
              <w:pStyle w:val="Compact"/>
              <w:jc w:val="left"/>
            </w:pPr>
            <w:r>
              <w:t xml:space="preserve">Certyfikat z datą, harmonogram nakładów, umowy wykonawcze</w:t>
            </w:r>
          </w:p>
        </w:tc>
      </w:tr>
      <w:tr>
        <w:tc>
          <w:tcPr/>
          <w:p>
            <w:pPr>
              <w:pStyle w:val="Compact"/>
              <w:jc w:val="left"/>
            </w:pPr>
            <w:r>
              <w:t xml:space="preserve">Czy program notyfikowano Komisji</w:t>
            </w:r>
          </w:p>
        </w:tc>
        <w:tc>
          <w:tcPr/>
          <w:p>
            <w:pPr>
              <w:pStyle w:val="Compact"/>
              <w:jc w:val="left"/>
            </w:pPr>
            <w:r>
              <w:t xml:space="preserve">Warunek jakiegokolwiek oczekiwania co do legalności (C-5/89 pkt 14)</w:t>
            </w:r>
          </w:p>
        </w:tc>
        <w:tc>
          <w:tcPr/>
          <w:p>
            <w:pPr>
              <w:pStyle w:val="Compact"/>
              <w:jc w:val="left"/>
            </w:pPr>
            <w:r>
              <w:t xml:space="preserve">Zgłoszenie, korespondencja z Komisją, rejestr pomocy</w:t>
            </w:r>
          </w:p>
        </w:tc>
      </w:tr>
      <w:tr>
        <w:tc>
          <w:tcPr/>
          <w:p>
            <w:pPr>
              <w:pStyle w:val="Compact"/>
              <w:jc w:val="left"/>
            </w:pPr>
            <w:r>
              <w:t xml:space="preserve">Data przyznania pomocy dla każdej transzy</w:t>
            </w:r>
          </w:p>
        </w:tc>
        <w:tc>
          <w:tcPr/>
          <w:p>
            <w:pPr>
              <w:pStyle w:val="Compact"/>
              <w:jc w:val="left"/>
            </w:pPr>
            <w:r>
              <w:t xml:space="preserve">Bieg terminu z art. 17 ust. 1 rozp. 2015/1589 i kwalifikacja jako pomocy istniejącej (ust. 3)</w:t>
            </w:r>
          </w:p>
        </w:tc>
        <w:tc>
          <w:tcPr/>
          <w:p>
            <w:pPr>
              <w:pStyle w:val="Compact"/>
              <w:jc w:val="left"/>
            </w:pPr>
            <w:r>
              <w:t xml:space="preserve">Decyzje przyznające, harmonogram wypłat, akty wykonawcze</w:t>
            </w:r>
          </w:p>
        </w:tc>
      </w:tr>
      <w:tr>
        <w:tc>
          <w:tcPr/>
          <w:p>
            <w:pPr>
              <w:pStyle w:val="Compact"/>
              <w:jc w:val="left"/>
            </w:pPr>
            <w:r>
              <w:t xml:space="preserve">Dosłowne brzmienie gwarancji stabilności w ustawie i w certyfikacie</w:t>
            </w:r>
          </w:p>
        </w:tc>
        <w:tc>
          <w:tcPr/>
          <w:p>
            <w:pPr>
              <w:pStyle w:val="Compact"/>
              <w:jc w:val="left"/>
            </w:pPr>
            <w:r>
              <w:t xml:space="preserve">Odróżnia zapewnienie polityczne od zobowiązania prawnego</w:t>
            </w:r>
          </w:p>
        </w:tc>
        <w:tc>
          <w:tcPr/>
          <w:p>
            <w:pPr>
              <w:pStyle w:val="Compact"/>
              <w:jc w:val="left"/>
            </w:pPr>
            <w:r>
              <w:t xml:space="preserve">Tekst ustawy, wzór certyfikatu, uzasadnienie projektu</w:t>
            </w:r>
          </w:p>
        </w:tc>
      </w:tr>
      <w:tr>
        <w:tc>
          <w:tcPr/>
          <w:p>
            <w:pPr>
              <w:pStyle w:val="Compact"/>
              <w:jc w:val="left"/>
            </w:pPr>
            <w:r>
              <w:t xml:space="preserve">Metoda wyliczenia ryczałtu i jej uzasadnienie</w:t>
            </w:r>
          </w:p>
        </w:tc>
        <w:tc>
          <w:tcPr/>
          <w:p>
            <w:pPr>
              <w:pStyle w:val="Compact"/>
              <w:jc w:val="left"/>
            </w:pPr>
            <w:r>
              <w:t xml:space="preserve">Ocena proporcjonalności i prawa do bycia wysłuchanym</w:t>
            </w:r>
          </w:p>
        </w:tc>
        <w:tc>
          <w:tcPr/>
          <w:p>
            <w:pPr>
              <w:pStyle w:val="Compact"/>
              <w:jc w:val="left"/>
            </w:pPr>
            <w:r>
              <w:t xml:space="preserve">Rozporządzenie wykonawcze, arkusze wyliczeniowe, opinie</w:t>
            </w:r>
          </w:p>
        </w:tc>
      </w:tr>
      <w:tr>
        <w:tc>
          <w:tcPr/>
          <w:p>
            <w:pPr>
              <w:pStyle w:val="Compact"/>
              <w:jc w:val="left"/>
            </w:pPr>
            <w:r>
              <w:t xml:space="preserve">Czy Solaria jest stroną konwencji waszyngtońskiej i w jakim reżimie wydano wyrok</w:t>
            </w:r>
          </w:p>
        </w:tc>
        <w:tc>
          <w:tcPr/>
          <w:p>
            <w:pPr>
              <w:pStyle w:val="Compact"/>
              <w:jc w:val="left"/>
            </w:pPr>
            <w:r>
              <w:t xml:space="preserve">Przesądza, czy działa art. 54, czy konwencja nowojorska; przesądza też o zastosowaniu art. 27 ust. 1</w:t>
            </w:r>
          </w:p>
        </w:tc>
        <w:tc>
          <w:tcPr/>
          <w:p>
            <w:pPr>
              <w:pStyle w:val="Compact"/>
              <w:jc w:val="left"/>
            </w:pPr>
            <w:r>
              <w:t xml:space="preserve">Lista państw-stron u depozytariusza, sentencja i podstawa wyroku</w:t>
            </w:r>
          </w:p>
        </w:tc>
      </w:tr>
      <w:tr>
        <w:tc>
          <w:tcPr/>
          <w:p>
            <w:pPr>
              <w:pStyle w:val="Compact"/>
              <w:jc w:val="left"/>
            </w:pPr>
            <w:r>
              <w:t xml:space="preserve">Data wejścia w życie umowy mieszanej dla obu stron</w:t>
            </w:r>
          </w:p>
        </w:tc>
        <w:tc>
          <w:tcPr/>
          <w:p>
            <w:pPr>
              <w:pStyle w:val="Compact"/>
              <w:jc w:val="left"/>
            </w:pPr>
            <w:r>
              <w:t xml:space="preserve">MG-1: czy w chwili inwestycji istniała podstawa zgody na arbitraż</w:t>
            </w:r>
          </w:p>
        </w:tc>
        <w:tc>
          <w:tcPr/>
          <w:p>
            <w:pPr>
              <w:pStyle w:val="Compact"/>
              <w:jc w:val="left"/>
            </w:pPr>
            <w:r>
              <w:t xml:space="preserve">Notyfikacje depozytariuszowi, dziennik urzędowy</w:t>
            </w:r>
          </w:p>
        </w:tc>
      </w:tr>
      <w:tr>
        <w:tc>
          <w:tcPr/>
          <w:p>
            <w:pPr>
              <w:pStyle w:val="Compact"/>
              <w:jc w:val="left"/>
            </w:pPr>
            <w:r>
              <w:t xml:space="preserve">Przedmiot toczącego się postępowania o stwierdzenie nieważności</w:t>
            </w:r>
          </w:p>
        </w:tc>
        <w:tc>
          <w:tcPr/>
          <w:p>
            <w:pPr>
              <w:pStyle w:val="Compact"/>
              <w:jc w:val="left"/>
            </w:pPr>
            <w:r>
              <w:t xml:space="preserve">Kazus wskazuje na skargę na decyzję Komisji przy braku decyzji końcowej — sprzeczność w opisie</w:t>
            </w:r>
          </w:p>
        </w:tc>
        <w:tc>
          <w:tcPr/>
          <w:p>
            <w:pPr>
              <w:pStyle w:val="Compact"/>
              <w:jc w:val="left"/>
            </w:pPr>
            <w:r>
              <w:t xml:space="preserve">Sygnatura sprawy, treść zaskarżonego aktu</w:t>
            </w:r>
          </w:p>
        </w:tc>
      </w:tr>
      <w:tr>
        <w:tc>
          <w:tcPr/>
          <w:p>
            <w:pPr>
              <w:pStyle w:val="Compact"/>
              <w:jc w:val="left"/>
            </w:pPr>
            <w:r>
              <w:t xml:space="preserve">Rzeczywista korzyść na projekt</w:t>
            </w:r>
          </w:p>
        </w:tc>
        <w:tc>
          <w:tcPr/>
          <w:p>
            <w:pPr>
              <w:pStyle w:val="Compact"/>
              <w:jc w:val="left"/>
            </w:pPr>
            <w:r>
              <w:t xml:space="preserve">Warunek zgodnego z prawem odzyskania i podstawa zarzutu z zagadnienia piątego</w:t>
            </w:r>
          </w:p>
        </w:tc>
        <w:tc>
          <w:tcPr/>
          <w:p>
            <w:pPr>
              <w:pStyle w:val="Compact"/>
              <w:jc w:val="left"/>
            </w:pPr>
            <w:r>
              <w:t xml:space="preserve">Sprawozdania finansowe spółki projektowej, dane produkcyjne, rozliczenia taryfy</w:t>
            </w:r>
          </w:p>
        </w:tc>
      </w:tr>
      <w:tr>
        <w:tc>
          <w:tcPr/>
          <w:p>
            <w:pPr>
              <w:pStyle w:val="Compact"/>
              <w:jc w:val="left"/>
            </w:pPr>
            <w:r>
              <w:t xml:space="preserve">Czy dostęp do portalu konsultacyjnego był warunkowany wykazaniem interesu także dla organizacji ekologicznych</w:t>
            </w:r>
          </w:p>
        </w:tc>
        <w:tc>
          <w:tcPr/>
          <w:p>
            <w:pPr>
              <w:pStyle w:val="Compact"/>
              <w:jc w:val="left"/>
            </w:pPr>
            <w:r>
              <w:t xml:space="preserve">Najmocniejszy element zarzutu z art. 8 lit. b</w:t>
            </w:r>
          </w:p>
        </w:tc>
        <w:tc>
          <w:tcPr/>
          <w:p>
            <w:pPr>
              <w:pStyle w:val="Compact"/>
              <w:jc w:val="left"/>
            </w:pPr>
            <w:r>
              <w:t xml:space="preserve">Regulamin portalu, decyzje odmowne, korespondencja organizacji</w:t>
            </w:r>
          </w:p>
        </w:tc>
      </w:tr>
    </w:tbl>
    <w:bookmarkEnd w:id="32"/>
    <w:bookmarkStart w:id="33" w:name="proponowane-rozstrzygnięcie"/>
    <w:p>
      <w:pPr>
        <w:pStyle w:val="Heading2"/>
      </w:pPr>
      <w:r>
        <w:t xml:space="preserve">Proponowane rozstrzygnięcie</w:t>
      </w:r>
    </w:p>
    <w:p>
      <w:pPr>
        <w:pStyle w:val="FirstParagraph"/>
      </w:pPr>
      <w:r>
        <w:t xml:space="preserve">W płaszczyźnie krajowej: uchylić decyzje odzyskowe w części opartej na metodzie ryczałtowej i nakazać ustalenie rzeczywistej korzyści dla każdego projektu odrębnie. Zarzut jest samodzielny, nie wymaga rozstrzygnięcia kwestii unijnych i powinien być rozpoznany w pierwszej kolejności.</w:t>
      </w:r>
    </w:p>
    <w:p>
      <w:pPr>
        <w:pStyle w:val="BodyText"/>
      </w:pPr>
      <w:r>
        <w:t xml:space="preserve">W płaszczyźnie partycypacyjnej: oddalić żądanie oparte na art. 6 konwencji z Aarhus z powodu wyłączenia z art. 2 pkt 2 zdanie zamykające. Zamiast pozostawić tę oś bez rozstrzygnięcia — stwierdzić naruszenie art. 8 lit. a–c w zakresie publikacji projektów i możliwości zgłaszania uwag, z wyraźnym wskazaniem, że skutkiem nie jest nieważność ustawy, lecz obowiązek uwzględnienia tej wady przy ocenie zaufania inwestora i przy ewentualnej odpowiedzialności odszkodowawczej państwa.</w:t>
      </w:r>
    </w:p>
    <w:p>
      <w:pPr>
        <w:pStyle w:val="BodyText"/>
      </w:pPr>
      <w:r>
        <w:t xml:space="preserve">W płaszczyźnie oczekiwań: rozstrzygnięcie warunkowe o dwóch osiach zamiast jednej. Co do charakteru certyfikatu: jeżeli tworzy on po stronie organu zobowiązanie do świadczenia przez zadeklarowany okres — przyjąć tę datę jako datę przyznania pomocy dla całości, uruchomić bieg terminu z art. 17 ust. 1 i uznać certyfikat za okoliczność wyjątkową podlegającą badaniu na podstawie C-5/89 pkt 16; jeżeli jedynie potwierdza spełnienie warunków — przyjąć przyznanie transzami i rozpoznać przedawnienie osobno dla każdej. Co do momentu wydania: jeżeli certyfikat wydano przed rozpoczęciem inwestycji, a program nie był notyfikowany — ochrona zaufania w prawie krajowym może wyłączyć odzyskanie w zakresie już wypłaconym, przy dopuszczalnym obniżeniu wsparcia na przyszłość; jeżeli wydano go po rozpoczęciu inwestycji albo inwestor dysponował wiedzą o wszczęciu badania — ochrona odpada, a odzyskanie jest dopuszczalne w granicach rzeczywistej korzyści. Do obu gałęzi dołączyć zastrzeżenie z C-5/89 pkt 17: z chwilą wydania decyzji Komisji nakazującej windykację Solaria traci możliwość powoływania się na oczekiwania beneficjentów jako usprawiedliwienie niewykonania.</w:t>
      </w:r>
    </w:p>
    <w:p>
      <w:pPr>
        <w:pStyle w:val="BodyText"/>
      </w:pPr>
      <w:r>
        <w:t xml:space="preserve">W płaszczyźnie arbitrażowej: nie orzekać o nieważności klauzuli na podstawie linii Achmea i PL Holdings — jej ratio nie obejmuje umowy mieszanej z państwem trzecim. Nie powoływać C-741/19 jako rozstrzygnięcia o niestosowaniu instrumentu między państwami członkowskimi; jeżeli argument z tego wyroku ma być użyty, powołać go jako motyw uzasadnienia, z jawnym wskazaniem, że sentencja dotyczy pojęcia inwestycji.</w:t>
      </w:r>
    </w:p>
    <w:p>
      <w:pPr>
        <w:pStyle w:val="BodyText"/>
      </w:pPr>
      <w:r>
        <w:t xml:space="preserve">W płaszczyźnie wykonania: zawiesić wykonanie wyroku do czasu decyzji końcowej Komisji i rozstrzygnięcia pytania prejudycjalnego, wskazując wyraźnie, że zawieszenie nie jest kontrolą merytoryczną zakazaną przez art. 53 ust. 1, oraz — to element nowy wobec ujęcia pierwotnego — powiązać zawieszenie z konkretnym zdarzeniem końcowym i możliwie krótkim terminem, ponieważ niewykonanie wyroku odblokowuje ochronę dyplomatyczną państwa pochodzenia inwestora na podstawie art. 27 ust. 1 konwencji waszyngtońskiej. W państwach egzekucji uznanie wyroku jest obowiązkowe (art. 54 ust. 1), natomiast zakres egzekucji ocenia się według prawa miejsca (art. 54 ust. 3) z zachowaniem immunitetu egzekucyjnego (art. 55).</w:t>
      </w:r>
    </w:p>
    <w:p>
      <w:pPr>
        <w:pStyle w:val="BodyText"/>
      </w:pPr>
      <w:r>
        <w:t xml:space="preserve">Wobec Komisji: zakończyć postępowanie formalne decyzją końcową. Utrzymywanie stanu, w którym państwo członkowskie odzyskuje świadczenia bez decyzji, a inwestor egzekwuje wyrok bez rozstrzygnięcia o kwalifikacji, jest źródłem sprzecznych rozstrzygnięć, którego żadne z pozostałych narzędzi nie usunie. Przy wydawaniu decyzji Komisja jest przy tym związana art. 16 ust. 1 zdanie drugie i musi wprost odnieść się do ochrony zaufania wynikającej z certyfikatów.</w:t>
      </w:r>
    </w:p>
    <w:bookmarkEnd w:id="33"/>
    <w:bookmarkStart w:id="34" w:name="bramka-środka-naprawczego-rem-gate-k-01"/>
    <w:p>
      <w:pPr>
        <w:pStyle w:val="Heading2"/>
      </w:pPr>
      <w:r>
        <w:t xml:space="preserve">Bramka środka naprawczego (REM-GATE) — K-01</w:t>
      </w:r>
    </w:p>
    <w:p>
      <w:pPr>
        <w:pStyle w:val="FirstParagraph"/>
      </w:pPr>
      <w:r>
        <w:t xml:space="preserve">REM-0 próby: 9 powołań kandydujących do znacznika, 9 prób dwukanałowych, 9 odzyskanych, 0 porażek. Odchylenie od tabeli kanałów:</w:t>
      </w:r>
      <w:r>
        <w:t xml:space="preserve"> </w:t>
      </w:r>
      <w:r>
        <w:rPr>
          <w:rStyle w:val="VerbatimChar"/>
        </w:rPr>
        <w:t xml:space="preserve">eur-lex.europa.eu</w:t>
      </w:r>
      <w:r>
        <w:t xml:space="preserve"> </w:t>
      </w:r>
      <w:r>
        <w:t xml:space="preserve">zwraca dla curl HTTP 202 ze stroną pośrednią zapory aplikacyjnej, mimo że tabela odnotowuje 200 — kanał zastąpiony Cellarem Urzędu Publikacji UE (</w:t>
      </w:r>
      <w:r>
        <w:rPr>
          <w:rStyle w:val="VerbatimChar"/>
        </w:rPr>
        <w:t xml:space="preserve">publications.europa.eu/resource/celex/...</w:t>
      </w:r>
      <w:r>
        <w:t xml:space="preserve">, HTTP 200, ten sam publikator, RZĄD 1), z nagłówkami</w:t>
      </w:r>
      <w:r>
        <w:t xml:space="preserve"> </w:t>
      </w:r>
      <w:r>
        <w:rPr>
          <w:rStyle w:val="VerbatimChar"/>
        </w:rPr>
        <w:t xml:space="preserve">Accept: text/html, application/xhtml+xml</w:t>
      </w:r>
      <w:r>
        <w:t xml:space="preserve"> </w:t>
      </w:r>
      <w:r>
        <w:t xml:space="preserve">oraz</w:t>
      </w:r>
      <w:r>
        <w:t xml:space="preserve"> </w:t>
      </w:r>
      <w:r>
        <w:rPr>
          <w:rStyle w:val="VerbatimChar"/>
        </w:rPr>
        <w:t xml:space="preserve">Accept-Language</w:t>
      </w:r>
      <w:r>
        <w:t xml:space="preserve"> </w:t>
      </w:r>
      <w:r>
        <w:t xml:space="preserve">w kodzie trzyliterowym; sam nagłówek</w:t>
      </w:r>
      <w:r>
        <w:t xml:space="preserve"> </w:t>
      </w:r>
      <w:r>
        <w:rPr>
          <w:rStyle w:val="VerbatimChar"/>
        </w:rPr>
        <w:t xml:space="preserve">Accept: text/html</w:t>
      </w:r>
      <w:r>
        <w:t xml:space="preserve"> </w:t>
      </w:r>
      <w:r>
        <w:t xml:space="preserve">daje 404, co jest pułapką kształtu żądania.</w:t>
      </w:r>
      <w:r>
        <w:t xml:space="preserve"> </w:t>
      </w:r>
      <w:r>
        <w:rPr>
          <w:rStyle w:val="VerbatimChar"/>
        </w:rPr>
        <w:t xml:space="preserve">icsid.worldbank.org</w:t>
      </w:r>
      <w:r>
        <w:t xml:space="preserve"> </w:t>
      </w:r>
      <w:r>
        <w:t xml:space="preserve">zwrócił dla curl HTTP 200 i pełny tekst, mimo że tabela przewiduje 403 — drugie odchylenie, zgłoszone jako obserwacja.</w:t>
      </w:r>
    </w:p>
    <w:p>
      <w:pPr>
        <w:pStyle w:val="BodyText"/>
      </w:pPr>
      <w:r>
        <w:t xml:space="preserve">REM-1 oddalenia: 3 oddalone (żądanie z art. 6 konwencji z Aarhus; zarzut nieważności klauzuli oparty na linii Achmea; odmowa uznania wyroku), 3 sparowane alternatywy rozwinięte na tę samą głębokość (art. 8 konwencji z Aarhus z własnym środkiem; konstrukcja z C-638/19 P jako realne ograniczenie; ograniczenie egzekucji przez art. 54 ust. 3 i art. 55 zamiast odmowy uznania).</w:t>
      </w:r>
    </w:p>
    <w:p>
      <w:pPr>
        <w:pStyle w:val="BodyText"/>
      </w:pPr>
      <w:r>
        <w:t xml:space="preserve">REM-2 braki: 11 pozycji ⬛, 11 rozstrzygnięć warunkowych, 0 blokad dopuszczalności.</w:t>
      </w:r>
    </w:p>
    <w:p>
      <w:pPr>
        <w:pStyle w:val="BodyText"/>
      </w:pPr>
      <w:r>
        <w:t xml:space="preserve">REM-3 instrumenty miękkie: ustalenia komitetu zgodności konwencji z Aarhus — instrument niewiążący niosący całość zagadnienia pierwszego po stronie skarżących. Argumentacja przeprowadzona w pełnej objętości, z jawnym oznaczeniem mocy.</w:t>
      </w:r>
    </w:p>
    <w:p>
      <w:pPr>
        <w:pStyle w:val="BodyText"/>
      </w:pPr>
      <w:r>
        <w:t xml:space="preserve">REM-4 pokrycie: partycypacja — PEŁNA; kompetencja i moment orzekania — PEŁNA; uzasadnione oczekiwania — PEŁNA; arbitraż i wykonanie — PEŁNA; proporcjonalność ryczałtu — PEŁNA; kolejność postępowań i środki tymczasowe — CIENKA i deklaruję to wprost: sprzeczność w opisie przedmiotu skargi o stwierdzenie nieważności uniemożliwia rozwinięcie tej osi ponad poziom wskazania narzędzi.</w:t>
      </w:r>
    </w:p>
    <w:bookmarkEnd w:id="34"/>
    <w:bookmarkStart w:id="35" w:name="zweryfikowane-pozycje-źródłowe-k-01"/>
    <w:p>
      <w:pPr>
        <w:pStyle w:val="Heading2"/>
      </w:pPr>
      <w:r>
        <w:t xml:space="preserve">Zweryfikowane pozycje źródłowe (K-01)</w:t>
      </w:r>
    </w:p>
    <w:p>
      <w:pPr>
        <w:pStyle w:val="FirstParagraph"/>
      </w:pPr>
      <w:r>
        <w:t xml:space="preserve">Traktat o funkcjonowaniu Unii Europejskiej, wersja skonsolidowana, CELEX 12016E/TXT — sprawdzono art. 107 ust. 1–3, art. 108 ust. 1–4, art. 109, art. 267 akapity pierwszy–czwarty, art. 344, art. 346–348. ✅ [VER: publications.europa.eu (Cellar Urzędu Publikacji UE), curl 200, pełny tekst polski, RZĄD 1, 2026-09-06]</w:t>
      </w:r>
    </w:p>
    <w:p>
      <w:pPr>
        <w:pStyle w:val="BodyText"/>
      </w:pPr>
      <w:r>
        <w:t xml:space="preserve">Rozporządzenie Rady (UE) 2015/1589 ustanawiające szczegółowe zasady stosowania art. 108 TFUE, CELEX 32015R1589 — sprawdzono art. 13 ust. 1–2, art. 14, art. 15, art. 16 ust. 1–3, art. 17 ust. 1–3, art. 18. ✅ [VER: publications.europa.eu, curl 200, pełny tekst polski, RZĄD 1, 2026-09-06]</w:t>
      </w:r>
    </w:p>
    <w:p>
      <w:pPr>
        <w:pStyle w:val="BodyText"/>
      </w:pPr>
      <w:r>
        <w:t xml:space="preserve">Konwencja z Aarhus o dostępie do informacji, udziale społeczeństwa w podejmowaniu decyzji oraz dostępie do sprawiedliwości w sprawach dotyczących środowiska, CELEX 22005A0517(01) — sprawdzono art. 2 pkt 1–3 wraz ze zdaniem zamykającym pkt 2, art. 6 ust. 1 lit. a–c i ust. 2, art. 7, art. 8 lit. a–c wraz ze zdaniem końcowym, art. 9 ust. 1. ✅ [VER: publications.europa.eu, curl 200, pełny tekst polski, RZĄD 1, 2026-09-06]</w:t>
      </w:r>
    </w:p>
    <w:p>
      <w:pPr>
        <w:pStyle w:val="BodyText"/>
      </w:pPr>
      <w:r>
        <w:t xml:space="preserve">Wyrok Trybunału (wielka izba) z dnia 6 marca 2018 r., C-284/16, Achmea, CELEX 62016CJ0284 — sprawdzono sentencję. ✅ [VER: publications.europa.eu, curl 200, RZĄD 1, 2026-09-06]</w:t>
      </w:r>
    </w:p>
    <w:p>
      <w:pPr>
        <w:pStyle w:val="BodyText"/>
      </w:pPr>
      <w:r>
        <w:t xml:space="preserve">Wyrok Trybunału (wielka izba) z dnia 2 września 2021 r., C-741/19, Komstroy, CELEX 62019CJ0741 — sprawdzono sentencję oraz opis przedmiotu sprawy. Ustalenie: sentencja dotyczy pojęcia „inwestycji” z art. 1 pkt 6 Traktatu karty energetycznej; teza o braku możliwości stosowania art. 26 między państwami członkowskimi występuje w opisie przedmiotu i w uzasadnieniu, nie w rozstrzygnięciu. ✅ [VER: publications.europa.eu, curl 200, RZĄD 1, 2026-09-06]</w:t>
      </w:r>
    </w:p>
    <w:p>
      <w:pPr>
        <w:pStyle w:val="BodyText"/>
      </w:pPr>
      <w:r>
        <w:t xml:space="preserve">Wyrok Trybunału (wielka izba) z dnia 26 października 2021 r., C-109/20, PL Holdings, CELEX 62020CJ0109 — sprawdzono sentencję. ✅ [VER: publications.europa.eu, curl 200, RZĄD 1, 2026-09-06]</w:t>
      </w:r>
    </w:p>
    <w:p>
      <w:pPr>
        <w:pStyle w:val="BodyText"/>
      </w:pPr>
      <w:r>
        <w:t xml:space="preserve">Wyrok Trybunału (wielka izba) z dnia 25 stycznia 2022 r., C-638/19 P, Komisja przeciwko European Food i in., CELEX 62019CJ0638 — sprawdzono sentencję oraz motywy dotyczące czynnika decydującego o dniu uzyskania prawa do otrzymania pomocy. ✅ [VER: publications.europa.eu, curl 200, RZĄD 1, 2026-09-06]</w:t>
      </w:r>
    </w:p>
    <w:p>
      <w:pPr>
        <w:pStyle w:val="BodyText"/>
      </w:pPr>
      <w:r>
        <w:t xml:space="preserve">Wyrok Trybunału z dnia 20 września 1990 r., C-5/89, Komisja przeciwko Republice Federalnej Niemiec, CELEX 61989CJ0005 — sprawdzono pkt 12–19 oraz sentencję, w szczególności pkt 14 (obowiązkowy charakter nadzoru i staranny przedsiębiorca), pkt 16 (okoliczności wyjątkowe) i pkt 17 (zakaz powoływania się przez państwo na oczekiwania beneficjentów). ✅ [VER: publications.europa.eu, curl 200, wersja angielska, RZĄD 1, 2026-09-06]</w:t>
      </w:r>
    </w:p>
    <w:p>
      <w:pPr>
        <w:pStyle w:val="BodyText"/>
      </w:pPr>
      <w:r>
        <w:t xml:space="preserve">Konwencja o rozstrzyganiu sporów inwestycyjnych między państwami a obywatelami innych państw (waszyngtońska, ICSID) — sprawdzono art. 26, art. 27 ust. 1–2, art. 41 ust. 1–2, art. 42, art. 53 ust. 1–2, art. 54 ust. 1–3, art. 55. ✅ [VER: icsid.worldbank.org, curl 200, pełny tekst PDF, RZĄD 1, 2026-09-06]</w:t>
      </w:r>
    </w:p>
    <w:p>
      <w:pPr>
        <w:pStyle w:val="BodyText"/>
      </w:pPr>
      <w:r>
        <w:t xml:space="preserve">Nie przypisano jednostkom redakcyjnym i przedstawiono jako standard doktrynalny: charakter i moc ustaleń komitetu zgodności konwencji z Aarhus; treść testu proporcjonalności przy odzyskiwaniu świadczeń publicznych; zakres immunitetu egzekucyjnego państwa w poszczególnych porządkach krajowych; relacja konwencji nowojorskiej do reżimu waszyngtońskiego. Wymagają samodzielnego potwierdzenia.</w:t>
      </w:r>
    </w:p>
    <w:bookmarkEnd w:id="35"/>
    <w:bookmarkEnd w:id="36"/>
    <w:bookmarkStart w:id="52" w:name="k-02-spór-o-wąwóz-gordyjski"/>
    <w:p>
      <w:pPr>
        <w:pStyle w:val="Heading1"/>
      </w:pPr>
      <w:r>
        <w:t xml:space="preserve">K-02 Spór o Wąwóz Gordyjski</w:t>
      </w:r>
    </w:p>
    <w:bookmarkStart w:id="37" w:name="teza-wstępna-1"/>
    <w:p>
      <w:pPr>
        <w:pStyle w:val="Heading2"/>
      </w:pPr>
      <w:r>
        <w:t xml:space="preserve">Teza wstępna</w:t>
      </w:r>
    </w:p>
    <w:p>
      <w:pPr>
        <w:pStyle w:val="FirstParagraph"/>
      </w:pPr>
      <w:r>
        <w:t xml:space="preserve">Kazus wygląda na spór o konsultacje z ludnością rdzenną, a rozstrzyga się na atrybucji — i to atrybucji przeprowadzonej per zachowanie, nie per podmiot. NEXCA jest jedną spółką, ale w sprawie występują trzy różne zachowania: udział w przetargu, decyzje o przygotowaniu eksploatacji i zjazd pojazdu z wyznaczonej trasy. Każde przechodzi test osobno i wyniki mogą się różnić. Twierdzenie „spółka jest w całości państwowa, więc jej działania są działaniami państwa” nie odpowiada żadnej z reguł katalogu.</w:t>
      </w:r>
    </w:p>
    <w:p>
      <w:pPr>
        <w:pStyle w:val="BodyText"/>
      </w:pPr>
      <w:r>
        <w:t xml:space="preserve">Druga oś jest wykładniowa. Traktatowy obowiązek udziału upoważnionych przedstawicieli w podejmowaniu decyzji jest tekstowo mocniejszy niż konsultacja i słabszy niż wymóg zgody. Gdyby strony chciały zgody, napisałyby „zgoda”; gdyby chciały konsultacji, napisałyby „konsultacja”. Napisały „udział w podejmowaniu decyzji” — i to sformułowanie trzeba wypełnić treścią, a nie zastąpić jednym z sąsiednich pojęć.</w:t>
      </w:r>
    </w:p>
    <w:p>
      <w:pPr>
        <w:pStyle w:val="BodyText"/>
      </w:pPr>
      <w:r>
        <w:t xml:space="preserve">Trzecia: brak ustalenia sprawcy cyberataku nie kończy analizy. Zaniechanie zabezpieczenia systemu jest własnym zachowaniem państwa albo podmiotu, którego zachowanie mu się przypisuje, i nie wymaga przypisania kodu nikomu.</w:t>
      </w:r>
    </w:p>
    <w:p>
      <w:pPr>
        <w:pStyle w:val="BodyText"/>
      </w:pPr>
      <w:r>
        <w:t xml:space="preserve">Ustalenie porządkujące, które w powtórnym rozwiązaniu zmienia wynik jednego z zagadnień: wykluczenie art. 5 i art. 8 artykułów Komisji Prawa Międzynarodowego nie wyczerpuje katalogu atrybucji. Art. 7 stanowi, że zachowanie organu państwa albo osoby lub podmiotu upoważnionego do wykonywania elementów władzy publicznej uważa się za akt państwa także wtedy, gdy działający przekracza swoje uprawnienia lub postępuje wbrew instrukcjom, o ile działa w tym charakterze. Argument „pojazd zjechał z wyznaczonej trasy, więc zachowanie wykracza poza projekt” nie jest zatem argumentem przeciwko atrybucji — jest argumentem, który art. 7 wprost neutralizuje. Nie tworzy to samodzielnego tytułu przypisania; przesądza natomiast, że oś atrybucji incydentu rozstrzyga się na art. 4 ust. 2 i art. 5, a nie na fakcie odstępstwa od trasy.</w:t>
      </w:r>
    </w:p>
    <w:bookmarkEnd w:id="37"/>
    <w:bookmarkStart w:id="38" w:name="mapa-jurysdykcji-źródeł-i-kompetencji-1"/>
    <w:p>
      <w:pPr>
        <w:pStyle w:val="Heading2"/>
      </w:pPr>
      <w:r>
        <w:t xml:space="preserve">Mapa jurysdykcji, źródeł i kompetencji</w:t>
      </w:r>
    </w:p>
    <w:p>
      <w:pPr>
        <w:pStyle w:val="FirstParagraph"/>
      </w:pPr>
      <w:r>
        <w:t xml:space="preserve">Fora. Spór przekazano do rozstrzygnięcia międzypaństwowego, a więc rozpoznaje go organ orzekający między Restovią a Alekostrią, w granicach tytułu jurysdykcyjnego, którego kazus nie precyzuje. Postępowanie karne wobec kierowniczki projektu toczy się w Restovii, w jej jurysdykcji terytorialnej. Ekstradycja jest sprawą relacji dwustronnej i prawa wewnętrznego państwa wezwanego. Roszczenia ludności Pilemon nie mają w tym układzie własnego forum — mogą być podnoszone wyłącznie przez państwa, co samo w sobie jest problemem strukturalnym sprawy i wpływa na dobór środka naprawczego.</w:t>
      </w:r>
    </w:p>
    <w:p>
      <w:pPr>
        <w:pStyle w:val="BodyText"/>
      </w:pPr>
      <w:r>
        <w:t xml:space="preserve">Reżimy i ich moc wiążąca. Umowa dwustronna Alekostria–Restovia jest źródłem pierwszym i wiążącym. Prawo zwyczajowe odpowiedzialności państw, skodyfikowane w artykułach Komisji Prawa Międzynarodowego z 2001 r., dostarcza reguł wtórnych; sam tekst przyjęto rezolucją Zgromadzenia Ogólnego i nie jest on traktatem, choć znaczna część jego treści odzwierciedla zwyczaj. Konwencja wiedeńska o prawie traktatów dostarcza reguł wykładni. Konwencja MOP nr 169 wiąże wyłącznie państwa, które ją ratyfikowały. Deklaracja ONZ o prawach ludów tubylczych nie jest instrumentem wiążącym; wyznacza standard, w świetle którego czyta się zobowiązania traktatowe.</w:t>
      </w:r>
    </w:p>
    <w:p>
      <w:pPr>
        <w:pStyle w:val="BodyText"/>
      </w:pPr>
      <w:r>
        <w:t xml:space="preserve">Sollania jest państwem trzecim wobec umowy dwustronnej. Traktat nie tworzy ani obowiązków, ani praw dla państwa trzeciego bez jego zgody (art. 34 konwencji wiedeńskiej). Ma to konsekwencję przesądzającą jedno z zagadnień: bojkot konsultacji przez przedstawicieli z Sollanii nie może być oceniany jako niewykonanie zobowiązania z tej umowy przez którąkolwiek ze stron.</w:t>
      </w:r>
    </w:p>
    <w:bookmarkEnd w:id="38"/>
    <w:bookmarkStart w:id="39" w:name="bramki-weryfikacyjne-mg-1-mg-2-cn-gate-1"/>
    <w:p>
      <w:pPr>
        <w:pStyle w:val="Heading2"/>
      </w:pPr>
      <w:r>
        <w:t xml:space="preserve">Bramki weryfikacyjne (MG-1, MG-2, CN-GATE)</w:t>
      </w:r>
    </w:p>
    <w:p>
      <w:pPr>
        <w:pStyle w:val="FirstParagraph"/>
      </w:pPr>
      <w:r>
        <w:t xml:space="preserve">MG-1 — ratyfikacja, zakres czasowy i podmiotowy. ⬛ Kazus nie podaje daty wejścia w życie umowy dwustronnej, nie podaje statusu ratyfikacyjnego konwencji MOP nr 169 dla żadnego z trzech państw i nie podaje, czy zdarzenia poprzedzają wejście w życie któregokolwiek instrumentu. Kontrola nieretroakcji jest tu obowiązkowa i ma dwie podstawy, nie jedną: art. 28 konwencji wiedeńskiej stanowi, że jeżeli odmienny zamiar nie wynika z traktatu ani nie jest ustalony w inny sposób, jego postanowienia nie wiążą strony w odniesieniu do czynu lub faktu, który miał miejsce, ani sytuacji, która przestała istnieć przed datą wejścia traktatu w życie dla tej strony; art. 13 artykułów KPM dodaje, że czyn państwa nie stanowi naruszenia zobowiązania międzynarodowego, jeżeli państwo nie było tym zobowiązaniem związane w chwili czynu. Miejsce sakralne opisano jako czczone „od wieków”, więc znaczna część stanu faktycznego wyprzedza każdy możliwy instrument. Status podmiotowy: Alekostria i Restovia — strony umowy; Sollania — państwo trzecie; ludność Pilemon — beneficjent bez podmiotowości procesowej.</w:t>
      </w:r>
    </w:p>
    <w:p>
      <w:pPr>
        <w:pStyle w:val="BodyText"/>
      </w:pPr>
      <w:r>
        <w:t xml:space="preserve">MG-2 — wykładnia i krawędzie jednostek.</w:t>
      </w:r>
    </w:p>
    <w:p>
      <w:pPr>
        <w:pStyle w:val="BodyText"/>
      </w:pPr>
      <w:r>
        <w:t xml:space="preserve">S1 definicje: 3 trafienia. „Upoważnieni przedstawiciele społeczności” — brak definicji w opisie umowy, a pojęcie rozstrzyga o reprezentatywności elderów. „Istotna zmiana stanu” płaskowyżu — brak progu, a od niego zależy, czy obowiązek udziału uruchomił się przed przetargiem, czy dopiero przed rozpoczęciem robót. Trzecie trafienie jest nowe i tekstowo drobne, a rozstrzygające: deklaracja ONZ posługuje się w art. 19 formułą zgody „swobodnej, uprzedniej i świadomej”, natomiast w art. 32 ust. 2 — dotyczącym projektów wpływających na ziemie i zasoby, w szczególności w związku z rozwojem, wykorzystaniem lub eksploatacją zasobów mineralnych, wodnych i innych — formułą zgody „swobodnej i świadomej”, bez elementu uprzedniości. Kazus dotyczy wydobycia minerałów, a więc przepisem właściwym jest art. 32 ust. 2, w którym standard jest o jeden element słabszy niż w powoływanym odruchowo art. 19.</w:t>
      </w:r>
    </w:p>
    <w:p>
      <w:pPr>
        <w:pStyle w:val="BodyText"/>
      </w:pPr>
      <w:r>
        <w:t xml:space="preserve">S2 krawędzie: 3 trafienia. Art. 55 artykułów KPM (lex specialis) — artykuły nie mają zastosowania w zakresie, w jakim warunki istnienia czynu międzynarodowo bezprawnego albo treść lub implementacja odpowiedzialności państwa są uregulowane szczególnymi normami prawa międzynarodowego; kontrola obowiązkowa przed sięgnięciem po reguły ogólne, bo umowa dwustronna może zawierać własny reżim. Art. 7 artykułów KPM — przekroczenie uprawnień lub działanie wbrew instrukcjom nie przerywa atrybucji; jednostka położona między przepisami o atrybucji podmiotowej i przez to pomijana przy zamiataniu katalogu art. 4–11. Art. 9 artykułów KPM — zachowanie wykonywane pod nieobecność lub w razie bezczynności władz oficjalnych; nie ma tu zastosowania, odnotowane, by pozycja zamknęła się nazwanym skutkiem.</w:t>
      </w:r>
    </w:p>
    <w:p>
      <w:pPr>
        <w:pStyle w:val="BodyText"/>
      </w:pPr>
      <w:r>
        <w:t xml:space="preserve">S3 instrumenty powiązane: 3 trafienia. Konwencja MOP nr 169 — art. 6 ust. 1 lit. b (ustanowienie środków umożliwiających swobodny udział na wszystkich szczeblach podejmowania decyzji, co najmniej w takim samym zakresie jak innym grupom ludności), art. 6 ust. 2 (konsultacje w dobrej wierze i w formie odpowiedniej do okoliczności, z celem osiągnięcia porozumienia lub zgody), art. 7 ust. 1 (prawo do decydowania o własnych priorytetach rozwoju) i art. 15 ust. 2. Deklaracja ONZ o prawach ludów tubylczych, art. 19 i 32 ust. 1–2. Art. 31 ust. 3 lit. c konwencji wiedeńskiej, który nakazuje uwzględniać wraz z kontekstem odpowiednie normy prawa międzynarodowego mające zastosowanie w stosunkach między stronami.</w:t>
      </w:r>
    </w:p>
    <w:p>
      <w:pPr>
        <w:pStyle w:val="BodyText"/>
      </w:pPr>
      <w:r>
        <w:t xml:space="preserve">S4 nowelizacje: brak trafień; kazus nie wspomina o zmianach umowy.</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Charakter obowiązku udziału</w:t>
            </w:r>
          </w:p>
        </w:tc>
        <w:tc>
          <w:tcPr/>
          <w:p>
            <w:pPr>
              <w:pStyle w:val="Compact"/>
              <w:jc w:val="left"/>
            </w:pPr>
            <w:r>
              <w:t xml:space="preserve">umowa dwustronna + art. 31 ust. 1 KWPT</w:t>
            </w:r>
          </w:p>
        </w:tc>
        <w:tc>
          <w:tcPr/>
          <w:p>
            <w:pPr>
              <w:pStyle w:val="Compact"/>
              <w:jc w:val="left"/>
            </w:pPr>
            <w:r>
              <w:t xml:space="preserve">⬛ brak daty wejścia w życie</w:t>
            </w:r>
          </w:p>
        </w:tc>
        <w:tc>
          <w:tcPr/>
          <w:p>
            <w:pPr>
              <w:pStyle w:val="Compact"/>
              <w:jc w:val="left"/>
            </w:pPr>
            <w:r>
              <w:t xml:space="preserve">TAK — Alekostria i Restovia</w:t>
            </w:r>
          </w:p>
        </w:tc>
        <w:tc>
          <w:tcPr/>
          <w:p>
            <w:pPr>
              <w:pStyle w:val="Compact"/>
              <w:jc w:val="left"/>
            </w:pPr>
            <w:r>
              <w:t xml:space="preserve">TAK</w:t>
            </w:r>
          </w:p>
        </w:tc>
      </w:tr>
      <w:tr>
        <w:tc>
          <w:tcPr/>
          <w:p>
            <w:pPr>
              <w:pStyle w:val="Compact"/>
              <w:jc w:val="left"/>
            </w:pPr>
            <w:r>
              <w:t xml:space="preserve">Bojkot Sollanii</w:t>
            </w:r>
          </w:p>
        </w:tc>
        <w:tc>
          <w:tcPr/>
          <w:p>
            <w:pPr>
              <w:pStyle w:val="Compact"/>
              <w:jc w:val="left"/>
            </w:pPr>
            <w:r>
              <w:t xml:space="preserve">art. 34 KWPT</w:t>
            </w:r>
          </w:p>
        </w:tc>
        <w:tc>
          <w:tcPr/>
          <w:p>
            <w:pPr>
              <w:pStyle w:val="Compact"/>
              <w:jc w:val="left"/>
            </w:pPr>
            <w:r>
              <w:t xml:space="preserve">TAK</w:t>
            </w:r>
          </w:p>
        </w:tc>
        <w:tc>
          <w:tcPr/>
          <w:p>
            <w:pPr>
              <w:pStyle w:val="Compact"/>
              <w:jc w:val="left"/>
            </w:pPr>
            <w:r>
              <w:t xml:space="preserve">NIE — Sollania poza umową</w:t>
            </w:r>
          </w:p>
        </w:tc>
        <w:tc>
          <w:tcPr/>
          <w:p>
            <w:pPr>
              <w:pStyle w:val="Compact"/>
              <w:jc w:val="left"/>
            </w:pPr>
            <w:r>
              <w:t xml:space="preserve">—</w:t>
            </w:r>
          </w:p>
        </w:tc>
      </w:tr>
      <w:tr>
        <w:tc>
          <w:tcPr/>
          <w:p>
            <w:pPr>
              <w:pStyle w:val="Compact"/>
              <w:jc w:val="left"/>
            </w:pPr>
            <w:r>
              <w:t xml:space="preserve">Atrybucja: przetarg i decyzje eksploatacyjne</w:t>
            </w:r>
          </w:p>
        </w:tc>
        <w:tc>
          <w:tcPr/>
          <w:p>
            <w:pPr>
              <w:pStyle w:val="Compact"/>
              <w:jc w:val="left"/>
            </w:pPr>
            <w:r>
              <w:t xml:space="preserve">art. 8 art. KPM</w:t>
            </w:r>
          </w:p>
        </w:tc>
        <w:tc>
          <w:tcPr/>
          <w:p>
            <w:pPr>
              <w:pStyle w:val="Compact"/>
              <w:jc w:val="left"/>
            </w:pPr>
            <w:r>
              <w:t xml:space="preserve">TAK</w:t>
            </w:r>
          </w:p>
        </w:tc>
        <w:tc>
          <w:tcPr/>
          <w:p>
            <w:pPr>
              <w:pStyle w:val="Compact"/>
              <w:jc w:val="left"/>
            </w:pPr>
            <w:r>
              <w:t xml:space="preserve">TAK — zgoda polityczna jako instrukcja co do tego zachowania</w:t>
            </w:r>
          </w:p>
        </w:tc>
        <w:tc>
          <w:tcPr/>
          <w:p>
            <w:pPr>
              <w:pStyle w:val="Compact"/>
              <w:jc w:val="left"/>
            </w:pPr>
            <w:r>
              <w:t xml:space="preserve">TAK</w:t>
            </w:r>
          </w:p>
        </w:tc>
      </w:tr>
      <w:tr>
        <w:tc>
          <w:tcPr/>
          <w:p>
            <w:pPr>
              <w:pStyle w:val="Compact"/>
              <w:jc w:val="left"/>
            </w:pPr>
            <w:r>
              <w:t xml:space="preserve">Atrybucja: status NEXCA jako organu</w:t>
            </w:r>
          </w:p>
        </w:tc>
        <w:tc>
          <w:tcPr/>
          <w:p>
            <w:pPr>
              <w:pStyle w:val="Compact"/>
              <w:jc w:val="left"/>
            </w:pPr>
            <w:r>
              <w:t xml:space="preserve">art. 4 ust. 2 art. KPM</w:t>
            </w:r>
          </w:p>
        </w:tc>
        <w:tc>
          <w:tcPr/>
          <w:p>
            <w:pPr>
              <w:pStyle w:val="Compact"/>
              <w:jc w:val="left"/>
            </w:pPr>
            <w:r>
              <w:t xml:space="preserve">TAK</w:t>
            </w:r>
          </w:p>
        </w:tc>
        <w:tc>
          <w:tcPr/>
          <w:p>
            <w:pPr>
              <w:pStyle w:val="Compact"/>
              <w:jc w:val="left"/>
            </w:pPr>
            <w:r>
              <w:t xml:space="preserve">⬛ brak informacji o statusie w prawie Alekostrii</w:t>
            </w:r>
          </w:p>
        </w:tc>
        <w:tc>
          <w:tcPr/>
          <w:p>
            <w:pPr>
              <w:pStyle w:val="Compact"/>
              <w:jc w:val="left"/>
            </w:pPr>
            <w:r>
              <w:t xml:space="preserve">TAK</w:t>
            </w:r>
          </w:p>
        </w:tc>
      </w:tr>
      <w:tr>
        <w:tc>
          <w:tcPr/>
          <w:p>
            <w:pPr>
              <w:pStyle w:val="Compact"/>
              <w:jc w:val="left"/>
            </w:pPr>
            <w:r>
              <w:t xml:space="preserve">Atrybucja: zjazd pojazdu</w:t>
            </w:r>
          </w:p>
        </w:tc>
        <w:tc>
          <w:tcPr/>
          <w:p>
            <w:pPr>
              <w:pStyle w:val="Compact"/>
              <w:jc w:val="left"/>
            </w:pPr>
            <w:r>
              <w:t xml:space="preserve">art. 5 w zw. z art. 7 art. KPM</w:t>
            </w:r>
          </w:p>
        </w:tc>
        <w:tc>
          <w:tcPr/>
          <w:p>
            <w:pPr>
              <w:pStyle w:val="Compact"/>
              <w:jc w:val="left"/>
            </w:pPr>
            <w:r>
              <w:t xml:space="preserve">TAK</w:t>
            </w:r>
          </w:p>
        </w:tc>
        <w:tc>
          <w:tcPr/>
          <w:p>
            <w:pPr>
              <w:pStyle w:val="Compact"/>
              <w:jc w:val="left"/>
            </w:pPr>
            <w:r>
              <w:t xml:space="preserve">⬛ zależy od upoważnienia do wykonywania elementów władzy publicznej</w:t>
            </w:r>
          </w:p>
        </w:tc>
        <w:tc>
          <w:tcPr/>
          <w:p>
            <w:pPr>
              <w:pStyle w:val="Compact"/>
              <w:jc w:val="left"/>
            </w:pPr>
            <w:r>
              <w:t xml:space="preserve">TAK — odstępstwo od trasy nie przerywa atrybucji (art. 7)</w:t>
            </w:r>
          </w:p>
        </w:tc>
      </w:tr>
      <w:tr>
        <w:tc>
          <w:tcPr/>
          <w:p>
            <w:pPr>
              <w:pStyle w:val="Compact"/>
              <w:jc w:val="left"/>
            </w:pPr>
            <w:r>
              <w:t xml:space="preserve">Zaniechanie zabezpieczenia</w:t>
            </w:r>
          </w:p>
        </w:tc>
        <w:tc>
          <w:tcPr/>
          <w:p>
            <w:pPr>
              <w:pStyle w:val="Compact"/>
              <w:jc w:val="left"/>
            </w:pPr>
            <w:r>
              <w:t xml:space="preserve">pierwotny obowiązek należytej staranności</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Jedność czynu</w:t>
            </w:r>
          </w:p>
        </w:tc>
        <w:tc>
          <w:tcPr/>
          <w:p>
            <w:pPr>
              <w:pStyle w:val="Compact"/>
              <w:jc w:val="left"/>
            </w:pPr>
            <w:r>
              <w:t xml:space="preserve">art. 14–15 art. KPM</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Standard zgody dla wydobycia</w:t>
            </w:r>
          </w:p>
        </w:tc>
        <w:tc>
          <w:tcPr/>
          <w:p>
            <w:pPr>
              <w:pStyle w:val="Compact"/>
              <w:jc w:val="left"/>
            </w:pPr>
            <w:r>
              <w:t xml:space="preserve">art. 32 ust. 2 deklaracji ONZ</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przepis właściwy dla zasobów mineralnych</w:t>
            </w:r>
          </w:p>
        </w:tc>
      </w:tr>
      <w:tr>
        <w:tc>
          <w:tcPr/>
          <w:p>
            <w:pPr>
              <w:pStyle w:val="Compact"/>
              <w:jc w:val="left"/>
            </w:pPr>
            <w:r>
              <w:t xml:space="preserve">Ekstradycja</w:t>
            </w:r>
          </w:p>
        </w:tc>
        <w:tc>
          <w:tcPr/>
          <w:p>
            <w:pPr>
              <w:pStyle w:val="Compact"/>
              <w:jc w:val="left"/>
            </w:pPr>
            <w:r>
              <w:t xml:space="preserve">brak normy traktatowej wskazanej w kazusie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Jeden wynik „NIE” jest rozstrzygający i przenosi oś bojkotu na zarzut reprezentatywności. Cztery ⬛ przechodzą do REM-GATE jako rozstrzygnięcia warunkowe. Uwaga metodyczna: w porównaniu z ujęciem, w którym oś zjazdu pojazdu zamyka się wynikiem „NIE”, tutaj zamyka się ona wynikiem ⬛ — zmiana wynika z odczytania art. 7, który usuwa argument stanowiący w tamtym ujęciu podstawę wyniku negatywnego.</w:t>
      </w:r>
    </w:p>
    <w:bookmarkEnd w:id="39"/>
    <w:bookmarkStart w:id="46" w:name="analiza-materialna-według-zagadnień-1"/>
    <w:p>
      <w:pPr>
        <w:pStyle w:val="Heading2"/>
      </w:pPr>
      <w:r>
        <w:t xml:space="preserve">Analiza materialna według zagadnień</w:t>
      </w:r>
    </w:p>
    <w:bookmarkStart w:id="40" w:name="Xb909ac6d9ed65a576fbe87a679a8dbb6aece71d"/>
    <w:p>
      <w:pPr>
        <w:pStyle w:val="Heading3"/>
      </w:pPr>
      <w:r>
        <w:t xml:space="preserve">Zagadnienie 1: konsultacja, współdecydowanie czy zgoda</w:t>
      </w:r>
    </w:p>
    <w:p>
      <w:pPr>
        <w:pStyle w:val="FirstParagraph"/>
      </w:pPr>
      <w:r>
        <w:t xml:space="preserve">Punktem wyjścia jest art. 31 ust. 1 konwencji wiedeńskiej: traktat należy interpretować w dobrej wierze, zgodnie ze zwykłym znaczeniem, jakie należy przypisywać użytym w nim wyrazom w ich kontekście, oraz w świetle jego przedmiotu i celu.</w:t>
      </w:r>
    </w:p>
    <w:p>
      <w:pPr>
        <w:pStyle w:val="BodyText"/>
      </w:pPr>
      <w:r>
        <w:t xml:space="preserve">Zwykłe znaczenie zwrotu „udział przedstawicieli w podejmowaniu decyzji” plasuje obowiązek między dwoma znanymi modelami. Konsultacja to obowiązek wysłuchania; udział w podejmowaniu decyzji to obecność w samym procesie decyzyjnym z realną możliwością wpływu na treść rozstrzygnięcia. Wymóg zgody byłby czymś jeszcze innym — prawem weta, którego tekst nie ustanawia. Wykładnia celowościowa nie może prowadzić do wyniku sprzecznego ze zwykłym znaczeniem, więc argument „inaczej ochrona byłaby iluzoryczna” jest argumentem politycznym, nie tekstowym, i tak trzeba go oznaczyć.</w:t>
      </w:r>
    </w:p>
    <w:p>
      <w:pPr>
        <w:pStyle w:val="BodyText"/>
      </w:pPr>
      <w:r>
        <w:t xml:space="preserve">Art. 31 ust. 3 lit. c pozwala uwzględnić odpowiednie normy prawa międzynarodowego mające zastosowanie w stosunkach między stronami. Otwiera to drogę dwóm instrumentom, z zastrzeżeniem odmiennej mocy każdego z nich.</w:t>
      </w:r>
    </w:p>
    <w:p>
      <w:pPr>
        <w:pStyle w:val="BodyText"/>
      </w:pPr>
      <w:r>
        <w:t xml:space="preserve">Konwencja MOP nr 169 — jeżeli ratyfikowana — daje wsparcie mocniejsze, niż zwykle się przyjmuje, i to nie w art. 6 ust. 2, po który sięga się najpierw. Art. 6 ust. 1 lit. b nakazuje rządom ustanowić środki, dzięki którym zainteresowane ludy mogą swobodnie uczestniczyć, co najmniej w takim samym zakresie jak inne grupy ludności, na wszystkich szczeblach podejmowania decyzji w instytucjach wybieralnych oraz w organach administracyjnych i innych odpowiedzialnych za polityki i programy ich dotyczące. Jest to tekstowa podstawa udziału w decydowaniu, a nie tylko w wysłuchaniu — i odpowiada wprost na pytanie kazusu. Art. 6 ust. 2 dodaje, że konsultacje prowadzone w stosowaniu konwencji podejmuje się w dobrej wierze i w formie odpowiedniej do okoliczności, z celem osiągnięcia porozumienia lub zgody co do proponowanych środków; sformułowanie „z celem osiągnięcia” jest przy tym rozstrzygające w drugą stronę — cel nie jest warunkiem, więc prawa weta z tego przepisu wyprowadzić się nie da. Art. 7 ust. 1 przyznaje zainteresowanym ludom prawo decydowania o własnych priorytetach procesu rozwoju w zakresie, w jakim wpływa on na ich życie, wierzenia, instytucje, dobrostan duchowy oraz zajmowane lub użytkowane ziemie.</w:t>
      </w:r>
    </w:p>
    <w:p>
      <w:pPr>
        <w:pStyle w:val="BodyText"/>
      </w:pPr>
      <w:r>
        <w:t xml:space="preserve">Art. 15 ust. 2 jest przepisem najbardziej dopasowanym do stanu faktycznego i zawiera trzy elementy, z których przy pierwszym podejściu widzi się jeden. Po pierwsze, w przypadkach gdy państwo zachowuje własność zasobów mineralnych lub podpowierzchniowych, rządy ustanawiają lub utrzymują procedury konsultacji z zainteresowanymi ludami w celu ustalenia, czy i w jakim stopniu ich interesy byłyby naruszone, zanim podejmą lub zezwolą na programy poszukiwania lub eksploatacji takich zasobów. Po drugie, zainteresowane ludy uczestniczą, gdziekolwiek jest to możliwe, w korzyściach z takiej działalności. Po trzecie, otrzymują słuszne odszkodowanie za wszelkie szkody, jakie mogą ponieść w jej wyniku. Dwa ostatnie elementy są środkami naprawczymi, a nie standardami proceduralnymi — i to one dają ludności Pilemon coś, czego samo stwierdzenie wadliwości konsultacji nie daje.</w:t>
      </w:r>
    </w:p>
    <w:p>
      <w:pPr>
        <w:pStyle w:val="BodyText"/>
      </w:pPr>
      <w:r>
        <w:t xml:space="preserve">Deklaracja ONZ, instrument niewiążący, wymaga w tym kazusie precyzji co do jednostki. Art. 19 zobowiązuje państwa do konsultacji i współpracy w dobrej wierze z zainteresowanymi ludami tubylczymi, poprzez ich własne instytucje przedstawicielskie, w celu uzyskania ich swobodnej, uprzedniej i świadomej zgody przed przyjęciem i wdrożeniem środków ustawodawczych lub administracyjnych, które mogą ich dotyczyć. Art. 32 ust. 1 przyznaje ludom tubylczym prawo do określania i opracowywania priorytetów i strategii rozwoju lub wykorzystania ich ziem, terytoriów i innych zasobów, a ust. 2 zobowiązuje państwa do konsultacji i współpracy w dobrej wierze poprzez ich instytucje przedstawicielskie w celu uzyskania swobodnej i świadomej zgody przed zatwierdzeniem jakiegokolwiek projektu wpływającego na ich ziemie, terytoria i inne zasoby, w szczególności w związku z rozwojem, wykorzystaniem lub eksploatacją zasobów mineralnych, wodnych i innych. Różnica jest jednosłowna i działa na korzyść Restovii: w przepisie właściwym dla wydobycia minerałów brak elementu uprzedniości obecnego w art. 19. Powołanie art. 19 zamiast art. 32 ust. 2 podniosłoby standard ponad ten, który sam instrument przewiduje dla tej kategorii projektów — i przy dobrze poprowadzonym sporze zostanie to wytknięte.</w:t>
      </w:r>
    </w:p>
    <w:p>
      <w:pPr>
        <w:pStyle w:val="BodyText"/>
      </w:pPr>
      <w:r>
        <w:t xml:space="preserve">Konkluzja: obowiązek traktatowy oznacza współdecydowanie — obecność w procesie z realną możliwością wpływu na treść rozstrzygnięcia i obowiązek podjęcia w dobrej wierze próby osiągnięcia porozumienia — bez prawa weta. Test wykonania nie polega na liczbie spotkań, lecz na tym, czy da się wykazać, w jaki sposób stanowiska przedstawicieli przełożyły się na treść decyzji o wyborze wariantu.</w:t>
      </w:r>
    </w:p>
    <w:bookmarkEnd w:id="40"/>
    <w:bookmarkStart w:id="41" w:name="X8508cc824e798ecdcefcb3f6f17814aaf0bd856"/>
    <w:p>
      <w:pPr>
        <w:pStyle w:val="Heading3"/>
      </w:pPr>
      <w:r>
        <w:t xml:space="preserve">Zagadnienie 2: reprezentatywność, bojkot i podział wewnątrz społeczności</w:t>
      </w:r>
    </w:p>
    <w:p>
      <w:pPr>
        <w:pStyle w:val="FirstParagraph"/>
      </w:pPr>
      <w:r>
        <w:t xml:space="preserve">Trzy sytuacje z kazusu wymagają trzech różnych odpowiedzi i połączenie ich w jeden zarzut jest błędem.</w:t>
      </w:r>
    </w:p>
    <w:p>
      <w:pPr>
        <w:pStyle w:val="BodyText"/>
      </w:pPr>
      <w:r>
        <w:t xml:space="preserve">Podział stanowisk wewnątrz ludności. Część elderów poparła najmniej inwazyjny projekt, część sprzeciwiła się każdemu wydobyciu. Jest to normalny rezultat procesu decyzyjnego, a nie jego wada. Standard współdecydowania nie wymaga jednomyślności — wymaga, by rozbieżne stanowiska zostały przedstawione i rozważone. Zarzut oparty wyłącznie na tym, że nie wszyscy poparli wybrany wariant, upada.</w:t>
      </w:r>
    </w:p>
    <w:p>
      <w:pPr>
        <w:pStyle w:val="BodyText"/>
      </w:pPr>
      <w:r>
        <w:t xml:space="preserve">Reprezentatywność elderów. To jest zarzut realny i ma podstawę tekstową: konwencja MOP nr 169 i deklaracja ONZ posługują się zgodnie pojęciem „własnych instytucji przedstawicielskich” ludu, a nie pojęciem osób uznanych za przedstawicieli przez państwo. ⬛ Kazus nie podaje, kto upoważnił elderów i według jakiej procedury. Rozstrzygnięcie warunkowe: jeżeli elderzy zostali wyłonieni według własnych zwyczajowych procedur społeczności — wymóg instytucji przedstawicielskich jest spełniony i zarzut upada; jeżeli zostali wskazani przez Restovię albo dobrani według kryterium wygody — mechanizm konsultacyjny nie spełnia wymogu niezależnie od tego, jak obszerne materiały udostępniono i ile spotkań zorganizowano.</w:t>
      </w:r>
    </w:p>
    <w:p>
      <w:pPr>
        <w:pStyle w:val="BodyText"/>
      </w:pPr>
      <w:r>
        <w:t xml:space="preserve">Bojkot Sollanii. Przedstawiciele z Sollanii zbojkotowali konsultacje jako profanację. Alekostria buduje na tym zarzut naruszenia umowy dwustronnej. Zarzut upada na zakresie podmiotowym: Sollania jest państwem trzecim, a traktat nie tworzy dla niej praw ani obowiązków bez jej zgody (art. 34 KWPT). Zamiast pozostawić tę oś bez środka, ten sam materiał należy przenieść tam, gdzie ma podstawę. Ludność Pilemon zamieszkuje trzy państwa i jest jedną społecznością; jeżeli tak, to obowiązek udziału jej upoważnionych przedstawicieli nie jest ograniczony do tych, którzy mieszkają w Restovii — bo umowa mówi o przedstawicielach społeczności, nie o obywatelach stron. Zarzut przenosi się więc z naruszenia praw Sollanii na niepełną reprezentatywność mechanizmu i tam prowadzi do środka naprawczego. Bojkot jako taki nie obciąża przy tym Restovii: jeżeli zaproszenie było realne i skierowane do właściwych instytucji przedstawicielskich, odmowa udziału nie jest naruszeniem po stronie zapraszającego.</w:t>
      </w:r>
    </w:p>
    <w:bookmarkEnd w:id="41"/>
    <w:bookmarkStart w:id="42" w:name="zagadnienie-3-atrybucja-zachowania-nexca"/>
    <w:p>
      <w:pPr>
        <w:pStyle w:val="Heading3"/>
      </w:pPr>
      <w:r>
        <w:t xml:space="preserve">Zagadnienie 3: atrybucja zachowania NEXCA</w:t>
      </w:r>
    </w:p>
    <w:p>
      <w:pPr>
        <w:pStyle w:val="FirstParagraph"/>
      </w:pPr>
      <w:r>
        <w:t xml:space="preserve">Test przeprowadza się per zachowanie i katalog zamiata się w całości, a nie do pierwszego wyniku negatywnego.</w:t>
      </w:r>
    </w:p>
    <w:p>
      <w:pPr>
        <w:pStyle w:val="BodyText"/>
      </w:pPr>
      <w:r>
        <w:t xml:space="preserve">Art. 4. Zachowanie każdego organu państwa uważa się za akt tego państwa, niezależnie od tego, czy organ wykonuje funkcje ustawodawcze, wykonawcze, sądownicze czy inne, jakie zajmuje stanowisko w organizacji państwa i czy jest organem rządu centralnego czy jednostki terytorialnej; ustęp 2 stanowi, że organem jest każda osoba lub podmiot mający taki status zgodnie z prawem wewnętrznym państwa. Obsadzanie zarządu przez organy państwowe nie nadaje statusu organu — status nadaje prawo wewnętrzne. ⬛ Kazus nie podaje statusu NEXCA w prawie Alekostrii i jest to brak przesądzający dla całej osi.</w:t>
      </w:r>
    </w:p>
    <w:p>
      <w:pPr>
        <w:pStyle w:val="BodyText"/>
      </w:pPr>
      <w:r>
        <w:t xml:space="preserve">Art. 5. Zachowanie osoby lub podmiotu, który nie jest organem państwa w rozumieniu art. 4, ale jest upoważniony przez prawo tego państwa do wykonywania elementów władzy publicznej, uważa się za akt państwa, pod warunkiem że osoba lub podmiot działa w tym charakterze w danym przypadku. Prowadzenie działalności wydobywczej za granicą jest działalnością gospodarczą, nie sprawowaniem władzy publicznej, więc przesłanka jest wątpliwa — ale wymóg zgody politycznej na projekty zagraniczne może wskazywać na powierzenie funkcji o charakterze publicznym. ⬛ i rozstrzygnięcie warunkowe.</w:t>
      </w:r>
    </w:p>
    <w:p>
      <w:pPr>
        <w:pStyle w:val="BodyText"/>
      </w:pPr>
      <w:r>
        <w:t xml:space="preserve">Art. 7. Zachowanie organu państwa albo osoby lub podmiotu upoważnionego do wykonywania elementów władzy publicznej uważa się za akt państwa także wtedy, gdy organ, osoba lub podmiot działa w tym charakterze, nawet jeśli przekracza swoje uprawnienia lub postępuje wbrew instrukcjom. To jest jednostka, której pominięcie zmienia wynik. Alekostria będzie argumentować, że pojazd zjechał z wyznaczonej trasy, a więc jego zachowanie wykracza poza to, na co państwo się zgodziło. Art. 7 tę linię zamyka: odstępstwo od instrukcji nie przerywa atrybucji, o ile podmiot działa w charakterze, w którym został upoważniony. Skutek jest taki, że oś atrybucji incydentu nie rozstrzyga się na fakcie zjazdu z trasy — rozstrzyga się wyłącznie na tym, czy NEXCA spełnia przesłankę z art. 4 ust. 2 albo z art. 5.</w:t>
      </w:r>
    </w:p>
    <w:p>
      <w:pPr>
        <w:pStyle w:val="BodyText"/>
      </w:pPr>
      <w:r>
        <w:t xml:space="preserve">Art. 8. Zachowanie osoby lub grupy osób uważa się za akt państwa, jeżeli osoba lub grupa faktycznie działa na polecenie, pod kierownictwem lub pod kontrolą tego państwa przy wykonywaniu tego zachowania. Zwrot „przy wykonywaniu tego zachowania” jest rozstrzygający i to on wymusza test per zachowanie. Zgoda polityczna na projekt zagraniczny jest poleceniem co do wejścia w projekt i jego kontynuowania — te dwa zachowania przypisują się Alekostrii. Nie jest natomiast poleceniem co do sposobu prowadzenia pojazdu ani co do konfiguracji jego oprogramowania; dla zjazdu z trasy art. 8 nie jest spełniony przy obecnym materiale.</w:t>
      </w:r>
    </w:p>
    <w:p>
      <w:pPr>
        <w:pStyle w:val="BodyText"/>
      </w:pPr>
      <w:r>
        <w:t xml:space="preserve">Art. 11. Zachowanie nieprzypisywalne państwu na podstawie poprzedzających artykułów uważa się mimo to za akt tego państwa, jeżeli i w zakresie, w jakim państwo uznaje je i przyjmuje za własne. Kazus nie zawiera żadnego aktu uznania; przeciwnie, Alekostria dystansuje się od zdarzenia. Pozycja zamyka się wynikiem negatywnym.</w:t>
      </w:r>
    </w:p>
    <w:p>
      <w:pPr>
        <w:pStyle w:val="BodyText"/>
      </w:pPr>
      <w:r>
        <w:t xml:space="preserve">Wynik jest asymetryczny i to jest właściwa treść ćwiczenia: decyzja o wejściu w projekt i o jego kontynuowaniu przypisuje się Alekostrii na podstawie art. 8; incydent przypisuje się albo nie w zależności od statusu NEXCA w prawie Alekostrii, przy czym argument z odstępstwa od trasy w tej ocenie nie uczestniczy. Odpowiedź „spółka państwowa, więc państwo” i odpowiedź „spółka odrębna, więc nie państwo” są jednakowo błędne.</w:t>
      </w:r>
    </w:p>
    <w:bookmarkEnd w:id="42"/>
    <w:bookmarkStart w:id="43" w:name="Xf3ce8a4ad2c0850dfb17cd9ca7456b9f9cefe6f"/>
    <w:p>
      <w:pPr>
        <w:pStyle w:val="Heading3"/>
      </w:pPr>
      <w:r>
        <w:t xml:space="preserve">Zagadnienie 4: należyta staranność przy systemie półautonomicznym</w:t>
      </w:r>
    </w:p>
    <w:p>
      <w:pPr>
        <w:pStyle w:val="FirstParagraph"/>
      </w:pPr>
      <w:r>
        <w:t xml:space="preserve">Nieprzypisanie incydentu nie jest oddaleniem roszczenia o szkodę — przenosi je na inny tytuł, i to tytuł mocniejszy dowodowo, bo nie wymaga ustalenia, kto umieścił złośliwy kod.</w:t>
      </w:r>
    </w:p>
    <w:p>
      <w:pPr>
        <w:pStyle w:val="BodyText"/>
      </w:pPr>
      <w:r>
        <w:t xml:space="preserve">Konstrukcja jest następująca. Obowiązek należytej staranności jest zobowiązaniem pierwotnym, nie regułą atrybucji; jego naruszeniem jest własne zaniechanie państwa albo podmiotu, którego zachowanie mu się przypisuje. Skoro decyzja o kontynuowaniu projektu przypisuje się Alekostrii na podstawie art. 8, to obowiązek zachowania staranności przy tej decyzji obciąża Alekostrię niezależnie od tego, jak rozstrzygnie się status NEXCA.</w:t>
      </w:r>
    </w:p>
    <w:p>
      <w:pPr>
        <w:pStyle w:val="BodyText"/>
      </w:pPr>
      <w:r>
        <w:t xml:space="preserve">Treść standardu przy systemie półautonomicznym podatnym na cyberatak: przeprowadzenie oceny ryzyka obejmującej scenariusz ingerencji w oprogramowanie; wdrożenie zabezpieczeń adekwatnych do stanu wiedzy w chwili wdrożenia; utrzymanie mechanizmu przejęcia sterowania przez człowieka i przetestowanie go; monitorowanie i reagowanie na odstępstwa od trasy w czasie rzeczywistym; wyznaczenie stref, w których tryb autonomiczny jest wyłączony — a strefa sakralna jest przykładem oczywistym.</w:t>
      </w:r>
    </w:p>
    <w:p>
      <w:pPr>
        <w:pStyle w:val="BodyText"/>
      </w:pPr>
      <w:r>
        <w:t xml:space="preserve">Ciężar dowodu przesuwa się tu w sposób, który warto nazwać: to strona dysponująca dokumentacją techniczną wykazuje, że staranność zachowano. Restovia nie ma dostępu do logów systemu ani do specyfikacji zabezpieczeń. ⬛ i rozstrzygnięcie warunkowe: jeżeli Alekostria i NEXCA nie przedstawią oceny ryzyka obejmującej scenariusz ingerencji oraz dowodu wdrożenia adekwatnych zabezpieczeń — stwierdzić naruszenie obowiązku staranności; jeżeli przedstawią dokumentację wykazującą staranność adekwatną do stanu wiedzy — oddalić roszczenie odszkodowawcze za incydent, utrzymując rozstrzygnięcie o obowiązku traktatowym, które jest od niego niezależne.</w:t>
      </w:r>
    </w:p>
    <w:bookmarkEnd w:id="43"/>
    <w:bookmarkStart w:id="44" w:name="Xcb9a6ad03a68cd91e393c726865216c30722ac3"/>
    <w:p>
      <w:pPr>
        <w:pStyle w:val="Heading3"/>
      </w:pPr>
      <w:r>
        <w:t xml:space="preserve">Zagadnienie 5: jedność czy wielość czynów międzynarodowo bezprawnych</w:t>
      </w:r>
    </w:p>
    <w:p>
      <w:pPr>
        <w:pStyle w:val="FirstParagraph"/>
      </w:pPr>
      <w:r>
        <w:t xml:space="preserve">Art. 14 rozróżnia trzy sytuacje. Naruszenie zobowiązania czynem niemającym charakteru ciągłego następuje w chwili dokonania czynu, nawet jeżeli jego skutki trwają (ust. 1). Naruszenie czynem o charakterze ciągłym rozciąga się na cały okres, w którym czyn trwa i pozostaje niezgodny ze zobowiązaniem (ust. 2). Naruszenie zobowiązania wymagającego od państwa zapobieżenia określonemu zdarzeniu następuje z chwilą jego wystąpienia i rozciąga się na cały okres, w którym zdarzenie trwa i pozostaje niezgodne ze zobowiązaniem (ust. 3). Art. 15 dotyczy czynu złożonego: naruszenie przez serię działań lub zaniechań określonych łącznie jako bezprawne następuje z chwilą tego działania lub zaniechania, które wraz z pozostałymi wystarcza do wypełnienia czynu bezprawnego, a naruszenie rozciąga się na cały okres, począwszy od pierwszego z serii, i trwa tak długo, jak działania te się powtarzają i pozostają niezgodne ze zobowiązaniem.</w:t>
      </w:r>
    </w:p>
    <w:p>
      <w:pPr>
        <w:pStyle w:val="BodyText"/>
      </w:pPr>
      <w:r>
        <w:t xml:space="preserve">Zastosowanie do kazusu daje trzy różne kwalifikacje, nie jedną. Zjazd pojazdu i jego bezpośrednie skutki — śmierć funkcjonariusza, uszkodzenie infrastruktury — to czyn jednorazowy o trwających skutkach (art. 14 ust. 1). Naruszenie strefy sakralnej, o ile stan naruszenia się utrzymuje, jest czynem ciągłym (art. 14 ust. 2) i uzasadnia samodzielne żądanie zaprzestania, niezależne od odszkodowania. Wadliwość procesu decyzyjnego wraz z kolejnymi decyzjami eksploatacyjnymi jest czynem złożonym w rozumieniu art. 15, liczonym od pierwszej z tych czynności — co ma znaczenie praktyczne, bo przesuwa początek naruszenia na moment ogłoszenia przetargu, a nie na moment rozpoczęcia robót.</w:t>
      </w:r>
    </w:p>
    <w:p>
      <w:pPr>
        <w:pStyle w:val="BodyText"/>
      </w:pPr>
      <w:r>
        <w:t xml:space="preserve">Zaniechanie zabezpieczenia systemu wymaga osobnej uwagi: jeżeli obowiązek staranności rozumieć jako obowiązek zapobieżenia zdarzeniu, właściwy jest art. 14 ust. 3, a naruszenie następuje z chwilą incydentu i trwa, dopóki trwa stan niezgodności. Różnica wobec ust. 1 nie jest czysto teoretyczna — przesądza o tym, czy żądanie zaprzestania ma przedmiot.</w:t>
      </w:r>
    </w:p>
    <w:p>
      <w:pPr>
        <w:pStyle w:val="BodyText"/>
      </w:pPr>
      <w:r>
        <w:t xml:space="preserve">Kontrola z art. 55 zamyka to zagadnienie: jeżeli umowa dwustronna zawiera własny reżim odpowiedzialności lub własny tryb rozstrzygania, wypiera reguły ogólne w tym zakresie. ⬛ Kazus treści umowy w tym punkcie nie podaje.</w:t>
      </w:r>
    </w:p>
    <w:bookmarkEnd w:id="44"/>
    <w:bookmarkStart w:id="45" w:name="zagadnienie-6-odmowa-ekstradycji"/>
    <w:p>
      <w:pPr>
        <w:pStyle w:val="Heading3"/>
      </w:pPr>
      <w:r>
        <w:t xml:space="preserve">Zagadnienie 6: odmowa ekstradycji</w:t>
      </w:r>
    </w:p>
    <w:p>
      <w:pPr>
        <w:pStyle w:val="FirstParagraph"/>
      </w:pPr>
      <w:r>
        <w:t xml:space="preserve">Kazus jest w tym punkcie wewnętrznie sprzeczny i sprzeczności tej nie wolno usunąć domysłem. Restovia wszczęła postępowanie karne wobec kierowniczki projektu; Alekostria odmówiła ekstradycji, wskazując na brak zgodności procedury z ogólnymi zasadami prawa; jednocześnie Alekostria żąda „zwrotu zatrzymanej kierowniczki”. Odmowa ekstradycji zakłada, że osoba przebywa w Alekostrii; żądanie zwrotu zakłada, że jest zatrzymana w Restovii. Oba zdania nie mogą być prawdziwe naraz.</w:t>
      </w:r>
    </w:p>
    <w:p>
      <w:pPr>
        <w:pStyle w:val="BodyText"/>
      </w:pPr>
      <w:r>
        <w:t xml:space="preserve">Rozstrzygnięcie warunkowe.</w:t>
      </w:r>
    </w:p>
    <w:p>
      <w:pPr>
        <w:pStyle w:val="BodyText"/>
      </w:pPr>
      <w:r>
        <w:t xml:space="preserve">Jeżeli kierowniczka przebywa w Alekostrii. Nie istnieje ogólny obowiązek ekstradycji poza traktatem. Odmowa oparta na braku zgodności procedury z ogólnymi zasadami prawa jest podstawą uznaną, ale wymaga konkretyzacji: wskazania, które gwarancje procesowe są zagrożone i na jakiej podstawie faktycznej. Ogólnikowe powołanie się na zasady ogólne nie wystarcza i przy dobrze poprowadzonym sporze zostanie podważone. Jeżeli umowa dwustronna zawiera klauzulę ekstradycyjną, ocena przenosi się na jej treść, a odmowa wymaga podstawy w samej umowie.</w:t>
      </w:r>
    </w:p>
    <w:p>
      <w:pPr>
        <w:pStyle w:val="BodyText"/>
      </w:pPr>
      <w:r>
        <w:t xml:space="preserve">Jeżeli kierowniczka jest zatrzymana w Restovii. Restovia wykonuje jurysdykcję terytorialną, co jest tytułem najmocniejszym. Alekostria nie może żądać zwrotu osoby na tej tylko podstawie, że jest jej obywatelką ani że pełniła funkcję w spółce państwowej — funkcja w spółce nie daje immunitetu, a atrybucja zachowania spółki państwu, nawet gdyby została ustalona, dotyczy odpowiedzialności państwa, nie osobistej odpowiedzialności karnej pracownika. Właściwym instrumentem jest opieka konsularna i kontrola rzetelności postępowania, nie żądanie wydania.</w:t>
      </w:r>
    </w:p>
    <w:p>
      <w:pPr>
        <w:pStyle w:val="BodyText"/>
      </w:pPr>
      <w:r>
        <w:t xml:space="preserve">W obu wariantach zarzut, że postępowanie karne wobec kierowniczki jest środkiem nacisku w sporze międzypaństwowym, jest zarzutem osobnym i wymaga własnego materiału — zbieżność czasowa z eskalacją sporu nie wystarcza.</w:t>
      </w:r>
    </w:p>
    <w:bookmarkEnd w:id="45"/>
    <w:bookmarkEnd w:id="46"/>
    <w:bookmarkStart w:id="47"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Restovii</w:t>
            </w:r>
          </w:p>
        </w:tc>
        <w:tc>
          <w:tcPr/>
          <w:p>
            <w:pPr>
              <w:pStyle w:val="Compact"/>
              <w:jc w:val="left"/>
            </w:pPr>
            <w:r>
              <w:t xml:space="preserve">Argument Alekostrii</w:t>
            </w:r>
          </w:p>
        </w:tc>
      </w:tr>
      <w:tr>
        <w:tc>
          <w:tcPr/>
          <w:p>
            <w:pPr>
              <w:pStyle w:val="Compact"/>
              <w:jc w:val="left"/>
            </w:pPr>
            <w:r>
              <w:t xml:space="preserve">Charakter obowiązku</w:t>
            </w:r>
          </w:p>
        </w:tc>
        <w:tc>
          <w:tcPr/>
          <w:p>
            <w:pPr>
              <w:pStyle w:val="Compact"/>
              <w:jc w:val="left"/>
            </w:pPr>
            <w:r>
              <w:t xml:space="preserve">Konsultacje spełniły wymóg: mechanizm utworzono, materiały udostępniono, spotkania odbyto</w:t>
            </w:r>
          </w:p>
        </w:tc>
        <w:tc>
          <w:tcPr/>
          <w:p>
            <w:pPr>
              <w:pStyle w:val="Compact"/>
              <w:jc w:val="left"/>
            </w:pPr>
            <w:r>
              <w:t xml:space="preserve">Tekst mówi o udziale w podejmowaniu decyzji, nie o konsultacji; udostępnienie materiałów nie jest udziałem w decyzji</w:t>
            </w:r>
          </w:p>
        </w:tc>
      </w:tr>
      <w:tr>
        <w:tc>
          <w:tcPr/>
          <w:p>
            <w:pPr>
              <w:pStyle w:val="Compact"/>
              <w:jc w:val="left"/>
            </w:pPr>
            <w:r>
              <w:t xml:space="preserve">Reprezentatywność</w:t>
            </w:r>
          </w:p>
        </w:tc>
        <w:tc>
          <w:tcPr/>
          <w:p>
            <w:pPr>
              <w:pStyle w:val="Compact"/>
              <w:jc w:val="left"/>
            </w:pPr>
            <w:r>
              <w:t xml:space="preserve">Elderzy są tradycyjnymi przedstawicielami społeczności; podział stanowisk to normalny wynik procesu</w:t>
            </w:r>
          </w:p>
        </w:tc>
        <w:tc>
          <w:tcPr/>
          <w:p>
            <w:pPr>
              <w:pStyle w:val="Compact"/>
              <w:jc w:val="left"/>
            </w:pPr>
            <w:r>
              <w:t xml:space="preserve">Wymóg dotyczy własnych instytucji przedstawicielskich ludu; kryterium doboru elderów nie zostało wykazane</w:t>
            </w:r>
          </w:p>
        </w:tc>
      </w:tr>
      <w:tr>
        <w:tc>
          <w:tcPr/>
          <w:p>
            <w:pPr>
              <w:pStyle w:val="Compact"/>
              <w:jc w:val="left"/>
            </w:pPr>
            <w:r>
              <w:t xml:space="preserve">Bojkot Sollanii</w:t>
            </w:r>
          </w:p>
        </w:tc>
        <w:tc>
          <w:tcPr/>
          <w:p>
            <w:pPr>
              <w:pStyle w:val="Compact"/>
              <w:jc w:val="left"/>
            </w:pPr>
            <w:r>
              <w:t xml:space="preserve">Sollania jest państwem trzecim i nie czerpie z umowy praw (art. 34 KWPT); bojkot nie obciąża zapraszającego</w:t>
            </w:r>
          </w:p>
        </w:tc>
        <w:tc>
          <w:tcPr/>
          <w:p>
            <w:pPr>
              <w:pStyle w:val="Compact"/>
              <w:jc w:val="left"/>
            </w:pPr>
            <w:r>
              <w:t xml:space="preserve">Pilemon są jedną społecznością zamieszkującą trzy państwa; obowiązek dotyczy przedstawicieli społeczności, nie obywateli stron</w:t>
            </w:r>
          </w:p>
        </w:tc>
      </w:tr>
      <w:tr>
        <w:tc>
          <w:tcPr/>
          <w:p>
            <w:pPr>
              <w:pStyle w:val="Compact"/>
              <w:jc w:val="left"/>
            </w:pPr>
            <w:r>
              <w:t xml:space="preserve">Standard zgody</w:t>
            </w:r>
          </w:p>
        </w:tc>
        <w:tc>
          <w:tcPr/>
          <w:p>
            <w:pPr>
              <w:pStyle w:val="Compact"/>
              <w:jc w:val="left"/>
            </w:pPr>
            <w:r>
              <w:t xml:space="preserve">Art. 6 ust. 2 konwencji MOP mówi o celu osiągnięcia porozumienia, nie o warunku; brak prawa weta</w:t>
            </w:r>
          </w:p>
        </w:tc>
        <w:tc>
          <w:tcPr/>
          <w:p>
            <w:pPr>
              <w:pStyle w:val="Compact"/>
              <w:jc w:val="left"/>
            </w:pPr>
            <w:r>
              <w:t xml:space="preserve">Art. 6 ust. 1 lit. b wymaga udziału na wszystkich szczeblach decyzyjnych; art. 15 ust. 2 wymaga konsultacji przed zezwoleniem na eksploatację</w:t>
            </w:r>
          </w:p>
        </w:tc>
      </w:tr>
      <w:tr>
        <w:tc>
          <w:tcPr/>
          <w:p>
            <w:pPr>
              <w:pStyle w:val="Compact"/>
              <w:jc w:val="left"/>
            </w:pPr>
            <w:r>
              <w:t xml:space="preserve">Atrybucja projektu</w:t>
            </w:r>
          </w:p>
        </w:tc>
        <w:tc>
          <w:tcPr/>
          <w:p>
            <w:pPr>
              <w:pStyle w:val="Compact"/>
              <w:jc w:val="left"/>
            </w:pPr>
            <w:r>
              <w:t xml:space="preserve">Zgoda polityczna na projekt zagraniczny jest poleceniem co do wejścia i kontynuowania (art. 8)</w:t>
            </w:r>
          </w:p>
        </w:tc>
        <w:tc>
          <w:tcPr/>
          <w:p>
            <w:pPr>
              <w:pStyle w:val="Compact"/>
              <w:jc w:val="left"/>
            </w:pPr>
            <w:r>
              <w:t xml:space="preserve">Zgoda polityczna jest aktem nadzoru właścicielskiego, nie instrukcją co do sposobu prowadzenia działalności</w:t>
            </w:r>
          </w:p>
        </w:tc>
      </w:tr>
      <w:tr>
        <w:tc>
          <w:tcPr/>
          <w:p>
            <w:pPr>
              <w:pStyle w:val="Compact"/>
              <w:jc w:val="left"/>
            </w:pPr>
            <w:r>
              <w:t xml:space="preserve">Atrybucja incydentu</w:t>
            </w:r>
          </w:p>
        </w:tc>
        <w:tc>
          <w:tcPr/>
          <w:p>
            <w:pPr>
              <w:pStyle w:val="Compact"/>
              <w:jc w:val="left"/>
            </w:pPr>
            <w:r>
              <w:t xml:space="preserve">Odstępstwo od trasy nie przerywa atrybucji (art. 7), więc rozstrzyga wyłącznie status NEXCA</w:t>
            </w:r>
          </w:p>
        </w:tc>
        <w:tc>
          <w:tcPr/>
          <w:p>
            <w:pPr>
              <w:pStyle w:val="Compact"/>
              <w:jc w:val="left"/>
            </w:pPr>
            <w:r>
              <w:t xml:space="preserve">NEXCA nie ma statusu organu ani upoważnienia do wykonywania elementów władzy publicznej; art. 5 i 7 nie wchodzą w grę</w:t>
            </w:r>
          </w:p>
        </w:tc>
      </w:tr>
      <w:tr>
        <w:tc>
          <w:tcPr/>
          <w:p>
            <w:pPr>
              <w:pStyle w:val="Compact"/>
              <w:jc w:val="left"/>
            </w:pPr>
            <w:r>
              <w:t xml:space="preserve">Należyta staranność</w:t>
            </w:r>
          </w:p>
        </w:tc>
        <w:tc>
          <w:tcPr/>
          <w:p>
            <w:pPr>
              <w:pStyle w:val="Compact"/>
              <w:jc w:val="left"/>
            </w:pPr>
            <w:r>
              <w:t xml:space="preserve">Brak oceny ryzyka i zabezpieczeń przy systemie półautonomicznym w strefie sakralnej jest własnym zaniechaniem</w:t>
            </w:r>
          </w:p>
        </w:tc>
        <w:tc>
          <w:tcPr/>
          <w:p>
            <w:pPr>
              <w:pStyle w:val="Compact"/>
              <w:jc w:val="left"/>
            </w:pPr>
            <w:r>
              <w:t xml:space="preserve">Cyberatak jest zdarzeniem zewnętrznym; standard staranności ocenia się według stanu wiedzy, nie według skutku</w:t>
            </w:r>
          </w:p>
        </w:tc>
      </w:tr>
      <w:tr>
        <w:tc>
          <w:tcPr/>
          <w:p>
            <w:pPr>
              <w:pStyle w:val="Compact"/>
              <w:jc w:val="left"/>
            </w:pPr>
            <w:r>
              <w:t xml:space="preserve">Ekstradycja</w:t>
            </w:r>
          </w:p>
        </w:tc>
        <w:tc>
          <w:tcPr/>
          <w:p>
            <w:pPr>
              <w:pStyle w:val="Compact"/>
              <w:jc w:val="left"/>
            </w:pPr>
            <w:r>
              <w:t xml:space="preserve">Jurysdykcja terytorialna jest tytułem najmocniejszym; postępowanie toczy się zgodnie z prawem krajowym</w:t>
            </w:r>
          </w:p>
        </w:tc>
        <w:tc>
          <w:tcPr/>
          <w:p>
            <w:pPr>
              <w:pStyle w:val="Compact"/>
              <w:jc w:val="left"/>
            </w:pPr>
            <w:r>
              <w:t xml:space="preserve">Procedura nie odpowiada ogólnym zasadom prawa; obywatelka podlega ochronie państwa pochodzenia</w:t>
            </w:r>
          </w:p>
        </w:tc>
      </w:tr>
    </w:tbl>
    <w:bookmarkEnd w:id="47"/>
    <w:bookmarkStart w:id="48"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Dosłowne brzmienie klauzuli o udziale przedstawicieli</w:t>
            </w:r>
          </w:p>
        </w:tc>
        <w:tc>
          <w:tcPr/>
          <w:p>
            <w:pPr>
              <w:pStyle w:val="Compact"/>
              <w:jc w:val="left"/>
            </w:pPr>
            <w:r>
              <w:t xml:space="preserve">Rdzeń wykładni z art. 31 ust. 1 KWPT; przesądza między konsultacją, współdecydowaniem a zgodą</w:t>
            </w:r>
          </w:p>
        </w:tc>
        <w:tc>
          <w:tcPr/>
          <w:p>
            <w:pPr>
              <w:pStyle w:val="Compact"/>
              <w:jc w:val="left"/>
            </w:pPr>
            <w:r>
              <w:t xml:space="preserve">Tekst umowy dwustronnej wraz z załącznikami i protokołami</w:t>
            </w:r>
          </w:p>
        </w:tc>
      </w:tr>
      <w:tr>
        <w:tc>
          <w:tcPr/>
          <w:p>
            <w:pPr>
              <w:pStyle w:val="Compact"/>
              <w:jc w:val="left"/>
            </w:pPr>
            <w:r>
              <w:t xml:space="preserve">Próg „istotnej zmiany stanu” płaskowyżu</w:t>
            </w:r>
          </w:p>
        </w:tc>
        <w:tc>
          <w:tcPr/>
          <w:p>
            <w:pPr>
              <w:pStyle w:val="Compact"/>
              <w:jc w:val="left"/>
            </w:pPr>
            <w:r>
              <w:t xml:space="preserve">Ustala moment uruchomienia obowiązku — przetarg czy roboty</w:t>
            </w:r>
          </w:p>
        </w:tc>
        <w:tc>
          <w:tcPr/>
          <w:p>
            <w:pPr>
              <w:pStyle w:val="Compact"/>
              <w:jc w:val="left"/>
            </w:pPr>
            <w:r>
              <w:t xml:space="preserve">Definicje umowne, praktyka stosowania, wcześniejsze przypadki</w:t>
            </w:r>
          </w:p>
        </w:tc>
      </w:tr>
      <w:tr>
        <w:tc>
          <w:tcPr/>
          <w:p>
            <w:pPr>
              <w:pStyle w:val="Compact"/>
              <w:jc w:val="left"/>
            </w:pPr>
            <w:r>
              <w:t xml:space="preserve">Czy umowa zawiera własny reżim odpowiedzialności lub tryb sporu</w:t>
            </w:r>
          </w:p>
        </w:tc>
        <w:tc>
          <w:tcPr/>
          <w:p>
            <w:pPr>
              <w:pStyle w:val="Compact"/>
              <w:jc w:val="left"/>
            </w:pPr>
            <w:r>
              <w:t xml:space="preserve">Kontrola z art. 55 artykułów KPM przed sięgnięciem po reguły ogólne</w:t>
            </w:r>
          </w:p>
        </w:tc>
        <w:tc>
          <w:tcPr/>
          <w:p>
            <w:pPr>
              <w:pStyle w:val="Compact"/>
              <w:jc w:val="left"/>
            </w:pPr>
            <w:r>
              <w:t xml:space="preserve">Tekst umowy, klauzula rozstrzygania sporów</w:t>
            </w:r>
          </w:p>
        </w:tc>
      </w:tr>
      <w:tr>
        <w:tc>
          <w:tcPr/>
          <w:p>
            <w:pPr>
              <w:pStyle w:val="Compact"/>
              <w:jc w:val="left"/>
            </w:pPr>
            <w:r>
              <w:t xml:space="preserve">Status prawny NEXCA w prawie Alekostrii</w:t>
            </w:r>
          </w:p>
        </w:tc>
        <w:tc>
          <w:tcPr/>
          <w:p>
            <w:pPr>
              <w:pStyle w:val="Compact"/>
              <w:jc w:val="left"/>
            </w:pPr>
            <w:r>
              <w:t xml:space="preserve">Warunek testu z art. 4 ust. 2 i, pośrednio, z art. 5 i 7</w:t>
            </w:r>
          </w:p>
        </w:tc>
        <w:tc>
          <w:tcPr/>
          <w:p>
            <w:pPr>
              <w:pStyle w:val="Compact"/>
              <w:jc w:val="left"/>
            </w:pPr>
            <w:r>
              <w:t xml:space="preserve">Ustawa o utworzeniu spółki, statut, wpis rejestrowy</w:t>
            </w:r>
          </w:p>
        </w:tc>
      </w:tr>
      <w:tr>
        <w:tc>
          <w:tcPr/>
          <w:p>
            <w:pPr>
              <w:pStyle w:val="Compact"/>
              <w:jc w:val="left"/>
            </w:pPr>
            <w:r>
              <w:t xml:space="preserve">Zakres i treść zgody politycznej na projekt</w:t>
            </w:r>
          </w:p>
        </w:tc>
        <w:tc>
          <w:tcPr/>
          <w:p>
            <w:pPr>
              <w:pStyle w:val="Compact"/>
              <w:jc w:val="left"/>
            </w:pPr>
            <w:r>
              <w:t xml:space="preserve">Warunek testu z art. 8 dla poszczególnych zachowań</w:t>
            </w:r>
          </w:p>
        </w:tc>
        <w:tc>
          <w:tcPr/>
          <w:p>
            <w:pPr>
              <w:pStyle w:val="Compact"/>
              <w:jc w:val="left"/>
            </w:pPr>
            <w:r>
              <w:t xml:space="preserve">Uchwała lub decyzja organu, korespondencja z zarządem</w:t>
            </w:r>
          </w:p>
        </w:tc>
      </w:tr>
      <w:tr>
        <w:tc>
          <w:tcPr/>
          <w:p>
            <w:pPr>
              <w:pStyle w:val="Compact"/>
              <w:jc w:val="left"/>
            </w:pPr>
            <w:r>
              <w:t xml:space="preserve">Kto upoważnił elderów i według jakiej procedury</w:t>
            </w:r>
          </w:p>
        </w:tc>
        <w:tc>
          <w:tcPr/>
          <w:p>
            <w:pPr>
              <w:pStyle w:val="Compact"/>
              <w:jc w:val="left"/>
            </w:pPr>
            <w:r>
              <w:t xml:space="preserve">Warunek wymogu własnych instytucji przedstawicielskich</w:t>
            </w:r>
          </w:p>
        </w:tc>
        <w:tc>
          <w:tcPr/>
          <w:p>
            <w:pPr>
              <w:pStyle w:val="Compact"/>
              <w:jc w:val="left"/>
            </w:pPr>
            <w:r>
              <w:t xml:space="preserve">Uchwały społeczności, dokumenty zwyczajowe, oświadczenia instytucji Pilemon</w:t>
            </w:r>
          </w:p>
        </w:tc>
      </w:tr>
      <w:tr>
        <w:tc>
          <w:tcPr/>
          <w:p>
            <w:pPr>
              <w:pStyle w:val="Compact"/>
              <w:jc w:val="left"/>
            </w:pPr>
            <w:r>
              <w:t xml:space="preserve">Czy Pilemon stanowią jedną społeczność w trzech państwach</w:t>
            </w:r>
          </w:p>
        </w:tc>
        <w:tc>
          <w:tcPr/>
          <w:p>
            <w:pPr>
              <w:pStyle w:val="Compact"/>
              <w:jc w:val="left"/>
            </w:pPr>
            <w:r>
              <w:t xml:space="preserve">Przesądza o zakresie podmiotowym obowiązku udziału po przeniesieniu zarzutu z bojkotu</w:t>
            </w:r>
          </w:p>
        </w:tc>
        <w:tc>
          <w:tcPr/>
          <w:p>
            <w:pPr>
              <w:pStyle w:val="Compact"/>
              <w:jc w:val="left"/>
            </w:pPr>
            <w:r>
              <w:t xml:space="preserve">Opinia etnograficzna, dokumenty własnych instytucji, praktyka wcześniejszych konsultacji</w:t>
            </w:r>
          </w:p>
        </w:tc>
      </w:tr>
      <w:tr>
        <w:tc>
          <w:tcPr/>
          <w:p>
            <w:pPr>
              <w:pStyle w:val="Compact"/>
              <w:jc w:val="left"/>
            </w:pPr>
            <w:r>
              <w:t xml:space="preserve">Dokumentacja bezpieczeństwa pojazdu i ocena ryzyka</w:t>
            </w:r>
          </w:p>
        </w:tc>
        <w:tc>
          <w:tcPr/>
          <w:p>
            <w:pPr>
              <w:pStyle w:val="Compact"/>
              <w:jc w:val="left"/>
            </w:pPr>
            <w:r>
              <w:t xml:space="preserve">Rdzeń oceny należytej staranności</w:t>
            </w:r>
          </w:p>
        </w:tc>
        <w:tc>
          <w:tcPr/>
          <w:p>
            <w:pPr>
              <w:pStyle w:val="Compact"/>
              <w:jc w:val="left"/>
            </w:pPr>
            <w:r>
              <w:t xml:space="preserve">Analiza ryzyka, specyfikacja zabezpieczeń, logi systemu, raport powypadkowy</w:t>
            </w:r>
          </w:p>
        </w:tc>
      </w:tr>
      <w:tr>
        <w:tc>
          <w:tcPr/>
          <w:p>
            <w:pPr>
              <w:pStyle w:val="Compact"/>
              <w:jc w:val="left"/>
            </w:pPr>
            <w:r>
              <w:t xml:space="preserve">Czy istniał mechanizm przejęcia sterowania i czy zadziałał</w:t>
            </w:r>
          </w:p>
        </w:tc>
        <w:tc>
          <w:tcPr/>
          <w:p>
            <w:pPr>
              <w:pStyle w:val="Compact"/>
              <w:jc w:val="left"/>
            </w:pPr>
            <w:r>
              <w:t xml:space="preserve">Odróżnia awarię od zaniechania zabezpieczenia</w:t>
            </w:r>
          </w:p>
        </w:tc>
        <w:tc>
          <w:tcPr/>
          <w:p>
            <w:pPr>
              <w:pStyle w:val="Compact"/>
              <w:jc w:val="left"/>
            </w:pPr>
            <w:r>
              <w:t xml:space="preserve">Protokoły testów, zapisy telemetryczne, procedury operacyjne</w:t>
            </w:r>
          </w:p>
        </w:tc>
      </w:tr>
      <w:tr>
        <w:tc>
          <w:tcPr/>
          <w:p>
            <w:pPr>
              <w:pStyle w:val="Compact"/>
              <w:jc w:val="left"/>
            </w:pPr>
            <w:r>
              <w:t xml:space="preserve">Czy strefa sakralna była wyłączona z trybu autonomicznego</w:t>
            </w:r>
          </w:p>
        </w:tc>
        <w:tc>
          <w:tcPr/>
          <w:p>
            <w:pPr>
              <w:pStyle w:val="Compact"/>
              <w:jc w:val="left"/>
            </w:pPr>
            <w:r>
              <w:t xml:space="preserve">Element standardu staranności najłatwiejszy do wykazania i najtrudniejszy do usprawiedliwienia</w:t>
            </w:r>
          </w:p>
        </w:tc>
        <w:tc>
          <w:tcPr/>
          <w:p>
            <w:pPr>
              <w:pStyle w:val="Compact"/>
              <w:jc w:val="left"/>
            </w:pPr>
            <w:r>
              <w:t xml:space="preserve">Konfiguracja systemu, mapy stref, instrukcje operacyjne</w:t>
            </w:r>
          </w:p>
        </w:tc>
      </w:tr>
      <w:tr>
        <w:tc>
          <w:tcPr/>
          <w:p>
            <w:pPr>
              <w:pStyle w:val="Compact"/>
              <w:jc w:val="left"/>
            </w:pPr>
            <w:r>
              <w:t xml:space="preserve">Miejsce pobytu kierowniczki i treść wniosku ekstradycyjnego</w:t>
            </w:r>
          </w:p>
        </w:tc>
        <w:tc>
          <w:tcPr/>
          <w:p>
            <w:pPr>
              <w:pStyle w:val="Compact"/>
              <w:jc w:val="left"/>
            </w:pPr>
            <w:r>
              <w:t xml:space="preserve">Opis kazusu jest wewnętrznie sprzeczny — odmowa ekstradycji i żądanie zwrotu wykluczają się</w:t>
            </w:r>
          </w:p>
        </w:tc>
        <w:tc>
          <w:tcPr/>
          <w:p>
            <w:pPr>
              <w:pStyle w:val="Compact"/>
              <w:jc w:val="left"/>
            </w:pPr>
            <w:r>
              <w:t xml:space="preserve">Wniosek ekstradycyjny, postanowienie o zatrzymaniu, nota dyplomatyczna</w:t>
            </w:r>
          </w:p>
        </w:tc>
      </w:tr>
      <w:tr>
        <w:tc>
          <w:tcPr/>
          <w:p>
            <w:pPr>
              <w:pStyle w:val="Compact"/>
              <w:jc w:val="left"/>
            </w:pPr>
            <w:r>
              <w:t xml:space="preserve">Status ratyfikacyjny konwencji MOP nr 169 dla trzech państw</w:t>
            </w:r>
          </w:p>
        </w:tc>
        <w:tc>
          <w:tcPr/>
          <w:p>
            <w:pPr>
              <w:pStyle w:val="Compact"/>
              <w:jc w:val="left"/>
            </w:pPr>
            <w:r>
              <w:t xml:space="preserve">MG-1: czy instrument w ogóle wiąże</w:t>
            </w:r>
          </w:p>
        </w:tc>
        <w:tc>
          <w:tcPr/>
          <w:p>
            <w:pPr>
              <w:pStyle w:val="Compact"/>
              <w:jc w:val="left"/>
            </w:pPr>
            <w:r>
              <w:t xml:space="preserve">Rejestr ratyfikacji MOP</w:t>
            </w:r>
          </w:p>
        </w:tc>
      </w:tr>
      <w:tr>
        <w:tc>
          <w:tcPr/>
          <w:p>
            <w:pPr>
              <w:pStyle w:val="Compact"/>
              <w:jc w:val="left"/>
            </w:pPr>
            <w:r>
              <w:t xml:space="preserve">Data wejścia w życie umowy dwustronnej</w:t>
            </w:r>
          </w:p>
        </w:tc>
        <w:tc>
          <w:tcPr/>
          <w:p>
            <w:pPr>
              <w:pStyle w:val="Compact"/>
              <w:jc w:val="left"/>
            </w:pPr>
            <w:r>
              <w:t xml:space="preserve">Nieretroakcja — art. 28 KWPT oraz art. 13 artykułów KPM</w:t>
            </w:r>
          </w:p>
        </w:tc>
        <w:tc>
          <w:tcPr/>
          <w:p>
            <w:pPr>
              <w:pStyle w:val="Compact"/>
              <w:jc w:val="left"/>
            </w:pPr>
            <w:r>
              <w:t xml:space="preserve">Noty ratyfikacyjne, dziennik urzędowy</w:t>
            </w:r>
          </w:p>
        </w:tc>
      </w:tr>
    </w:tbl>
    <w:bookmarkEnd w:id="48"/>
    <w:bookmarkStart w:id="49" w:name="proponowane-rozstrzygnięcie-1"/>
    <w:p>
      <w:pPr>
        <w:pStyle w:val="Heading2"/>
      </w:pPr>
      <w:r>
        <w:t xml:space="preserve">Proponowane rozstrzygnięcie</w:t>
      </w:r>
    </w:p>
    <w:p>
      <w:pPr>
        <w:pStyle w:val="FirstParagraph"/>
      </w:pPr>
      <w:r>
        <w:t xml:space="preserve">W zakresie obowiązku traktatowego: stwierdzić, że zobowiązanie do udziału upoważnionych przedstawicieli w podejmowaniu decyzji oznacza współdecydowanie — obecność w procesie z realną możliwością wpływu na treść rozstrzygnięcia i obowiązek podjęcia w dobrej wierze próby osiągnięcia porozumienia — bez prawa weta. Nakazać Restovii wykazanie, w jaki sposób stanowiska przedstawicieli zostały uwzględnione w decyzji o wyborze wariantu; przy braku takiego wykazania stwierdzić naruszenie i nakazać powtórzenie etapu decyzyjnego z udziałem przedstawicieli, obejmującym także przedstawicieli Pilemon zamieszkujących poza Restovią, o ile stanowią część tej samej społeczności.</w:t>
      </w:r>
    </w:p>
    <w:p>
      <w:pPr>
        <w:pStyle w:val="BodyText"/>
      </w:pPr>
      <w:r>
        <w:t xml:space="preserve">W zakresie standardu zgody: przy powoływaniu deklaracji ONZ opierać rozstrzygnięcie na art. 32 ust. 2 jako przepisie właściwym dla projektów dotyczących zasobów mineralnych, a nie na art. 19, i odnotować, że w tej jednostce element uprzedniości zgody nie występuje. Instrument oznaczyć jako niewiążący, o mocy interpretacyjnej działającej przez art. 31 ust. 3 lit. c KWPT.</w:t>
      </w:r>
    </w:p>
    <w:p>
      <w:pPr>
        <w:pStyle w:val="BodyText"/>
      </w:pPr>
      <w:r>
        <w:t xml:space="preserve">W zakresie środków dla ludności: jeżeli konwencja MOP nr 169 wiąże, zasądzić dwa świadczenia wynikające wprost z art. 15 ust. 2, a nie tylko stwierdzić wadliwość procedury — udział w korzyściach z eksploatacji, gdziekolwiek jest to możliwe, oraz słuszne odszkodowanie za szkody poniesione w wyniku działalności, w tym za naruszenie strefy sakralnej. Jeżeli konwencja nie wiąże, wskazać, że ten sam rezultat wymaga podstawy w umowie dwustronnej albo w zobowiązaniu przyjętym przez Restovię jednostronnie, i że w braku takiej podstawy roszczenie o udział w korzyściach nie ma tytułu.</w:t>
      </w:r>
    </w:p>
    <w:p>
      <w:pPr>
        <w:pStyle w:val="BodyText"/>
      </w:pPr>
      <w:r>
        <w:t xml:space="preserve">W zakresie bojkotu Sollanii: oddalić zarzut Alekostrii oparty na nieuwzględnieniu stanowiska przedstawicieli z Sollanii jako naruszeniu umowy dwustronnej — państwo trzecie nie czerpie z niej praw (art. 34 KWPT). Zamiast pozostawić tę oś bez środka, uwzględnić ten sam materiał w ramach zarzutu reprezentatywności, gdzie ma podstawę i gdzie prowadzi do środka naprawczego opisanego wyżej.</w:t>
      </w:r>
    </w:p>
    <w:p>
      <w:pPr>
        <w:pStyle w:val="BodyText"/>
      </w:pPr>
      <w:r>
        <w:t xml:space="preserve">W zakresie atrybucji: przypisać Alekostrii decyzję o wejściu NEXCA w projekt i o jego kontynuowaniu (art. 8 artykułów KPM — zgoda polityczna jako polecenie co do tego zachowania). Co do zjazdu pojazdu wydać rozstrzygnięcie warunkowe zamiast odmowy przypisania: jeżeli NEXCA ma status organu w prawie Alekostrii (art. 4 ust. 2) albo jest upoważniona do wykonywania elementów władzy publicznej i działała w tym charakterze (art. 5) — zachowanie przypisuje się Alekostrii, przy czym odstępstwo od wyznaczonej trasy atrybucji nie przerywa (art. 7); jeżeli żadna z tych przesłanek nie jest spełniona — zachowania nie przypisywać, przy jednoczesnym wyraźnym wskazaniu, że nieprzypisanie nie jest oddaleniem roszczenia o szkodę, lecz przeniesieniem go na tytuł należytej staranności. Odnotować, że art. 11 nie ma zastosowania wobec braku aktu uznania.</w:t>
      </w:r>
    </w:p>
    <w:p>
      <w:pPr>
        <w:pStyle w:val="BodyText"/>
      </w:pPr>
      <w:r>
        <w:t xml:space="preserve">W zakresie należytej staranności: rozstrzygnięcie warunkowe. Jeżeli Alekostria i NEXCA nie przedstawią oceny ryzyka obejmującej scenariusz ingerencji w oprogramowanie oraz dowodu wdrożenia zabezpieczeń adekwatnych do stanu wiedzy, w tym wyłączenia trybu autonomicznego w strefie sakralnej — stwierdzić naruszenie obowiązku staranności, z obowiązkiem naprawienia szkody obejmującym śmierć funkcjonariusza, uszkodzenie infrastruktury i naruszenie strefy sakralnej oraz z zadośćuczynieniem w formie uznania naruszenia i formalnego wyrazu ubolewania wobec społeczności. Jeżeli dokumentacja wykaże staranność adekwatną — oddalić roszczenie odszkodowawcze za incydent, utrzymując rozstrzygnięcie o obowiązku traktatowym, które jest od niego niezależne.</w:t>
      </w:r>
    </w:p>
    <w:p>
      <w:pPr>
        <w:pStyle w:val="BodyText"/>
      </w:pPr>
      <w:r>
        <w:t xml:space="preserve">W zakresie jedności czynu: potraktować incydent jako czyn jednorazowy o trwających skutkach (art. 14 ust. 1), naruszenie strefy sakralnej — o ile stan naruszenia się utrzymuje — jako czyn ciągły (art. 14 ust. 2) z samodzielnym żądaniem zaprzestania, zaniechanie zabezpieczenia jako naruszenie zobowiązania zapobieżenia zdarzeniu (art. 14 ust. 3), a wadliwość procesu decyzyjnego wraz z kolejnymi decyzjami eksploatacyjnymi jako czyn złożony liczony od pierwszej z tych czynności (art. 15 ust. 2). Przed zastosowaniem reguł ogólnych przeprowadzić kontrolę z art. 55.</w:t>
      </w:r>
    </w:p>
    <w:p>
      <w:pPr>
        <w:pStyle w:val="BodyText"/>
      </w:pPr>
      <w:r>
        <w:t xml:space="preserve">W zakresie ekstradycji: nie rozstrzygać bez usunięcia sprzeczności w opisie. Wskazać oba warianty — przy pobycie w Alekostrii odmowa wymaga konkretyzacji zagrożonych gwarancji, przy zatrzymaniu w Restovii właściwym instrumentem jest opieka konsularna, nie żądanie wydania — i uzależnić orzeczenie od ustalenia miejsca pobytu i treści wniosku.</w:t>
      </w:r>
    </w:p>
    <w:p>
      <w:pPr>
        <w:pStyle w:val="BodyText"/>
      </w:pPr>
      <w:r>
        <w:t xml:space="preserve">Środki tymczasowe: nakazać wstrzymanie robót wyłącznie w strefie sakralnej do czasu zakończenia powtórzonego etapu decyzyjnego. Wstrzymanie całego projektu byłoby środkiem nieproporcjonalnym wobec naruszenia dotyczącego procedury, a nie samej dopuszczalności wydobycia.</w:t>
      </w:r>
    </w:p>
    <w:bookmarkEnd w:id="49"/>
    <w:bookmarkStart w:id="50" w:name="bramka-środka-naprawczego-rem-gate-k-02"/>
    <w:p>
      <w:pPr>
        <w:pStyle w:val="Heading2"/>
      </w:pPr>
      <w:r>
        <w:t xml:space="preserve">Bramka środka naprawczego (REM-GATE) — K-02</w:t>
      </w:r>
    </w:p>
    <w:p>
      <w:pPr>
        <w:pStyle w:val="FirstParagraph"/>
      </w:pPr>
      <w:r>
        <w:t xml:space="preserve">REM-0 próby: 5 powołań kandydujących do znacznika, 5 prób dwukanałowych, 5 odzyskanych, 0 porażek. Odzyskanie istotne: artykuły Komisji Prawa Międzynarodowego pobrano z</w:t>
      </w:r>
      <w:r>
        <w:t xml:space="preserve"> </w:t>
      </w:r>
      <w:r>
        <w:rPr>
          <w:rStyle w:val="VerbatimChar"/>
        </w:rPr>
        <w:t xml:space="preserve">legal.un.org</w:t>
      </w:r>
      <w:r>
        <w:t xml:space="preserve"> </w:t>
      </w:r>
      <w:r>
        <w:t xml:space="preserve">przez curl (HTTP 200, pełny tekst PDF, RZĄD 1), mimo że wcześniej w tej samej sesji ta domena zwracała HTTP 503 dla trzech żądań, w tym dla korzenia hosta. Porażka była więc czasowa, nie strukturalna — i gdyby znacznik nadano po pierwszej serii prób, byłby nadany bezpodstawnie. Ponowienie po odstępie czasu należy traktować jako element próby dwukanałowej, nie jako jej uzupełnienie.</w:t>
      </w:r>
    </w:p>
    <w:p>
      <w:pPr>
        <w:pStyle w:val="BodyText"/>
      </w:pPr>
      <w:r>
        <w:t xml:space="preserve">REM-1 oddalenia: 3 oddalone (zarzut z bojkotu Sollanii oparty na umowie dwustronnej; zarzut oparty na samym podziale stanowisk wewnątrz społeczności; żądanie wstrzymania całego projektu), 3 sparowane alternatywy rozwinięte na tę samą głębokość (przeniesienie materiału na zarzut reprezentatywności; zarzut kryterium doboru elderów; wstrzymanie robót w strefie sakralnej). Sprawdzone i odrzucone tytuły atrybucji incydentu, wpisane jako lista: art. 6 (organ oddany do dyspozycji przez inne państwo — brak stanu faktycznego), art. 9 (wykonywanie elementów władzy publicznej pod nieobecność władz — brak), art. 11 (uznanie i przyjęcie za własne — brak aktu uznania).</w:t>
      </w:r>
    </w:p>
    <w:p>
      <w:pPr>
        <w:pStyle w:val="BodyText"/>
      </w:pPr>
      <w:r>
        <w:t xml:space="preserve">REM-2 braki: 13 pozycji ⬛, 13 rozstrzygnięć warunkowych, 0 blokad dopuszczalności. Pozycja o miejscu pobytu kierowniczki jest najbliższa blokadzie, ale nią nie jest: obie gałęzie są operacyjne i każda ma własną podstawę oraz własny instrument.</w:t>
      </w:r>
    </w:p>
    <w:p>
      <w:pPr>
        <w:pStyle w:val="BodyText"/>
      </w:pPr>
      <w:r>
        <w:t xml:space="preserve">REM-3 instrumenty miękkie: deklaracja ONZ o prawach ludów tubylczych — instrument niewiążący, niosący część argumentacji w zagadnieniu pierwszym; artykuły Komisji Prawa Międzynarodowego — tekst przyjęty rezolucją Zgromadzenia Ogólnego, nie traktat, choć w znacznej części odzwierciedlający zwyczaj, i niosący całość zagadnień trzeciego i piątego. Argumentacja przeprowadzona w pełnej objętości, z jawnym oznaczeniem mocy przy każdym powołaniu. Podniesienie statusu weryfikacyjnego tych artykułów z RZĘDU 2A na RZĄD 1 nie zmienia ich mocy prawnej — zmienia wyłącznie status powołania, i te dwie osie należy trzymać osobno.</w:t>
      </w:r>
    </w:p>
    <w:p>
      <w:pPr>
        <w:pStyle w:val="BodyText"/>
      </w:pPr>
      <w:r>
        <w:t xml:space="preserve">REM-4 pokrycie: charakter obowiązku udziału — PEŁNA; reprezentatywność i bojkot — PEŁNA; atrybucja — PEŁNA; należyta staranność — PEŁNA; jedność czynu — PEŁNA; ekstradycja — PEŁNA jako rozstrzygnięcie warunkowe, CIENKA co do treści gwarancji procesowych, których kazus nie opisuje; formy zadośćuczynienia i reparacji poza odszkodowaniem — CIENKA i deklaruję to wprost.</w:t>
      </w:r>
    </w:p>
    <w:bookmarkEnd w:id="50"/>
    <w:bookmarkStart w:id="51" w:name="zweryfikowane-pozycje-źródłowe-k-02"/>
    <w:p>
      <w:pPr>
        <w:pStyle w:val="Heading2"/>
      </w:pPr>
      <w:r>
        <w:t xml:space="preserve">Zweryfikowane pozycje źródłowe (K-02)</w:t>
      </w:r>
    </w:p>
    <w:p>
      <w:pPr>
        <w:pStyle w:val="FirstParagraph"/>
      </w:pPr>
      <w:r>
        <w:t xml:space="preserve">Konwencja wiedeńska o prawie traktatów z dnia 23 maja 1969 r., UNTS vol. 1155, nr I-18232 — sprawdzono art. 27, art. 28, art. 29, art. 30, art. 31 ust. 1–4, art. 32, art. 33 ust. 1–2, art. 34, art. 35, art. 36. ✅ [VER: treaties.un.org, curl 200, pełny tekst UNTS, RZĄD 1, 2026-09-06]</w:t>
      </w:r>
    </w:p>
    <w:p>
      <w:pPr>
        <w:pStyle w:val="BodyText"/>
      </w:pPr>
      <w:r>
        <w:t xml:space="preserve">Artykuły Komisji Prawa Międzynarodowego o odpowiedzialności państw za czyny międzynarodowo bezprawne (2001) — sprawdzono art. 4 ust. 1–2, art. 5, art. 6, art. 7, art. 8, art. 9, art. 11, art. 12, art. 13, art. 14 ust. 1–3, art. 15 ust. 1–2, art. 55. ✅ [VER: legal.un.org, curl 200, pełny tekst PDF, RZĄD 1, 2026-09-06] — tekst przyjęty w załączniku do rezolucji Zgromadzenia Ogólnego ONZ; nie jest traktatem, znaczna część odzwierciedla prawo zwyczajowe.</w:t>
      </w:r>
    </w:p>
    <w:p>
      <w:pPr>
        <w:pStyle w:val="BodyText"/>
      </w:pPr>
      <w:r>
        <w:t xml:space="preserve">Konwencja MOP nr 169 dotycząca ludności tubylczej i plemiennej w krajach niezależnych (1989) — sprawdzono art. 6 ust. 1 lit. a–c i ust. 2, art. 7 ust. 1, art. 15 ust. 1–2. ✅ [VER: ilo.org, curl 200, pełny tekst PDF, RZĄD 1, 2026-09-06]</w:t>
      </w:r>
    </w:p>
    <w:p>
      <w:pPr>
        <w:pStyle w:val="BodyText"/>
      </w:pPr>
      <w:r>
        <w:t xml:space="preserve">Deklaracja Narodów Zjednoczonych o prawach ludów tubylczych (2007) — sprawdzono brzmienie art. 19 oraz art. 32 ust. 1–2, w tym różnicę w formule zgody między tymi jednostkami. ✅ [VER: un.org, curl 200, pełny tekst PDF wydania ONZ, RZĄD 1, 2026-09-06] — instrument niewiążący; moc perswazyjna i interpretacyjna przez art. 31 ust. 3 lit. c KWPT.</w:t>
      </w:r>
    </w:p>
    <w:p>
      <w:pPr>
        <w:pStyle w:val="BodyText"/>
      </w:pPr>
      <w:r>
        <w:t xml:space="preserve">Nie przypisano jednostkom redakcyjnym i przedstawiono jako standard doktrynalny: standard kontroli przy atrybucji na podstawie art. 8 artykułów KPM (kontrola efektywna a kontrola ogólna) i orzecznictwo Międzynarodowego Trybunału Sprawiedliwości w tym zakresie; treść obowiązku należytej staranności wobec działalności prowadzonej na terytorium i wobec systemów zautomatyzowanych; zasady dotyczące braku ogólnego obowiązku ekstradycyjnego poza traktatem; obowiązki konsularne wobec zatrzymanego obywatela; stanowisko organów nadzorczych MOP o braku prawa weta i o niewystarczalności spotkania informacyjnego. Wymagają samodzielnego potwierdzenia w tekstach źródłowych i w orzecznictwie.</w:t>
      </w:r>
    </w:p>
    <w:bookmarkEnd w:id="51"/>
    <w:bookmarkEnd w:id="52"/>
    <w:bookmarkStart w:id="53" w:name="nota-do-partii-7-co-zmieniło-powtórzenie"/>
    <w:p>
      <w:pPr>
        <w:pStyle w:val="Heading1"/>
      </w:pPr>
      <w:r>
        <w:t xml:space="preserve">Nota do partii 7 — co zmieniło powtórzenie</w:t>
      </w:r>
    </w:p>
    <w:p>
      <w:pPr>
        <w:pStyle w:val="FirstParagraph"/>
      </w:pPr>
      <w:r>
        <w:t xml:space="preserve">Powtórne rozwiązanie tych samych dwóch kazusów, przy pełnej weryfikacji od zera, dało siedem różnic wobec partii 5. Trzy z nich zmieniają rozstrzygnięcie, dwie zmieniają uzasadnienie, dwie dotyczą statusu powołań. Wypisuję je, bo wartość ćwiczenia leży właśnie w tym rachunku.</w:t>
      </w:r>
    </w:p>
    <w:p>
      <w:pPr>
        <w:pStyle w:val="BodyText"/>
      </w:pPr>
      <w:r>
        <w:t xml:space="preserve">Zmiana rozstrzygnięcia pierwsza, K-02, atrybucja incydentu. Partia 5 nie przypisała Alekostrii zjazdu pojazdu, stwierdzając, że art. 5, 8 i 11 nie są spełnione przy obecnym materiale. Zamiatanie katalogu było niepełne: pominięto art. 7, według którego przekroczenie uprawnień lub działanie wbrew instrukcjom nie przerywa atrybucji, oraz art. 4 ust. 2, który wiąże status organu z prawem wewnętrznym. Skutek: wynik zmienia się z „NIE” na ⬛ z rozstrzygnięciem warunkowym, a najbardziej naturalny argument obrony — „pojazd zjechał z wyznaczonej trasy” — przestaje działać. Jest to dokładnie ten wzorzec, który zamiatanie S1 ma wychwycić: jednostka położona między dwiema, które się czyta, i pomijana dlatego, że nie tworzy samodzielnego tytułu.</w:t>
      </w:r>
    </w:p>
    <w:p>
      <w:pPr>
        <w:pStyle w:val="BodyText"/>
      </w:pPr>
      <w:r>
        <w:t xml:space="preserve">Zmiana rozstrzygnięcia druga, K-01, ochrona zaufania. Partia 5 opierała tę oś wyłącznie na orzecznictwie, przedstawiając ochronę zaufania jako konstrukcję prawa krajowego, której prawo Unii nie wyklucza. Art. 16 ust. 1 zdanie drugie rozporządzenia 2015/1589 zawiera samodzielny zakaz żądania windykacji sprzecznej z ogólną zasadą prawa Unii. Zmienia to ciężar wywodu i dodaje argument a fortiori wobec państwa działającego bez decyzji Komisji.</w:t>
      </w:r>
    </w:p>
    <w:p>
      <w:pPr>
        <w:pStyle w:val="BodyText"/>
      </w:pPr>
      <w:r>
        <w:t xml:space="preserve">Zmiana rozstrzygnięcia trzecia, K-02, środek dla ludności. Partia 5 powołała art. 15 ust. 2 konwencji MOP nr 169 wyłącznie w części dotyczącej konsultacji i skonstruowała środek naprawczy jako powtórzenie etapu decyzyjnego. Pełny odczyt tej jednostki ujawnia dwa dalsze elementy — udział w korzyściach i słuszne odszkodowanie za szkody — które są środkami materialnymi, a nie proceduralnymi, i które REM-1 nakazywał skonstruować.</w:t>
      </w:r>
    </w:p>
    <w:p>
      <w:pPr>
        <w:pStyle w:val="BodyText"/>
      </w:pPr>
      <w:r>
        <w:t xml:space="preserve">Zmiana uzasadnienia pierwsza, K-01, test momentu przyznania pomocy. Partia 5 mówiła ogólnie, że pomoc ocenia się według chwili przyznania. Odczyt C-638/19 P daje test operacyjny — nabycie pewnego prawa i odpowiadające mu zobowiązanie państwa — który odpowiada jednocześnie na pytanie o charakter certyfikatów imiennych i na pytanie o bieg przedawnienia z art. 17 rozporządzenia. Ten sam odczyt ujawnia pkt 17 wyroku C-5/89, którego partia 5 nie odnotowała, a który zamyka Solarii drogę powoływania się na oczekiwania beneficjentów z chwilą wydania decyzji przez Komisję.</w:t>
      </w:r>
    </w:p>
    <w:p>
      <w:pPr>
        <w:pStyle w:val="BodyText"/>
      </w:pPr>
      <w:r>
        <w:t xml:space="preserve">Zmiana uzasadnienia druga, K-01, cena zawieszenia wykonania. Art. 27 ust. 1 konwencji waszyngtońskiej wyłącza ochronę dyplomatyczną w sporze poddanym arbitrażowi, ale wyłączenie odpada, gdy państwo nie zastosuje się do wyroku. Zawieszenie wykonania — zalecane w partii 5 bez zastrzeżeń — ma zatem cenę, którą trzeba policzyć przy projektowaniu kolejności postępowań.</w:t>
      </w:r>
    </w:p>
    <w:p>
      <w:pPr>
        <w:pStyle w:val="BodyText"/>
      </w:pPr>
      <w:r>
        <w:t xml:space="preserve">Sprostowanie powołania, K-01. Partia 5 przedstawiła wyrok C-741/19 jako rozstrzygnięcie o braku możliwości stosowania art. 26 Traktatu karty energetycznej między państwami członkowskimi. Sentencja dotyczy pojęcia „inwestycji” z art. 1 pkt 6 tego traktatu; teza o zakresie wewnątrzunijnym występuje w opisie przedmiotu sprawy i w uzasadnieniu. Wynik sprawy się nie zmienia, bo wyrok i tak nie jest podstawą właściwą przy umowie z państwem trzecim — zmienia się to, czy powołanie wytrzyma kontrolę przeciwnika.</w:t>
      </w:r>
    </w:p>
    <w:p>
      <w:pPr>
        <w:pStyle w:val="BodyText"/>
      </w:pPr>
      <w:r>
        <w:t xml:space="preserve">Zmiana statusu źródeł. Artykuły Komisji Prawa Międzynarodowego, oznaczone w partii 5 jako RZĄD 2A po udokumentowanej porażce sześciu prób w trzech domenach, pobrano tym razem z</w:t>
      </w:r>
      <w:r>
        <w:t xml:space="preserve"> </w:t>
      </w:r>
      <w:r>
        <w:rPr>
          <w:rStyle w:val="VerbatimChar"/>
        </w:rPr>
        <w:t xml:space="preserve">legal.un.org</w:t>
      </w:r>
      <w:r>
        <w:t xml:space="preserve"> </w:t>
      </w:r>
      <w:r>
        <w:t xml:space="preserve">przez curl w pełnym tekście. Wcześniej w tej samej sesji ta sama domena zwracała HTTP 503 dla trzech żądań. Wniosek metodyczny jest niewygodny i dlatego wart zapisania: porażka dwukanałowa w jednym momencie nie dowodzi niedostępności źródła, a REM-0 wymaga ponowienia po odstępie czasu, zanim znacznik zostanie nadany na stałe. Symetrycznie w drugą stronę:</w:t>
      </w:r>
      <w:r>
        <w:t xml:space="preserve"> </w:t>
      </w:r>
      <w:r>
        <w:rPr>
          <w:rStyle w:val="VerbatimChar"/>
        </w:rPr>
        <w:t xml:space="preserve">eur-lex.europa.eu</w:t>
      </w:r>
      <w:r>
        <w:t xml:space="preserve">, opisany w tabeli kanałów jako działający przez curl, zwrócił tym razem stronę zapory aplikacyjnej z kodem 202 — kanał zastąpiono Cellarem Urzędu Publikacji UE, tym samym publikatorem, z zachowaniem RZĘDU 1. Obie obserwacje potwierdzają regułę, że tabela kanałów jest punktem startu pomiaru, a nie jego substytutem.</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2026-09-07T06:00:11Z</dcterms:created>
  <dcterms:modified xsi:type="dcterms:W3CDTF">2026-09-07T06:00:11Z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7: K-01 – K-02 (powtórne rozwiązanie)</vt:lpwstr>
  </property>
</Properties>
</file>