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grupa-f-prawo-cywilne-karno-skarbowe"/>
    <w:p>
      <w:pPr>
        <w:pStyle w:val="Heading1"/>
      </w:pPr>
      <w:r>
        <w:t xml:space="preserve">GRUPA F — PRAWO CYWILNE + KARNO-SKARBOWE</w:t>
      </w:r>
    </w:p>
    <w:p>
      <w:pPr>
        <w:pStyle w:val="FirstParagraph"/>
      </w:pPr>
      <w:r>
        <w:rPr>
          <w:bCs/>
          <w:b/>
        </w:rPr>
        <w:t xml:space="preserve">Model:</w:t>
      </w:r>
      <w:r>
        <w:t xml:space="preserve"> </w:t>
      </w:r>
      <w:r>
        <w:t xml:space="preserve">Claude Haiku 4.5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2 września 2026</w:t>
      </w:r>
      <w:r>
        <w:br/>
      </w:r>
      <w:r>
        <w:rPr>
          <w:bCs/>
          <w:b/>
        </w:rPr>
        <w:t xml:space="preserve">Kazusy:</w:t>
      </w:r>
      <w:r>
        <w:t xml:space="preserve"> </w:t>
      </w:r>
      <w:r>
        <w:t xml:space="preserve">PL-03 (Fundacja po śmierci) | PL-06 (Karuzela VAT)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Start w:id="25" w:name="pl-03-fundacja-po-śmierci-fundatora"/>
    <w:p>
      <w:pPr>
        <w:pStyle w:val="Heading2"/>
      </w:pPr>
      <w:r>
        <w:t xml:space="preserve">PL-03: FUNDACJA PO ŚMIERCI FUNDATORA</w:t>
      </w:r>
    </w:p>
    <w:bookmarkStart w:id="20" w:name="i.-teza-wstępna"/>
    <w:p>
      <w:pPr>
        <w:pStyle w:val="Heading3"/>
      </w:pPr>
      <w:r>
        <w:t xml:space="preserve">I. TEZA WSTĘPNA</w:t>
      </w:r>
    </w:p>
    <w:p>
      <w:pPr>
        <w:pStyle w:val="FirstParagraph"/>
      </w:pPr>
      <w:r>
        <w:t xml:space="preserve">Jan utworzył fundację rodzinną z aktywy pochodzącymi częściowo z majątku wspólnego żony. Żona kwestionuje transfery; dzieci żądają zachowku; wierzyciele szukają majątku do egzekucji. Fundacja wypłaca świadczenia oraz planuje transakcję powiązaną (sprzedaż nieruchomości). Sąd musi rozdzielić: sukcesję, majątek wspólny, wierzytelności, podatki.</w:t>
      </w:r>
    </w:p>
    <w:bookmarkEnd w:id="20"/>
    <w:bookmarkStart w:id="21" w:name="ii.-zagadnienia"/>
    <w:p>
      <w:pPr>
        <w:pStyle w:val="Heading3"/>
      </w:pPr>
      <w:r>
        <w:t xml:space="preserve">II. ZAGADNIENIA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Majątek wspólny żony</w:t>
      </w:r>
      <w:r>
        <w:t xml:space="preserve"> </w:t>
      </w:r>
      <w:r>
        <w:t xml:space="preserve">— czy połowa transferów powinna przypadać żonie?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Zachowek dzieci</w:t>
      </w:r>
      <w:r>
        <w:t xml:space="preserve"> </w:t>
      </w:r>
      <w:r>
        <w:t xml:space="preserve">— czy fundacja ogranicza roszczenia?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Transfery za życia</w:t>
      </w:r>
      <w:r>
        <w:t xml:space="preserve"> </w:t>
      </w:r>
      <w:r>
        <w:t xml:space="preserve">— czy były ważne, czy możliwe do podważenia?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Odpowiedzialność fundacji wobec wierzycieli</w:t>
      </w:r>
      <w:r>
        <w:t xml:space="preserve"> </w:t>
      </w:r>
      <w:r>
        <w:t xml:space="preserve">— czy można siegnąć majątek fundacji?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Konflikt interesów w zarządzie</w:t>
      </w:r>
      <w:r>
        <w:t xml:space="preserve"> </w:t>
      </w:r>
      <w:r>
        <w:t xml:space="preserve">— czy córka może decydować o sobie?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Transakcja powiązana</w:t>
      </w:r>
      <w:r>
        <w:t xml:space="preserve"> </w:t>
      </w:r>
      <w:r>
        <w:t xml:space="preserve">— czy nieruchomość sprzedawana za niedochodową cenę?</w:t>
      </w:r>
    </w:p>
    <w:bookmarkEnd w:id="21"/>
    <w:bookmarkStart w:id="22" w:name="iii.-analiza"/>
    <w:p>
      <w:pPr>
        <w:pStyle w:val="Heading3"/>
      </w:pPr>
      <w:r>
        <w:t xml:space="preserve">III. ANALIZA</w:t>
      </w:r>
    </w:p>
    <w:p>
      <w:pPr>
        <w:pStyle w:val="FirstParagraph"/>
      </w:pPr>
      <w:r>
        <w:rPr>
          <w:bCs/>
          <w:b/>
        </w:rPr>
        <w:t xml:space="preserve">A. Majątek wspólny (KC art. 33–36)</w:t>
      </w:r>
    </w:p>
    <w:p>
      <w:pPr>
        <w:pStyle w:val="BodyText"/>
      </w:pPr>
      <w:r>
        <w:t xml:space="preserve">Jeśli akcje i nieruchomości pochodziły z majątku wspólnego, a Jan transferował je bez zgody żony:</w:t>
      </w:r>
      <w:r>
        <w:t xml:space="preserve"> </w:t>
      </w:r>
      <w:r>
        <w:t xml:space="preserve">- Żona ma prawo do połowy wartości (art. 36 § 1 KC)</w:t>
      </w:r>
      <w:r>
        <w:t xml:space="preserve"> </w:t>
      </w:r>
      <w:r>
        <w:t xml:space="preserve">- Transfer bez zgody = bezskuteczny lub podlegał restytucji</w:t>
      </w:r>
      <w:r>
        <w:t xml:space="preserve"> </w:t>
      </w:r>
      <w:r>
        <w:t xml:space="preserve">- Żona może żądać wyrównania</w:t>
      </w:r>
    </w:p>
    <w:p>
      <w:pPr>
        <w:pStyle w:val="BodyText"/>
      </w:pPr>
      <w:r>
        <w:rPr>
          <w:bCs/>
          <w:b/>
        </w:rPr>
        <w:t xml:space="preserve">B. Zachowek (KC art. 991–1008)</w:t>
      </w:r>
    </w:p>
    <w:p>
      <w:pPr>
        <w:pStyle w:val="BodyText"/>
      </w:pPr>
      <w:r>
        <w:t xml:space="preserve">Dzieci mają prawo do minimum 1/2 wartości majątku (jeśli Jan miał 1–2 dzieci) lub 1/3 (jeśli 3+).</w:t>
      </w:r>
    </w:p>
    <w:p>
      <w:pPr>
        <w:pStyle w:val="BodyText"/>
      </w:pPr>
      <w:r>
        <w:t xml:space="preserve">Fundacja nie wyłącza zachowku, ale może zmniejszyć część dostępną dzieciom poprzez świadczenia fundacyjne. Wezwanie do naliczenia: jakie świadczenia fundacyjne już otrzymały? Czy są wystarczające?</w:t>
      </w:r>
    </w:p>
    <w:p>
      <w:pPr>
        <w:pStyle w:val="BodyText"/>
      </w:pPr>
      <w:r>
        <w:rPr>
          <w:bCs/>
          <w:b/>
        </w:rPr>
        <w:t xml:space="preserve">C. Wierzyciele (UPR art. 15–19)</w:t>
      </w:r>
    </w:p>
    <w:p>
      <w:pPr>
        <w:pStyle w:val="BodyText"/>
      </w:pPr>
      <w:r>
        <w:t xml:space="preserve">Wierzyciele Jana mogą:</w:t>
      </w:r>
      <w:r>
        <w:t xml:space="preserve"> </w:t>
      </w:r>
      <w:r>
        <w:t xml:space="preserve">- Żądać egzekucji z majątku fundacji, jeśli transfer był zaciemnieniem (art. 15 UPR)</w:t>
      </w:r>
      <w:r>
        <w:t xml:space="preserve"> </w:t>
      </w:r>
      <w:r>
        <w:t xml:space="preserve">- Podważyć transfer jako bezprawny (prawie zawsze niedługo po śmierci)</w:t>
      </w:r>
      <w:r>
        <w:t xml:space="preserve"> </w:t>
      </w:r>
      <w:r>
        <w:t xml:space="preserve">- Jeśli rodzina Jan jest beneficjentem — może być ustawą</w:t>
      </w:r>
    </w:p>
    <w:p>
      <w:pPr>
        <w:pStyle w:val="BodyText"/>
      </w:pPr>
      <w:r>
        <w:rPr>
          <w:bCs/>
          <w:b/>
        </w:rPr>
        <w:t xml:space="preserve">D. Transakcja powiązana (KC art. 72)</w:t>
      </w:r>
    </w:p>
    <w:p>
      <w:pPr>
        <w:pStyle w:val="BodyText"/>
      </w:pPr>
      <w:r>
        <w:t xml:space="preserve">Jeśli nieruchomość sprzedawana za 60% wartości rynkowej podmiotowi powiązanemu:</w:t>
      </w:r>
      <w:r>
        <w:t xml:space="preserve"> </w:t>
      </w:r>
      <w:r>
        <w:t xml:space="preserve">- Byłaby nienormalna (art. 72 KC — zasada ostrożnego gospodarza)</w:t>
      </w:r>
      <w:r>
        <w:t xml:space="preserve"> </w:t>
      </w:r>
      <w:r>
        <w:t xml:space="preserve">- Beneficjenci mogą przeznaczyć decyzje jako defraudacyjne</w:t>
      </w:r>
      <w:r>
        <w:t xml:space="preserve"> </w:t>
      </w:r>
      <w:r>
        <w:t xml:space="preserve">- Wierzyciele mogą kwestionować</w:t>
      </w:r>
    </w:p>
    <w:bookmarkEnd w:id="22"/>
    <w:bookmarkStart w:id="23" w:name="iv.-braki-faktyczne"/>
    <w:p>
      <w:pPr>
        <w:pStyle w:val="Heading3"/>
      </w:pPr>
      <w:r>
        <w:t xml:space="preserve">IV. BRAKI FAKTYCZNE</w:t>
      </w:r>
    </w:p>
    <w:p>
      <w:pPr>
        <w:numPr>
          <w:ilvl w:val="0"/>
          <w:numId w:val="1002"/>
        </w:numPr>
        <w:pStyle w:val="Compact"/>
      </w:pPr>
      <w:r>
        <w:t xml:space="preserve">Pochodzenie każdego aktywa (data nabycia, czy wspólne czy osobiste Jana)?</w:t>
      </w:r>
    </w:p>
    <w:p>
      <w:pPr>
        <w:numPr>
          <w:ilvl w:val="0"/>
          <w:numId w:val="1002"/>
        </w:numPr>
        <w:pStyle w:val="Compact"/>
      </w:pPr>
      <w:r>
        <w:t xml:space="preserve">Ceny transferu — aktualne wyceny vs. ceny faktyczne?</w:t>
      </w:r>
    </w:p>
    <w:p>
      <w:pPr>
        <w:numPr>
          <w:ilvl w:val="0"/>
          <w:numId w:val="1002"/>
        </w:numPr>
        <w:pStyle w:val="Compact"/>
      </w:pPr>
      <w:r>
        <w:t xml:space="preserve">Ile beneficjenci fundacji już otrzymali?</w:t>
      </w:r>
    </w:p>
    <w:p>
      <w:pPr>
        <w:numPr>
          <w:ilvl w:val="0"/>
          <w:numId w:val="1002"/>
        </w:numPr>
        <w:pStyle w:val="Compact"/>
      </w:pPr>
      <w:r>
        <w:t xml:space="preserve">Konflikt interesów w zarządzie — czy córka głosuje nad swoimi świadczeniami?</w:t>
      </w:r>
    </w:p>
    <w:p>
      <w:pPr>
        <w:numPr>
          <w:ilvl w:val="0"/>
          <w:numId w:val="1002"/>
        </w:numPr>
        <w:pStyle w:val="Compact"/>
      </w:pPr>
      <w:r>
        <w:t xml:space="preserve">Czy transfery były udokumentowane umową czy faktycznie przekazane?</w:t>
      </w:r>
    </w:p>
    <w:bookmarkEnd w:id="23"/>
    <w:bookmarkStart w:id="24" w:name="v.-rozstrzygnięcie"/>
    <w:p>
      <w:pPr>
        <w:pStyle w:val="Heading3"/>
      </w:pPr>
      <w:r>
        <w:t xml:space="preserve">V. ROZSTRZYGNIĘCIE</w:t>
      </w:r>
    </w:p>
    <w:p>
      <w:pPr>
        <w:pStyle w:val="FirstParagraph"/>
      </w:pPr>
      <w:r>
        <w:rPr>
          <w:bCs/>
          <w:b/>
        </w:rPr>
        <w:t xml:space="preserve">Szanse:</w:t>
      </w:r>
      <w:r>
        <w:t xml:space="preserve"> </w:t>
      </w:r>
      <w:r>
        <w:t xml:space="preserve">- Żona: 70–75% na zwrot połowy majątku wspólnego</w:t>
      </w:r>
      <w:r>
        <w:t xml:space="preserve"> </w:t>
      </w:r>
      <w:r>
        <w:t xml:space="preserve">- Dzieci: 60–65% na minimum zachowku</w:t>
      </w:r>
      <w:r>
        <w:t xml:space="preserve"> </w:t>
      </w:r>
      <w:r>
        <w:t xml:space="preserve">- Wierzyciele: 50–60% na egzekucję części majątku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bbf03a33c818f6d316ce00251573649075e105d"/>
    <w:p>
      <w:pPr>
        <w:pStyle w:val="Heading2"/>
      </w:pPr>
      <w:r>
        <w:t xml:space="preserve">PL-06: KARUZELA, FAKTORING I MILCZĄCY ZARZĄD</w:t>
      </w:r>
    </w:p>
    <w:bookmarkStart w:id="26" w:name="i.-teza-wstępna-1"/>
    <w:p>
      <w:pPr>
        <w:pStyle w:val="Heading3"/>
      </w:pPr>
      <w:r>
        <w:t xml:space="preserve">I. TEZA WSTĘPNA</w:t>
      </w:r>
    </w:p>
    <w:p>
      <w:pPr>
        <w:pStyle w:val="FirstParagraph"/>
      </w:pPr>
      <w:r>
        <w:t xml:space="preserve">Electra S.A. kupuje procesory od nowych dostawców i odsprzedaje w Unii. Handel rośnie szybko; dokumenty transportowe powtarzają się; dyrektor finansowy sygnalizuje niepokój. Prezes nie reaguje. Bank zamyka alerty AML; prokuratura wszczyna śledztwo. Spółka traci płynność. Pracodawca odpowiada za brak compliance; prokuratura śledzi karuzele VAT i MONNACAGE.</w:t>
      </w:r>
    </w:p>
    <w:bookmarkEnd w:id="26"/>
    <w:bookmarkStart w:id="27" w:name="ii.-zagadnienia-prawo-karne-skarbowe"/>
    <w:p>
      <w:pPr>
        <w:pStyle w:val="Heading3"/>
      </w:pPr>
      <w:r>
        <w:t xml:space="preserve">II. ZAGADNIENIA (Prawo karne skarbowe)</w:t>
      </w:r>
    </w:p>
    <w:p>
      <w:pPr>
        <w:pStyle w:val="FirstParagraph"/>
      </w:pPr>
      <w:r>
        <w:rPr>
          <w:bCs/>
          <w:b/>
        </w:rPr>
        <w:t xml:space="preserve">A. Ucieczka VAT (KKS art. 86)</w:t>
      </w:r>
    </w:p>
    <w:p>
      <w:pPr>
        <w:pStyle w:val="BodyText"/>
      </w:pPr>
      <w:r>
        <w:t xml:space="preserve">Proceder: nowe dostawcy (często w UE), szybkie transakcje, słabe ślady.</w:t>
      </w:r>
    </w:p>
    <w:p>
      <w:pPr>
        <w:numPr>
          <w:ilvl w:val="0"/>
          <w:numId w:val="1003"/>
        </w:numPr>
        <w:pStyle w:val="Compact"/>
      </w:pPr>
      <w:r>
        <w:t xml:space="preserve">Czy to karuzela VAT? (odliczenia bez rzeczywistych dostaw)</w:t>
      </w:r>
    </w:p>
    <w:p>
      <w:pPr>
        <w:numPr>
          <w:ilvl w:val="0"/>
          <w:numId w:val="1003"/>
        </w:numPr>
        <w:pStyle w:val="Compact"/>
      </w:pPr>
      <w:r>
        <w:t xml:space="preserve">Czy pracodawca wiedział? (świadomość = wina)</w:t>
      </w:r>
    </w:p>
    <w:p>
      <w:pPr>
        <w:numPr>
          <w:ilvl w:val="0"/>
          <w:numId w:val="1003"/>
        </w:numPr>
        <w:pStyle w:val="Compact"/>
      </w:pPr>
      <w:r>
        <w:t xml:space="preserve">Czy był bierny (art. 86 KKS — zaniedbanie)</w:t>
      </w:r>
    </w:p>
    <w:p>
      <w:pPr>
        <w:pStyle w:val="FirstParagraph"/>
      </w:pPr>
      <w:r>
        <w:rPr>
          <w:bCs/>
          <w:b/>
        </w:rPr>
        <w:t xml:space="preserve">B. Pranie pieniędzy (AML)</w:t>
      </w:r>
    </w:p>
    <w:p>
      <w:pPr>
        <w:pStyle w:val="BodyText"/>
      </w:pPr>
      <w:r>
        <w:t xml:space="preserve">Faktor wymienił alertu po wyjaśnieniu, ale potem zgłasza zawiadomienie. Pytanie: czy Electra celowo ukrywała źródło?</w:t>
      </w:r>
    </w:p>
    <w:p>
      <w:pPr>
        <w:pStyle w:val="BodyText"/>
      </w:pPr>
      <w:r>
        <w:rPr>
          <w:bCs/>
          <w:b/>
        </w:rPr>
        <w:t xml:space="preserve">C. Pozbywanie się dowodów (KK art. 278)</w:t>
      </w:r>
    </w:p>
    <w:p>
      <w:pPr>
        <w:pStyle w:val="BodyText"/>
      </w:pPr>
      <w:r>
        <w:t xml:space="preserve">Prokuratura zabezpieczyła pocztę. Część wiadomości usunięto automatycznie → pracodawca nie niszczył świadomie, ale retencja 30 dni jest stosunkowo krótka.</w:t>
      </w:r>
    </w:p>
    <w:bookmarkEnd w:id="27"/>
    <w:bookmarkStart w:id="28" w:name="iii.-kwalifikacja-karnomaterialna"/>
    <w:p>
      <w:pPr>
        <w:pStyle w:val="Heading3"/>
      </w:pPr>
      <w:r>
        <w:t xml:space="preserve">III. KWALIFIKACJA KARNOMATERIALNA</w:t>
      </w:r>
    </w:p>
    <w:p>
      <w:pPr>
        <w:pStyle w:val="FirstParagraph"/>
      </w:pPr>
      <w:r>
        <w:rPr>
          <w:bCs/>
          <w:b/>
        </w:rPr>
        <w:t xml:space="preserve">Osób mogą być pociągnięte do odpowiedzialności: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Prezes</w:t>
      </w:r>
      <w:r>
        <w:t xml:space="preserve"> </w:t>
      </w:r>
      <w:r>
        <w:t xml:space="preserve">— art. 86 KKS (VAT) + art. 160 KC (defraudacja)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Dyrektor finansowy</w:t>
      </w:r>
      <w:r>
        <w:t xml:space="preserve"> </w:t>
      </w:r>
      <w:r>
        <w:t xml:space="preserve">— art. 86 KKS (jeśli wiedział i nie zgłosił; teraz współpraca = świadek lub umowa na korzyść)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Bank i faktor</w:t>
      </w:r>
      <w:r>
        <w:t xml:space="preserve"> </w:t>
      </w:r>
      <w:r>
        <w:t xml:space="preserve">— mogą być odpowiedzialni za niedostateczną diligencję (AML)</w:t>
      </w:r>
    </w:p>
    <w:bookmarkEnd w:id="28"/>
    <w:bookmarkStart w:id="29" w:name="iv.-przesłanki-art.-86-kks"/>
    <w:p>
      <w:pPr>
        <w:pStyle w:val="Heading3"/>
      </w:pPr>
      <w:r>
        <w:t xml:space="preserve">IV. PRZESŁANKI ART. 86 KKS</w:t>
      </w:r>
    </w:p>
    <w:p>
      <w:pPr>
        <w:numPr>
          <w:ilvl w:val="0"/>
          <w:numId w:val="1005"/>
        </w:numPr>
        <w:pStyle w:val="Compact"/>
      </w:pPr>
      <w:r>
        <w:t xml:space="preserve">Dostawa nie została faktycznie dokonana LUB</w:t>
      </w:r>
    </w:p>
    <w:p>
      <w:pPr>
        <w:numPr>
          <w:ilvl w:val="0"/>
          <w:numId w:val="1005"/>
        </w:numPr>
        <w:pStyle w:val="Compact"/>
      </w:pPr>
      <w:r>
        <w:t xml:space="preserve">Dostawca nie istniał / był osobą słupem LUB</w:t>
      </w:r>
    </w:p>
    <w:p>
      <w:pPr>
        <w:numPr>
          <w:ilvl w:val="0"/>
          <w:numId w:val="1005"/>
        </w:numPr>
        <w:pStyle w:val="Compact"/>
      </w:pPr>
      <w:r>
        <w:t xml:space="preserve">Dokument transportowy był sfałszowany</w:t>
      </w:r>
    </w:p>
    <w:p>
      <w:pPr>
        <w:pStyle w:val="FirstParagraph"/>
      </w:pPr>
      <w:r>
        <w:t xml:space="preserve">W kazusie: czerwone flagi — nowe dostawcy, powtarzające się numery transportu, brak magazynu. To sugeruje karuzelę.</w:t>
      </w:r>
    </w:p>
    <w:bookmarkEnd w:id="29"/>
    <w:bookmarkStart w:id="30" w:name="v.-braki-faktyczne"/>
    <w:p>
      <w:pPr>
        <w:pStyle w:val="Heading3"/>
      </w:pPr>
      <w:r>
        <w:t xml:space="preserve">V. BRAKI FAKTYCZNE</w:t>
      </w:r>
    </w:p>
    <w:p>
      <w:pPr>
        <w:numPr>
          <w:ilvl w:val="0"/>
          <w:numId w:val="1006"/>
        </w:numPr>
        <w:pStyle w:val="Compact"/>
      </w:pPr>
      <w:r>
        <w:t xml:space="preserve">Czy przeprowadzono audyt u dostawców? (fizykalne? sprawdzenie)</w:t>
      </w:r>
    </w:p>
    <w:p>
      <w:pPr>
        <w:numPr>
          <w:ilvl w:val="0"/>
          <w:numId w:val="1006"/>
        </w:numPr>
        <w:pStyle w:val="Compact"/>
      </w:pPr>
      <w:r>
        <w:t xml:space="preserve">Jakie faktury FV wystawił dostawca vs. rzeczywiste dostawy?</w:t>
      </w:r>
    </w:p>
    <w:p>
      <w:pPr>
        <w:numPr>
          <w:ilvl w:val="0"/>
          <w:numId w:val="1006"/>
        </w:numPr>
        <w:pStyle w:val="Compact"/>
      </w:pPr>
      <w:r>
        <w:t xml:space="preserve">Umowy z bankiem i faktorem — jakie klauzule AML?</w:t>
      </w:r>
    </w:p>
    <w:p>
      <w:pPr>
        <w:numPr>
          <w:ilvl w:val="0"/>
          <w:numId w:val="1006"/>
        </w:numPr>
        <w:pStyle w:val="Compact"/>
      </w:pPr>
      <w:r>
        <w:t xml:space="preserve">Wiadomości e-mail — co dokładnie usunęło (daty, nadawcy)?</w:t>
      </w:r>
    </w:p>
    <w:p>
      <w:pPr>
        <w:numPr>
          <w:ilvl w:val="0"/>
          <w:numId w:val="1006"/>
        </w:numPr>
        <w:pStyle w:val="Compact"/>
      </w:pPr>
      <w:r>
        <w:t xml:space="preserve">Opinie eksperta ekonomisty — czy to karuzela czy zwykły handel?</w:t>
      </w:r>
    </w:p>
    <w:bookmarkEnd w:id="30"/>
    <w:bookmarkStart w:id="31" w:name="vi.-odpowiedzialność-cywilna"/>
    <w:p>
      <w:pPr>
        <w:pStyle w:val="Heading3"/>
      </w:pPr>
      <w:r>
        <w:t xml:space="preserve">VI. ODPOWIEDZIALNOŚĆ CYWILNA</w:t>
      </w:r>
    </w:p>
    <w:p>
      <w:pPr>
        <w:pStyle w:val="FirstParagraph"/>
      </w:pPr>
      <w:r>
        <w:rPr>
          <w:bCs/>
          <w:b/>
        </w:rPr>
        <w:t xml:space="preserve">Akcjonariusze vs. zarząd:</w:t>
      </w:r>
      <w:r>
        <w:t xml:space="preserve"> </w:t>
      </w:r>
      <w:r>
        <w:t xml:space="preserve">- Zarząd miał obowiązek kontroli (art. 196 KSH)</w:t>
      </w:r>
      <w:r>
        <w:t xml:space="preserve"> </w:t>
      </w:r>
      <w:r>
        <w:t xml:space="preserve">- Prezes ignorował ostrzeżenia = zaniedbanie</w:t>
      </w:r>
      <w:r>
        <w:t xml:space="preserve"> </w:t>
      </w:r>
      <w:r>
        <w:t xml:space="preserve">- Akcjonariusze mogą żądać odszkodowania</w:t>
      </w:r>
    </w:p>
    <w:p>
      <w:pPr>
        <w:pStyle w:val="BodyText"/>
      </w:pPr>
      <w:r>
        <w:rPr>
          <w:bCs/>
          <w:b/>
        </w:rPr>
        <w:t xml:space="preserve">Wierzyciele:</w:t>
      </w:r>
      <w:r>
        <w:t xml:space="preserve"> </w:t>
      </w:r>
      <w:r>
        <w:t xml:space="preserve">- Spółka zaciągnęła ryzyko bez odpowiednich zabezpieczeń</w:t>
      </w:r>
      <w:r>
        <w:t xml:space="preserve"> </w:t>
      </w:r>
      <w:r>
        <w:t xml:space="preserve">- Faktoring bez weryfikacji źródeł = odpowiedzialność Electry</w:t>
      </w:r>
    </w:p>
    <w:bookmarkEnd w:id="31"/>
    <w:bookmarkStart w:id="32" w:name="vii.-ocena-szans"/>
    <w:p>
      <w:pPr>
        <w:pStyle w:val="Heading3"/>
      </w:pPr>
      <w:r>
        <w:t xml:space="preserve">VII. OCENA SZANS</w:t>
      </w:r>
    </w:p>
    <w:p>
      <w:pPr>
        <w:pStyle w:val="FirstParagraph"/>
      </w:pPr>
      <w:r>
        <w:rPr>
          <w:bCs/>
          <w:b/>
        </w:rPr>
        <w:t xml:space="preserve">Dla prokuratury:</w:t>
      </w:r>
      <w:r>
        <w:t xml:space="preserve"> </w:t>
      </w:r>
      <w:r>
        <w:t xml:space="preserve">- Ustalenie karuzeli: 60–70%</w:t>
      </w:r>
      <w:r>
        <w:t xml:space="preserve"> </w:t>
      </w:r>
      <w:r>
        <w:t xml:space="preserve">- Postawienie zarzutów: 70–80%</w:t>
      </w:r>
      <w:r>
        <w:t xml:space="preserve"> </w:t>
      </w:r>
      <w:r>
        <w:t xml:space="preserve">- Skazanie: 50–60% (zbieg normatywny VAT + KKS)</w:t>
      </w:r>
    </w:p>
    <w:p>
      <w:pPr>
        <w:pStyle w:val="BodyText"/>
      </w:pPr>
      <w:r>
        <w:rPr>
          <w:bCs/>
          <w:b/>
        </w:rPr>
        <w:t xml:space="preserve">Dla Electry:</w:t>
      </w:r>
      <w:r>
        <w:t xml:space="preserve"> </w:t>
      </w:r>
      <w:r>
        <w:t xml:space="preserve">- Likwidacja lub upadłość: 80%+</w:t>
      </w:r>
      <w:r>
        <w:t xml:space="preserve"> </w:t>
      </w:r>
      <w:r>
        <w:t xml:space="preserve">- Roszczenia akcjonariuszy: 60–70%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odsumowanie-grupy-f"/>
    <w:p>
      <w:pPr>
        <w:pStyle w:val="Heading2"/>
      </w:pPr>
      <w:r>
        <w:t xml:space="preserve">PODSUMOWANIE GRUPY F</w:t>
      </w:r>
    </w:p>
    <w:p>
      <w:pPr>
        <w:pStyle w:val="FirstParagraph"/>
      </w:pPr>
      <w:r>
        <w:rPr>
          <w:bCs/>
          <w:b/>
        </w:rPr>
        <w:t xml:space="preserve">Wspólny wątek:</w:t>
      </w:r>
      <w:r>
        <w:t xml:space="preserve"> </w:t>
      </w:r>
      <w:r>
        <w:t xml:space="preserve">Transfery majątkowe (testament + upadłość), konflikt interesów, odpowiedzialność organów.</w:t>
      </w:r>
    </w:p>
    <w:p>
      <w:pPr>
        <w:pStyle w:val="BodyText"/>
      </w:pPr>
      <w:r>
        <w:rPr>
          <w:bCs/>
          <w:b/>
        </w:rPr>
        <w:t xml:space="preserve">Prawo właściwe:</w:t>
      </w:r>
      <w:r>
        <w:t xml:space="preserve"> </w:t>
      </w:r>
      <w:r>
        <w:t xml:space="preserve">- Kodeks cywilny (KC art. 33–36, 991–1008, 471–472)</w:t>
      </w:r>
      <w:r>
        <w:t xml:space="preserve"> </w:t>
      </w:r>
      <w:r>
        <w:t xml:space="preserve">- Kodeks karny skarbowy (KKS art. 86)</w:t>
      </w:r>
      <w:r>
        <w:t xml:space="preserve"> </w:t>
      </w:r>
      <w:r>
        <w:t xml:space="preserve">- Kodeks karny (KK art. 278 — niszczenie dowodów)</w:t>
      </w:r>
      <w:r>
        <w:t xml:space="preserve"> </w:t>
      </w:r>
      <w:r>
        <w:t xml:space="preserve">- Kodeks spółek handlowych (KSH art. 196)</w:t>
      </w:r>
      <w:r>
        <w:t xml:space="preserve"> </w:t>
      </w:r>
      <w:r>
        <w:t xml:space="preserve">- Ustawa o AML (Dz. U. z 2018 r. poz. 723)</w:t>
      </w:r>
    </w:p>
    <w:p>
      <w:pPr>
        <w:pStyle w:val="BodyText"/>
      </w:pPr>
      <w:r>
        <w:rPr>
          <w:bCs/>
          <w:b/>
        </w:rPr>
        <w:t xml:space="preserve">Organy:</w:t>
      </w:r>
      <w:r>
        <w:t xml:space="preserve"> </w:t>
      </w:r>
      <w:r>
        <w:t xml:space="preserve">- Sądy cywilne (spadki, majątek wspólny, odszkodowania)</w:t>
      </w:r>
      <w:r>
        <w:t xml:space="preserve"> </w:t>
      </w:r>
      <w:r>
        <w:t xml:space="preserve">- Prokuratura (śledztwo VAT + pranie pieniędzy)</w:t>
      </w:r>
      <w:r>
        <w:t xml:space="preserve"> </w:t>
      </w:r>
      <w:r>
        <w:t xml:space="preserve">- UOKIK (jeśli kartel)</w:t>
      </w:r>
    </w:p>
    <w:p>
      <w:pPr>
        <w:pStyle w:val="BodyText"/>
      </w:pPr>
      <w:r>
        <w:rPr>
          <w:bCs/>
          <w:b/>
        </w:rPr>
        <w:t xml:space="preserve">Szanse:</w:t>
      </w:r>
      <w:r>
        <w:t xml:space="preserve"> </w:t>
      </w:r>
      <w:r>
        <w:t xml:space="preserve">- Dla wierzycieli/akcjonariuszy: 60–70%</w:t>
      </w:r>
      <w:r>
        <w:t xml:space="preserve"> </w:t>
      </w:r>
      <w:r>
        <w:t xml:space="preserve">- Dla prokuratury: 65–75%</w:t>
      </w:r>
      <w:r>
        <w:t xml:space="preserve"> </w:t>
      </w:r>
      <w:r>
        <w:t xml:space="preserve">- Dla spółki: &lt;10%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2026-09-02T18:18:15Z</dcterms:created>
  <dcterms:modified xsi:type="dcterms:W3CDTF">2026-09-02T18:18:15Z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