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63822bc6a64c352dcbb23b24a79945ec21f560"/>
    <w:p>
      <w:pPr>
        <w:pStyle w:val="Heading1"/>
      </w:pPr>
      <w:r>
        <w:t xml:space="preserve">Multiscale Statistical Process Control of RR Interval Dynamics for Explainable Pre-Onset Characterization of Paroxysmal Atrial Fibrillation</w:t>
      </w:r>
    </w:p>
    <w:p>
      <w:pPr>
        <w:pStyle w:val="FirstParagraph"/>
      </w:pPr>
      <w:r>
        <w:t xml:space="preserve">Michel Alexander Castañeda Alarcón1, José Javier Díaz-Carmona1, Horacio Rostro González2, and Alejandro Espinosa Calderón3</w:t>
      </w:r>
    </w:p>
    <w:p>
      <w:pPr>
        <w:pStyle w:val="BodyText"/>
      </w:pPr>
      <w:r>
        <w:t xml:space="preserve">1 Tecnológico Nacional de México / Instituto Tecnológico de Celaya, Celaya, Guanajuato, Mexico</w:t>
      </w:r>
      <w:r>
        <w:br/>
      </w:r>
      <w:r>
        <w:t xml:space="preserve">2 IQS School of Engineering, Ramon Llull University, Barcelona, Spain</w:t>
      </w:r>
      <w:r>
        <w:br/>
      </w:r>
      <w:r>
        <w:t xml:space="preserve">3 Tecnológico Nacional de México / CRODE Celaya, Celaya, Guanajuato, Mexico</w:t>
      </w:r>
      <w:r>
        <w:br/>
      </w:r>
      <w:r>
        <w:t xml:space="preserve">Corresponding author: m2003047@itcelaya.edu.mx</w:t>
      </w:r>
    </w:p>
    <w:bookmarkStart w:id="20" w:name="abstract"/>
    <w:p>
      <w:pPr>
        <w:pStyle w:val="Heading2"/>
      </w:pPr>
      <w:r>
        <w:t xml:space="preserve">Abstract</w:t>
      </w:r>
    </w:p>
    <w:p>
      <w:pPr>
        <w:pStyle w:val="FirstParagraph"/>
      </w:pPr>
      <w:r>
        <w:t xml:space="preserve">Paroxysmal atrial fibrillation (PAF) may be preceded by subtle changes in rhythm dynamics that are difficult to characterize using conventional heart-rate variability (HRV) descriptors alone. This study proposes a multiscale statistical process control (SPC) framework for explainable pre-onset characterization of PAF from RR interval dynamics. The analysis used the learning set of the PhysioNet PAF Prediction Challenge Database, restricted to the main 30-min p-records. For each consecutive odd-even p-record pair, the odd record was labeled as PAF-distant and the even record as pre-onset. Continuation records ending in c and n-records from subjects without documented atrial fibrillation were excluded from the primary paired task. RR intervals were derived from QRS annotations, and multiscale windows were evaluated using RR-count windows, 5-min windows, and full-record aggregation. Interpretable features were extracted from HRV descriptors and SPC families, including Shewhart, CUSUM, EWMA, moving-range, and runs-rule statistics. Grouped validation by pair identifier and paired bootstrap analysis were used to reduce leakage and quantify uncertainty. SPC features improved discrimination over reduced HRV descriptors, with the B_SPC configuration reaching an observed AUC of 0.776 and pairwise concordance of 0.840. Shewhart out-of-control rate and count showed the strongest paired pre-onset increases. These findings suggest that multiscale SPC features provide an interpretable representation of pre-onset RR instability, supporting further validation in larger ECG datasets.</w:t>
      </w:r>
    </w:p>
    <w:p>
      <w:pPr>
        <w:pStyle w:val="BodyText"/>
      </w:pPr>
      <w:r>
        <w:t xml:space="preserve">Keywords: Electrocardiography · Statistical process control · RR intervals · Paroxysmal atrial fibrillation · CUSUM · Explainable machine learning · PhysioNet</w:t>
      </w:r>
    </w:p>
    <w:bookmarkEnd w:id="20"/>
    <w:bookmarkEnd w:id="21"/>
    <w:bookmarkStart w:id="22" w:name="introduction"/>
    <w:p>
      <w:pPr>
        <w:pStyle w:val="Heading1"/>
      </w:pPr>
      <w:r>
        <w:t xml:space="preserve">1 Introduction</w:t>
      </w:r>
    </w:p>
    <w:p>
      <w:pPr>
        <w:pStyle w:val="FirstParagraph"/>
      </w:pPr>
      <w:r>
        <w:t xml:space="preserve">Paroxysmal atrial fibrillation (PAF) is clinically relevant because its intermittent nature makes it difficult to observe directly during routine electrocardiographic evaluation. The PhysioNet/Computing in Cardiology Challenge 2001 was designed around this difficulty: it asked whether PAF onset could be predicted from ECG segments recorded before the arrhythmic event [1,2]. In the challenge formulation, one recording from an at-risk subject is distant from PAF, whereas the paired recording immediately precedes PAF. This paired design provides a useful framework for studying whether pre-onset rhythm dynamics contain distinctive temporal signatures.</w:t>
      </w:r>
    </w:p>
    <w:p>
      <w:pPr>
        <w:pStyle w:val="BodyText"/>
      </w:pPr>
      <w:r>
        <w:t xml:space="preserve">Most automated approaches to ECG-based PAF analysis have relied on heart-rate variability (HRV), arrhythmia features, or machine-learning classifiers trained over RR interval-derived descriptors [3–6]. These approaches can be effective, but their interpretation often depends on aggregate feature importance or model-level performance. In biomedical settings, performance alone is rarely sufficient: a useful method should also describe how the signal changes and whether the derived markers correspond to clinically or physiologically meaningful behavior. This issue is especially important when the available dataset is small and retrospective, because overclaiming predictive validity from limited data can lead to fragile conclusions.</w:t>
      </w:r>
    </w:p>
    <w:p>
      <w:pPr>
        <w:pStyle w:val="BodyText"/>
      </w:pPr>
      <w:r>
        <w:t xml:space="preserve">Statistical process control (SPC) offers a complementary perspective. Instead of treating RR intervals only as a source of global summary statistics, SPC models the RR sequence as a temporal process subject to expected variation and special-cause deviation. Classical control-chart families such as Shewhart, CUSUM, EWMA, moving-range statistics, and run-based rules can transform time-dependent RR behavior into interpretable descriptors: pointwise deviations, cumulative drift, gradual shifts, local instability, alarm frequency, and persistence of abnormal patterns [7,8]. This creates a bridge between signal processing and explainable machine learning: the model can be evaluated not only by its classification metrics but also by the process-behavior features that support its decision.</w:t>
      </w:r>
    </w:p>
    <w:p>
      <w:pPr>
        <w:pStyle w:val="BodyText"/>
      </w:pPr>
      <w:r>
        <w:t xml:space="preserve">This paper proposes a multiscale SPC feature-engineering framework for explainable pre-onset characterization of PAF using RR intervals from the PhysioNet AFPDB learning set. The study focuses on characterization rather than clinical deployment. Specifically, it evaluates whether SPC-derived features can distinguish PAF-distant and pre-onset records within matched p-record pairs, and whether these features add discriminative and interpretive value beyond reduced HRV descriptors.</w:t>
      </w:r>
    </w:p>
    <w:p>
      <w:pPr>
        <w:pStyle w:val="BodyText"/>
      </w:pPr>
      <w:r>
        <w:t xml:space="preserve">The main contributions are as follows:</w:t>
      </w:r>
    </w:p>
    <w:p>
      <w:pPr>
        <w:pStyle w:val="Compact"/>
        <w:numPr>
          <w:ilvl w:val="0"/>
          <w:numId w:val="1001"/>
        </w:numPr>
      </w:pPr>
      <w:r>
        <w:t xml:space="preserve">A corrected paired AFPDB design that uses only the main 30-min p-records for the primary far-vs-pre-onset task, excluding n-records and continuation records ending in c.</w:t>
      </w:r>
    </w:p>
    <w:p>
      <w:pPr>
        <w:pStyle w:val="Compact"/>
        <w:numPr>
          <w:ilvl w:val="0"/>
          <w:numId w:val="1001"/>
        </w:numPr>
      </w:pPr>
      <w:r>
        <w:t xml:space="preserve">A multiscale RR representation including fixed RR-count windows, 5-min windows, and full-record aggregation.</w:t>
      </w:r>
    </w:p>
    <w:p>
      <w:pPr>
        <w:pStyle w:val="Compact"/>
        <w:numPr>
          <w:ilvl w:val="0"/>
          <w:numId w:val="1001"/>
        </w:numPr>
      </w:pPr>
      <w:r>
        <w:t xml:space="preserve">An interpretable SPC feature set based on Shewhart, CUSUM, EWMA, moving-range, and runs-rule descriptors.</w:t>
      </w:r>
    </w:p>
    <w:p>
      <w:pPr>
        <w:pStyle w:val="Compact"/>
        <w:numPr>
          <w:ilvl w:val="0"/>
          <w:numId w:val="1001"/>
        </w:numPr>
      </w:pPr>
      <w:r>
        <w:t xml:space="preserve">A leakage-aware validation strategy based on pair-level grouping and fold-local collinearity pruning.</w:t>
      </w:r>
    </w:p>
    <w:p>
      <w:pPr>
        <w:pStyle w:val="Compact"/>
        <w:numPr>
          <w:ilvl w:val="0"/>
          <w:numId w:val="1001"/>
        </w:numPr>
      </w:pPr>
      <w:r>
        <w:t xml:space="preserve">A paired characterization analysis showing that pre-onset records exhibit increased out-of-control behavior and RR instability.</w:t>
      </w:r>
    </w:p>
    <w:bookmarkEnd w:id="22"/>
    <w:bookmarkStart w:id="29" w:name="materials-and-methods"/>
    <w:p>
      <w:pPr>
        <w:pStyle w:val="Heading1"/>
      </w:pPr>
      <w:r>
        <w:t xml:space="preserve">2 Materials and Methods</w:t>
      </w:r>
    </w:p>
    <w:bookmarkStart w:id="23" w:name="dataset-and-study-design"/>
    <w:p>
      <w:pPr>
        <w:pStyle w:val="Heading2"/>
      </w:pPr>
      <w:r>
        <w:t xml:space="preserve">2.1 Dataset and Study Design</w:t>
      </w:r>
    </w:p>
    <w:p>
      <w:pPr>
        <w:pStyle w:val="FirstParagraph"/>
      </w:pPr>
      <w:r>
        <w:t xml:space="preserve">This study used the learning set of the PhysioNet PAF Prediction Challenge Database (AFPDB). The database was created for the Computers in Cardiology Challenge 2001 and includes two-channel ECG excerpts intended for the development and evaluation of automated methods for PAF prediction [1,2]. The learning set contains record sets with names beginning with n and p. Each record set includes two main 30-min ECG records with consecutive names and two 5-min continuation records ending in c. In the p-record sets, the even-numbered 30-min record immediately precedes a PAF episode, which can be verified using the corresponding continuation record. The odd-numbered 30-min record is distant from any PAF episode. Records beginning with n correspond to subjects without documented atrial fibrillation [1].</w:t>
      </w:r>
    </w:p>
    <w:p>
      <w:pPr>
        <w:pStyle w:val="BodyText"/>
      </w:pPr>
      <w:r>
        <w:t xml:space="preserve">For the primary analysis, only the 50 main p-records were used. Each odd-even pair was treated as a matched comparison:</w:t>
      </w:r>
    </w:p>
    <w:p>
      <w:pPr>
        <w:pStyle w:val="Compact"/>
        <w:numPr>
          <w:ilvl w:val="0"/>
          <w:numId w:val="1002"/>
        </w:numPr>
      </w:pPr>
      <w:r>
        <w:t xml:space="preserve">odd p-records (p01, p03, …, p49) were labeled as PAF-distant segments (y = 0);</w:t>
      </w:r>
    </w:p>
    <w:p>
      <w:pPr>
        <w:pStyle w:val="Compact"/>
        <w:numPr>
          <w:ilvl w:val="0"/>
          <w:numId w:val="1002"/>
        </w:numPr>
      </w:pPr>
      <w:r>
        <w:t xml:space="preserve">even p-records (p02, p04, …, p50) were labeled as pre-onset segments (y = 1).</w:t>
      </w:r>
    </w:p>
    <w:p>
      <w:pPr>
        <w:pStyle w:val="FirstParagraph"/>
      </w:pPr>
      <w:r>
        <w:t xml:space="preserve">The pair identifier was defined as pair_id = (record_number − 1) / 2 using integer division, yielding 25 matched pairs. Continuation records ending in c were excluded from training and evaluation because they serve to verify the presence or absence of PAF after the 30-min segment rather than acting as primary pre-onset records. Records beginning with n were also excluded from the primary task because they represent subjects without documented AF and therefore address a different question: group discrimination rather than pre-onset characterization.</w:t>
      </w:r>
    </w:p>
    <w:p>
      <w:pPr>
        <w:pStyle w:val="BodyText"/>
      </w:pPr>
      <w:r>
        <w:t xml:space="preserve">This design produced 50 main records, 25 PAF-distant and 25 pre-onset, organized into 25 matched pairs. Each record was represented at six temporal scales: 50 RR intervals, 100 RR intervals, 128 RR intervals, 200 RR intervals, 300 s, and full-record aggregation.</w:t>
      </w:r>
    </w:p>
    <w:p>
      <w:pPr>
        <w:pStyle w:val="BodyText"/>
      </w:pPr>
      <w:r>
        <w:t xml:space="preserve">Table 1. Primary dataset audit.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jc w:val="right"/>
            </w:pPr>
            <w:r>
              <w:t xml:space="preserve">Value</w:t>
            </w:r>
          </w:p>
        </w:tc>
      </w:tr>
      <w:tr>
        <w:tc>
          <w:tcPr/>
          <w:p>
            <w:pPr>
              <w:pStyle w:val="Compact"/>
            </w:pPr>
            <w:r>
              <w:t xml:space="preserve">Main p-records included</w:t>
            </w:r>
          </w:p>
        </w:tc>
        <w:tc>
          <w:tcPr/>
          <w:p>
            <w:pPr>
              <w:pStyle w:val="Compact"/>
              <w:jc w:val="right"/>
            </w:pPr>
            <w:r>
              <w:t xml:space="preserve">50</w:t>
            </w:r>
          </w:p>
        </w:tc>
      </w:tr>
      <w:tr>
        <w:tc>
          <w:tcPr/>
          <w:p>
            <w:pPr>
              <w:pStyle w:val="Compact"/>
            </w:pPr>
            <w:r>
              <w:t xml:space="preserve">Matched odd-even pairs</w:t>
            </w:r>
          </w:p>
        </w:tc>
        <w:tc>
          <w:tcPr/>
          <w:p>
            <w:pPr>
              <w:pStyle w:val="Compact"/>
              <w:jc w:val="right"/>
            </w:pPr>
            <w:r>
              <w:t xml:space="preserve">25</w:t>
            </w:r>
          </w:p>
        </w:tc>
      </w:tr>
      <w:tr>
        <w:tc>
          <w:tcPr/>
          <w:p>
            <w:pPr>
              <w:pStyle w:val="Compact"/>
            </w:pPr>
            <w:r>
              <w:t xml:space="preserve">PAF-distant records (y = 0)</w:t>
            </w:r>
          </w:p>
        </w:tc>
        <w:tc>
          <w:tcPr/>
          <w:p>
            <w:pPr>
              <w:pStyle w:val="Compact"/>
              <w:jc w:val="right"/>
            </w:pPr>
            <w:r>
              <w:t xml:space="preserve">25</w:t>
            </w:r>
          </w:p>
        </w:tc>
      </w:tr>
      <w:tr>
        <w:tc>
          <w:tcPr/>
          <w:p>
            <w:pPr>
              <w:pStyle w:val="Compact"/>
            </w:pPr>
            <w:r>
              <w:t xml:space="preserve">Pre-onset records (y = 1)</w:t>
            </w:r>
          </w:p>
        </w:tc>
        <w:tc>
          <w:tcPr/>
          <w:p>
            <w:pPr>
              <w:pStyle w:val="Compact"/>
              <w:jc w:val="right"/>
            </w:pPr>
            <w:r>
              <w:t xml:space="preserve">25</w:t>
            </w:r>
          </w:p>
        </w:tc>
      </w:tr>
      <w:tr>
        <w:tc>
          <w:tcPr/>
          <w:p>
            <w:pPr>
              <w:pStyle w:val="Compact"/>
            </w:pPr>
            <w:r>
              <w:t xml:space="preserve">Continuation records (*c) used in primary task</w:t>
            </w:r>
          </w:p>
        </w:tc>
        <w:tc>
          <w:tcPr/>
          <w:p>
            <w:pPr>
              <w:pStyle w:val="Compact"/>
              <w:jc w:val="right"/>
            </w:pPr>
            <w:r>
              <w:t xml:space="preserve">0</w:t>
            </w:r>
          </w:p>
        </w:tc>
      </w:tr>
      <w:tr>
        <w:tc>
          <w:tcPr/>
          <w:p>
            <w:pPr>
              <w:pStyle w:val="Compact"/>
            </w:pPr>
            <w:r>
              <w:t xml:space="preserve">n-records used in primary task</w:t>
            </w:r>
          </w:p>
        </w:tc>
        <w:tc>
          <w:tcPr/>
          <w:p>
            <w:pPr>
              <w:pStyle w:val="Compact"/>
              <w:jc w:val="right"/>
            </w:pPr>
            <w:r>
              <w:t xml:space="preserve">0</w:t>
            </w:r>
          </w:p>
        </w:tc>
      </w:tr>
      <w:tr>
        <w:tc>
          <w:tcPr/>
          <w:p>
            <w:pPr>
              <w:pStyle w:val="Compact"/>
            </w:pPr>
            <w:r>
              <w:t xml:space="preserve">Temporal representations per record</w:t>
            </w:r>
          </w:p>
        </w:tc>
        <w:tc>
          <w:tcPr/>
          <w:p>
            <w:pPr>
              <w:pStyle w:val="Compact"/>
              <w:jc w:val="right"/>
            </w:pPr>
            <w:r>
              <w:t xml:space="preserve">6</w:t>
            </w:r>
          </w:p>
        </w:tc>
      </w:tr>
      <w:tr>
        <w:tc>
          <w:tcPr/>
          <w:p>
            <w:pPr>
              <w:pStyle w:val="Compact"/>
            </w:pPr>
            <w:r>
              <w:t xml:space="preserve">Aggregated rows</w:t>
            </w:r>
          </w:p>
        </w:tc>
        <w:tc>
          <w:tcPr/>
          <w:p>
            <w:pPr>
              <w:pStyle w:val="Compact"/>
              <w:jc w:val="right"/>
            </w:pPr>
            <w:r>
              <w:t xml:space="preserve">300</w:t>
            </w:r>
          </w:p>
        </w:tc>
      </w:tr>
    </w:tbl>
    <w:bookmarkEnd w:id="23"/>
    <w:bookmarkStart w:id="24" w:name="X472f1c360effd03fd81a24c9845fdda510716dd"/>
    <w:p>
      <w:pPr>
        <w:pStyle w:val="Heading2"/>
      </w:pPr>
      <w:r>
        <w:t xml:space="preserve">2.2 RR Interval Extraction and Baseline Estimation</w:t>
      </w:r>
    </w:p>
    <w:p>
      <w:pPr>
        <w:pStyle w:val="FirstParagraph"/>
      </w:pPr>
      <w:r>
        <w:t xml:space="preserve">RR intervals were derived from QRS annotations using the WFDB Python ecosystem [9]. For each record, QRS sample indices were converted into RR intervals in milliseconds according to the sampling frequency extracted from the record header. The cumulative RR time was computed to support time-based windowing and temporal aggregation.</w:t>
      </w:r>
    </w:p>
    <w:p>
      <w:pPr>
        <w:pStyle w:val="BodyText"/>
      </w:pPr>
      <w:r>
        <w:t xml:space="preserve">For SPC feature extraction, a record-level baseline was estimated from the first available RR intervals, using the configured baseline size. The baseline mean and standard deviation were used to standardize RR deviations for control-chart statistics. If the baseline standard deviation was zero, a fallback value was used to avoid undefined standardized deviations. Because the AFPDB qrs annotations are machine-generated and unaudited, all findings should be interpreted as robust exploratory analyses rather than clinically audited beat-level annotations [1]. This limitation is explicitly considered in the discussion.</w:t>
      </w:r>
    </w:p>
    <w:bookmarkEnd w:id="24"/>
    <w:bookmarkStart w:id="25" w:name="multiscale-windowing"/>
    <w:p>
      <w:pPr>
        <w:pStyle w:val="Heading2"/>
      </w:pPr>
      <w:r>
        <w:t xml:space="preserve">2.3 Multiscale Windowing</w:t>
      </w:r>
    </w:p>
    <w:p>
      <w:pPr>
        <w:pStyle w:val="FirstParagraph"/>
      </w:pPr>
      <w:r>
        <w:t xml:space="preserve">To characterize RR dynamics at different temporal resolutions, features were computed using multiple window definitions. Four fixed RR-count windows were evaluated: 50, 100, 128, and 200 RR intervals. A 300-s window was included to approximate short-term HRV practice, and a full-record representation was included as a retrospective summary of the complete 30-min segment.</w:t>
      </w:r>
    </w:p>
    <w:p>
      <w:pPr>
        <w:pStyle w:val="BodyText"/>
      </w:pPr>
      <w:r>
        <w:t xml:space="preserve">The objective of this multiscale design was not only to maximize classification performance but also to explore which temporal resolution best captures pre-onset instability. Shorter RR-count windows may emphasize local transitions, whereas full-record aggregation may better summarize persistent or recurrent deviations across the entire segment.</w:t>
      </w:r>
    </w:p>
    <w:bookmarkEnd w:id="25"/>
    <w:bookmarkStart w:id="26" w:name="feature-engineering"/>
    <w:p>
      <w:pPr>
        <w:pStyle w:val="Heading2"/>
      </w:pPr>
      <w:r>
        <w:t xml:space="preserve">2.4 Feature Engineering</w:t>
      </w:r>
    </w:p>
    <w:p>
      <w:pPr>
        <w:pStyle w:val="FirstParagraph"/>
      </w:pPr>
      <w:r>
        <w:t xml:space="preserve">Feature extraction was organized into interpretable families.</w:t>
      </w:r>
    </w:p>
    <w:p>
      <w:pPr>
        <w:pStyle w:val="BodyText"/>
      </w:pPr>
      <w:r>
        <w:t xml:space="preserve">HRV features included conventional time-domain and Poincaré-derived descriptors such as mean RR, median RR, RR standard deviation, median absolute deviation, RMSSD, SDSD, coefficient of variation of RR, SD1, SD2, and SD1/SD2 ratio. These features summarize global and local RR variability and are widely used in HRV analysis [10,11].</w:t>
      </w:r>
    </w:p>
    <w:p>
      <w:pPr>
        <w:pStyle w:val="BodyText"/>
      </w:pPr>
      <w:r>
        <w:t xml:space="preserve">SPC features were designed to describe process behavior rather than only aggregate variability. Shewhart features captured pointwise deviations beyond control limits, including out-of-control count, out-of-control rate, maximum absolute z-score, and first alarm position. CUSUM features captured cumulative positive and negative deviations, maximum cumulative magnitude, last cumulative state, alarm count, first alarm time, time in alarm, and alarm density. EWMA features summarized gradual drift through final value, maximum absolute EWMA, slope, alarm count, and first alarm time. Moving-range features summarized local instability through mean, median, maximum, robust dispersion, and out-of-control counts. Runs-rule features captured persistence and sequential structure, including longest runs above or below the median, trend-run maxima, and rule-violation counts.</w:t>
      </w:r>
    </w:p>
    <w:p>
      <w:pPr>
        <w:pStyle w:val="BodyText"/>
      </w:pPr>
      <w:r>
        <w:t xml:space="preserve">Ectopy-like RR-pattern features were also computed in the exploratory pipeline. These variables should not be interpreted as clinically confirmed ectopic beats because they are derived from RR sequence rules rather than expert-annotated atrial ectopy. They are therefore treated as exploratory rhythm-irregularity descriptors.</w:t>
      </w:r>
    </w:p>
    <w:p>
      <w:pPr>
        <w:pStyle w:val="BodyText"/>
      </w:pPr>
      <w:r>
        <w:t xml:space="preserve">Table 2. Feature families and interpretive role.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 family</w:t>
            </w:r>
          </w:p>
        </w:tc>
        <w:tc>
          <w:tcPr/>
          <w:p>
            <w:pPr>
              <w:pStyle w:val="Compact"/>
            </w:pPr>
            <w:r>
              <w:t xml:space="preserve">Example features</w:t>
            </w:r>
          </w:p>
        </w:tc>
        <w:tc>
          <w:tcPr/>
          <w:p>
            <w:pPr>
              <w:pStyle w:val="Compact"/>
            </w:pPr>
            <w:r>
              <w:t xml:space="preserve">Interpretive role</w:t>
            </w:r>
          </w:p>
        </w:tc>
      </w:tr>
      <w:tr>
        <w:tc>
          <w:tcPr/>
          <w:p>
            <w:pPr>
              <w:pStyle w:val="Compact"/>
            </w:pPr>
            <w:r>
              <w:t xml:space="preserve">HRV</w:t>
            </w:r>
          </w:p>
        </w:tc>
        <w:tc>
          <w:tcPr/>
          <w:p>
            <w:pPr>
              <w:pStyle w:val="Compact"/>
            </w:pPr>
            <w:r>
              <w:t xml:space="preserve">rmssd, cv_rr, sd2</w:t>
            </w:r>
          </w:p>
        </w:tc>
        <w:tc>
          <w:tcPr/>
          <w:p>
            <w:pPr>
              <w:pStyle w:val="Compact"/>
            </w:pPr>
            <w:r>
              <w:t xml:space="preserve">Short- and long-term rhythm variability</w:t>
            </w:r>
          </w:p>
        </w:tc>
      </w:tr>
      <w:tr>
        <w:tc>
          <w:tcPr/>
          <w:p>
            <w:pPr>
              <w:pStyle w:val="Compact"/>
            </w:pPr>
            <w:r>
              <w:t xml:space="preserve">Shewhart</w:t>
            </w:r>
          </w:p>
        </w:tc>
        <w:tc>
          <w:tcPr/>
          <w:p>
            <w:pPr>
              <w:pStyle w:val="Compact"/>
            </w:pPr>
            <w:r>
              <w:t xml:space="preserve">shewhart_out_rate, shewhart_out_count</w:t>
            </w:r>
          </w:p>
        </w:tc>
        <w:tc>
          <w:tcPr/>
          <w:p>
            <w:pPr>
              <w:pStyle w:val="Compact"/>
            </w:pPr>
            <w:r>
              <w:t xml:space="preserve">Frequency of pointwise out-of-control behavior</w:t>
            </w:r>
          </w:p>
        </w:tc>
      </w:tr>
      <w:tr>
        <w:tc>
          <w:tcPr/>
          <w:p>
            <w:pPr>
              <w:pStyle w:val="Compact"/>
            </w:pPr>
            <w:r>
              <w:t xml:space="preserve">CUSUM</w:t>
            </w:r>
          </w:p>
        </w:tc>
        <w:tc>
          <w:tcPr/>
          <w:p>
            <w:pPr>
              <w:pStyle w:val="Compact"/>
            </w:pPr>
            <w:r>
              <w:t xml:space="preserve">cusum_abs_max, cusum_alarm_density</w:t>
            </w:r>
          </w:p>
        </w:tc>
        <w:tc>
          <w:tcPr/>
          <w:p>
            <w:pPr>
              <w:pStyle w:val="Compact"/>
            </w:pPr>
            <w:r>
              <w:t xml:space="preserve">Accumulated drift and sustained deviations</w:t>
            </w:r>
          </w:p>
        </w:tc>
      </w:tr>
      <w:tr>
        <w:tc>
          <w:tcPr/>
          <w:p>
            <w:pPr>
              <w:pStyle w:val="Compact"/>
            </w:pPr>
            <w:r>
              <w:t xml:space="preserve">EWMA</w:t>
            </w:r>
          </w:p>
        </w:tc>
        <w:tc>
          <w:tcPr/>
          <w:p>
            <w:pPr>
              <w:pStyle w:val="Compact"/>
            </w:pPr>
            <w:r>
              <w:t xml:space="preserve">ewma_last, ewma_max_abs, ewma_slope</w:t>
            </w:r>
          </w:p>
        </w:tc>
        <w:tc>
          <w:tcPr/>
          <w:p>
            <w:pPr>
              <w:pStyle w:val="Compact"/>
            </w:pPr>
            <w:r>
              <w:t xml:space="preserve">Gradual changes in standardized RR deviations</w:t>
            </w:r>
          </w:p>
        </w:tc>
      </w:tr>
      <w:tr>
        <w:tc>
          <w:tcPr/>
          <w:p>
            <w:pPr>
              <w:pStyle w:val="Compact"/>
            </w:pPr>
            <w:r>
              <w:t xml:space="preserve">Moving range</w:t>
            </w:r>
          </w:p>
        </w:tc>
        <w:tc>
          <w:tcPr/>
          <w:p>
            <w:pPr>
              <w:pStyle w:val="Compact"/>
            </w:pPr>
            <w:r>
              <w:t xml:space="preserve">mr_mean, mr_max, mr_mad</w:t>
            </w:r>
          </w:p>
        </w:tc>
        <w:tc>
          <w:tcPr/>
          <w:p>
            <w:pPr>
              <w:pStyle w:val="Compact"/>
            </w:pPr>
            <w:r>
              <w:t xml:space="preserve">Local beat-to-beat instability</w:t>
            </w:r>
          </w:p>
        </w:tc>
      </w:tr>
      <w:tr>
        <w:tc>
          <w:tcPr/>
          <w:p>
            <w:pPr>
              <w:pStyle w:val="Compact"/>
            </w:pPr>
            <w:r>
              <w:t xml:space="preserve">Runs rules</w:t>
            </w:r>
          </w:p>
        </w:tc>
        <w:tc>
          <w:tcPr/>
          <w:p>
            <w:pPr>
              <w:pStyle w:val="Compact"/>
            </w:pPr>
            <w:r>
              <w:t xml:space="preserve">longest_run_above_median, trend_run_up_max</w:t>
            </w:r>
          </w:p>
        </w:tc>
        <w:tc>
          <w:tcPr/>
          <w:p>
            <w:pPr>
              <w:pStyle w:val="Compact"/>
            </w:pPr>
            <w:r>
              <w:t xml:space="preserve">Sequential persistence and trends</w:t>
            </w:r>
          </w:p>
        </w:tc>
      </w:tr>
      <w:tr>
        <w:tc>
          <w:tcPr/>
          <w:p>
            <w:pPr>
              <w:pStyle w:val="Compact"/>
            </w:pPr>
            <w:r>
              <w:t xml:space="preserve">Ectopy-like</w:t>
            </w:r>
          </w:p>
        </w:tc>
        <w:tc>
          <w:tcPr/>
          <w:p>
            <w:pPr>
              <w:pStyle w:val="Compact"/>
            </w:pPr>
            <w:r>
              <w:t xml:space="preserve">short_long_sequence_count</w:t>
            </w:r>
          </w:p>
        </w:tc>
        <w:tc>
          <w:tcPr/>
          <w:p>
            <w:pPr>
              <w:pStyle w:val="Compact"/>
            </w:pPr>
            <w:r>
              <w:t xml:space="preserve">Exploratory RR irregularity patterns</w:t>
            </w:r>
          </w:p>
        </w:tc>
      </w:tr>
    </w:tbl>
    <w:bookmarkEnd w:id="26"/>
    <w:bookmarkStart w:id="27" w:name="feature-blocks-and-collinearity-control"/>
    <w:p>
      <w:pPr>
        <w:pStyle w:val="Heading2"/>
      </w:pPr>
      <w:r>
        <w:t xml:space="preserve">2.5 Feature Blocks and Collinearity Control</w:t>
      </w:r>
    </w:p>
    <w:p>
      <w:pPr>
        <w:pStyle w:val="FirstParagraph"/>
      </w:pPr>
      <w:r>
        <w:t xml:space="preserve">To evaluate the contribution of different feature families, several blocks were defined. The reduced HRV block contained RMSSD, CV_RR, and SD2, selected to represent interpretable short-term variability, scale-invariant variability, and longer-term variability while reducing redundancy. The SPC block included Shewhart, CUSUM, EWMA, moving-range, and runs-rule features. Combined blocks evaluated HRV plus SPC and HRV plus SPC plus Poincaré descriptors.</w:t>
      </w:r>
    </w:p>
    <w:p>
      <w:pPr>
        <w:pStyle w:val="BodyText"/>
      </w:pPr>
      <w:r>
        <w:t xml:space="preserve">Collinearity was controlled within the cross-validation process. A correlation-pruning transformer was fitted only on the training fold and then applied to the validation fold. Features were prioritized using a declarative interpretability order, preserving more interpretable or more established descriptors when highly correlated features were detected. This design prevents feature selection from using validation information and reduces leakage risk.</w:t>
      </w:r>
    </w:p>
    <w:bookmarkEnd w:id="27"/>
    <w:bookmarkStart w:id="28" w:name="classification-and-validation"/>
    <w:p>
      <w:pPr>
        <w:pStyle w:val="Heading2"/>
      </w:pPr>
      <w:r>
        <w:t xml:space="preserve">2.6 Classification and Validation</w:t>
      </w:r>
    </w:p>
    <w:p>
      <w:pPr>
        <w:pStyle w:val="FirstParagraph"/>
      </w:pPr>
      <w:r>
        <w:t xml:space="preserve">Classification was used as an auxiliary evaluation of the discriminative value of the proposed representation. Logistic regression was treated as the primary interpretable classifier. Random forest models were included as performance-oriented comparators. All validation used group-aware splitting by pair_id to prevent records from the same odd-even pair from appearing simultaneously in training and validation subsets.</w:t>
      </w:r>
    </w:p>
    <w:p>
      <w:pPr>
        <w:pStyle w:val="BodyText"/>
      </w:pPr>
      <w:r>
        <w:t xml:space="preserve">Performance was summarized using ROC-AUC, balanced accuracy, sensitivity, specificity, F1-score, and Matthews correlation coefficient (MCC). Pairwise concordance was used as an additional clinically intuitive measure: for each matched pair, the pre-onset record should receive a higher pre-onset score than the corresponding PAF-distant record.</w:t>
      </w:r>
    </w:p>
    <w:p>
      <w:pPr>
        <w:pStyle w:val="BodyText"/>
      </w:pPr>
      <w:r>
        <w:t xml:space="preserve">Bootstrap confidence intervals were computed at the pair level to preserve the matched structure. This is important because treating all rows as independent would inflate evidence by ignoring the natural pairing of the AFPDB design. The current bootstrap analysis used 300 valid bootstrap repetitions. Final manuscript values should be regenerated from the final executed notebook before submission.</w:t>
      </w:r>
    </w:p>
    <w:bookmarkEnd w:id="28"/>
    <w:bookmarkEnd w:id="29"/>
    <w:bookmarkStart w:id="36" w:name="results"/>
    <w:p>
      <w:pPr>
        <w:pStyle w:val="Heading1"/>
      </w:pPr>
      <w:r>
        <w:t xml:space="preserve">3 Results</w:t>
      </w:r>
    </w:p>
    <w:bookmarkStart w:id="30" w:name="dataset-integrity"/>
    <w:p>
      <w:pPr>
        <w:pStyle w:val="Heading2"/>
      </w:pPr>
      <w:r>
        <w:t xml:space="preserve">3.1 Dataset Integrity</w:t>
      </w:r>
    </w:p>
    <w:p>
      <w:pPr>
        <w:pStyle w:val="FirstParagraph"/>
      </w:pPr>
      <w:r>
        <w:t xml:space="preserve">The corrected manifest included only p01 through p50 main 30-min records. No continuation records ending in c and no n-records were present in the primary analysis table. Each pair_id contained exactly two records: one PAF-distant record and one pre-onset record. The six temporal representations per record produced 300 aggregated rows.</w:t>
      </w:r>
    </w:p>
    <w:p>
      <w:pPr>
        <w:pStyle w:val="BodyText"/>
      </w:pPr>
      <w:r>
        <w:t xml:space="preserve">This audit is central to the validity of the analysis because the continuation records are not equivalent to the main pre-onset records, and n-records represent a separate screening task rather than the paired pre-onset task.</w:t>
      </w:r>
    </w:p>
    <w:bookmarkEnd w:id="30"/>
    <w:bookmarkStart w:id="31" w:name="paired-pre-onset-characterization"/>
    <w:p>
      <w:pPr>
        <w:pStyle w:val="Heading2"/>
      </w:pPr>
      <w:r>
        <w:t xml:space="preserve">3.2 Paired Pre-Onset Characterization</w:t>
      </w:r>
    </w:p>
    <w:p>
      <w:pPr>
        <w:pStyle w:val="FirstParagraph"/>
      </w:pPr>
      <w:r>
        <w:t xml:space="preserve">Paired delta analysis compared each even pre-onset p-record against its matched odd PAF-distant p-record. The strongest paired differences were observed in SPC and variability features, especially Shewhart out-of-control descriptors. The Shewhart out-of-control rate had a median paired increase of 0.0482 in pre-onset records, with 84% of pairs showing a positive delta (Wilcoxon p = 0.00108; rank-biserial r = 0.748). Shewhart out-of-control count showed a median increase of 93 events, with 80% positive deltas (p = 0.00130; r = 0.735).</w:t>
      </w:r>
    </w:p>
    <w:p>
      <w:pPr>
        <w:pStyle w:val="BodyText"/>
      </w:pPr>
      <w:r>
        <w:t xml:space="preserve">HRV descriptors also increased in the pre-onset state. RMSSD showed a median paired increase of 35.58 ms, with 76% positive deltas (p = 0.00418; r = 0.637). SD1, which is closely related to short-term variability, showed the same statistical pattern. CV_RR, SD2, and SD1/SD2 ratio also showed directionally consistent increases.</w:t>
      </w:r>
    </w:p>
    <w:p>
      <w:pPr>
        <w:pStyle w:val="BodyText"/>
      </w:pPr>
      <w:r>
        <w:t xml:space="preserve">Table 3. Main paired feature differences between pre-onset and PAF-distant records.</w:t>
      </w:r>
    </w:p>
    <w:tbl>
      <w:tblPr>
        <w:tblStyle w:val="Table"/>
        <w:tblW w:type="pct" w:w="5000"/>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pPr>
            <w:r>
              <w:t xml:space="preserve">Feature</w:t>
            </w:r>
          </w:p>
        </w:tc>
        <w:tc>
          <w:tcPr/>
          <w:p>
            <w:pPr>
              <w:pStyle w:val="Compact"/>
              <w:jc w:val="right"/>
            </w:pPr>
            <w:r>
              <w:t xml:space="preserve">Median delta</w:t>
            </w:r>
          </w:p>
        </w:tc>
        <w:tc>
          <w:tcPr/>
          <w:p>
            <w:pPr>
              <w:pStyle w:val="Compact"/>
              <w:jc w:val="right"/>
            </w:pPr>
            <w:r>
              <w:t xml:space="preserve">Positive pairs</w:t>
            </w:r>
          </w:p>
        </w:tc>
        <w:tc>
          <w:tcPr/>
          <w:p>
            <w:pPr>
              <w:pStyle w:val="Compact"/>
              <w:jc w:val="right"/>
            </w:pPr>
            <w:r>
              <w:t xml:space="preserve">Wilcoxon p</w:t>
            </w:r>
          </w:p>
        </w:tc>
        <w:tc>
          <w:tcPr/>
          <w:p>
            <w:pPr>
              <w:pStyle w:val="Compact"/>
              <w:jc w:val="right"/>
            </w:pPr>
            <w:r>
              <w:t xml:space="preserve">Rank-biserial r</w:t>
            </w:r>
          </w:p>
        </w:tc>
        <w:tc>
          <w:tcPr/>
          <w:p>
            <w:pPr>
              <w:pStyle w:val="Compact"/>
            </w:pPr>
            <w:r>
              <w:t xml:space="preserve">Interpretation</w:t>
            </w:r>
          </w:p>
        </w:tc>
      </w:tr>
      <w:tr>
        <w:tc>
          <w:tcPr/>
          <w:p>
            <w:pPr>
              <w:pStyle w:val="Compact"/>
            </w:pPr>
            <w:r>
              <w:t xml:space="preserve">shewhart_out_rate</w:t>
            </w:r>
          </w:p>
        </w:tc>
        <w:tc>
          <w:tcPr/>
          <w:p>
            <w:pPr>
              <w:pStyle w:val="Compact"/>
              <w:jc w:val="right"/>
            </w:pPr>
            <w:r>
              <w:t xml:space="preserve">0.0482</w:t>
            </w:r>
          </w:p>
        </w:tc>
        <w:tc>
          <w:tcPr/>
          <w:p>
            <w:pPr>
              <w:pStyle w:val="Compact"/>
              <w:jc w:val="right"/>
            </w:pPr>
            <w:r>
              <w:t xml:space="preserve">84%</w:t>
            </w:r>
          </w:p>
        </w:tc>
        <w:tc>
          <w:tcPr/>
          <w:p>
            <w:pPr>
              <w:pStyle w:val="Compact"/>
              <w:jc w:val="right"/>
            </w:pPr>
            <w:r>
              <w:t xml:space="preserve">0.00108</w:t>
            </w:r>
          </w:p>
        </w:tc>
        <w:tc>
          <w:tcPr/>
          <w:p>
            <w:pPr>
              <w:pStyle w:val="Compact"/>
              <w:jc w:val="right"/>
            </w:pPr>
            <w:r>
              <w:t xml:space="preserve">0.748</w:t>
            </w:r>
          </w:p>
        </w:tc>
        <w:tc>
          <w:tcPr/>
          <w:p>
            <w:pPr>
              <w:pStyle w:val="Compact"/>
            </w:pPr>
            <w:r>
              <w:t xml:space="preserve">More frequent out-of-control deviations</w:t>
            </w:r>
          </w:p>
        </w:tc>
      </w:tr>
      <w:tr>
        <w:tc>
          <w:tcPr/>
          <w:p>
            <w:pPr>
              <w:pStyle w:val="Compact"/>
            </w:pPr>
            <w:r>
              <w:t xml:space="preserve">shewhart_out_count</w:t>
            </w:r>
          </w:p>
        </w:tc>
        <w:tc>
          <w:tcPr/>
          <w:p>
            <w:pPr>
              <w:pStyle w:val="Compact"/>
              <w:jc w:val="right"/>
            </w:pPr>
            <w:r>
              <w:t xml:space="preserve">93.0</w:t>
            </w:r>
          </w:p>
        </w:tc>
        <w:tc>
          <w:tcPr/>
          <w:p>
            <w:pPr>
              <w:pStyle w:val="Compact"/>
              <w:jc w:val="right"/>
            </w:pPr>
            <w:r>
              <w:t xml:space="preserve">80%</w:t>
            </w:r>
          </w:p>
        </w:tc>
        <w:tc>
          <w:tcPr/>
          <w:p>
            <w:pPr>
              <w:pStyle w:val="Compact"/>
              <w:jc w:val="right"/>
            </w:pPr>
            <w:r>
              <w:t xml:space="preserve">0.00130</w:t>
            </w:r>
          </w:p>
        </w:tc>
        <w:tc>
          <w:tcPr/>
          <w:p>
            <w:pPr>
              <w:pStyle w:val="Compact"/>
              <w:jc w:val="right"/>
            </w:pPr>
            <w:r>
              <w:t xml:space="preserve">0.735</w:t>
            </w:r>
          </w:p>
        </w:tc>
        <w:tc>
          <w:tcPr/>
          <w:p>
            <w:pPr>
              <w:pStyle w:val="Compact"/>
            </w:pPr>
            <w:r>
              <w:t xml:space="preserve">Increased number of abnormal points</w:t>
            </w:r>
          </w:p>
        </w:tc>
      </w:tr>
      <w:tr>
        <w:tc>
          <w:tcPr/>
          <w:p>
            <w:pPr>
              <w:pStyle w:val="Compact"/>
            </w:pPr>
            <w:r>
              <w:t xml:space="preserve">rmssd</w:t>
            </w:r>
          </w:p>
        </w:tc>
        <w:tc>
          <w:tcPr/>
          <w:p>
            <w:pPr>
              <w:pStyle w:val="Compact"/>
              <w:jc w:val="right"/>
            </w:pPr>
            <w:r>
              <w:t xml:space="preserve">35.58 ms</w:t>
            </w:r>
          </w:p>
        </w:tc>
        <w:tc>
          <w:tcPr/>
          <w:p>
            <w:pPr>
              <w:pStyle w:val="Compact"/>
              <w:jc w:val="right"/>
            </w:pPr>
            <w:r>
              <w:t xml:space="preserve">76%</w:t>
            </w:r>
          </w:p>
        </w:tc>
        <w:tc>
          <w:tcPr/>
          <w:p>
            <w:pPr>
              <w:pStyle w:val="Compact"/>
              <w:jc w:val="right"/>
            </w:pPr>
            <w:r>
              <w:t xml:space="preserve">0.00418</w:t>
            </w:r>
          </w:p>
        </w:tc>
        <w:tc>
          <w:tcPr/>
          <w:p>
            <w:pPr>
              <w:pStyle w:val="Compact"/>
              <w:jc w:val="right"/>
            </w:pPr>
            <w:r>
              <w:t xml:space="preserve">0.637</w:t>
            </w:r>
          </w:p>
        </w:tc>
        <w:tc>
          <w:tcPr/>
          <w:p>
            <w:pPr>
              <w:pStyle w:val="Compact"/>
            </w:pPr>
            <w:r>
              <w:t xml:space="preserve">Increased short-term RR variability</w:t>
            </w:r>
          </w:p>
        </w:tc>
      </w:tr>
      <w:tr>
        <w:tc>
          <w:tcPr/>
          <w:p>
            <w:pPr>
              <w:pStyle w:val="Compact"/>
            </w:pPr>
            <w:r>
              <w:t xml:space="preserve">sd1</w:t>
            </w:r>
          </w:p>
        </w:tc>
        <w:tc>
          <w:tcPr/>
          <w:p>
            <w:pPr>
              <w:pStyle w:val="Compact"/>
              <w:jc w:val="right"/>
            </w:pPr>
            <w:r>
              <w:t xml:space="preserve">25.16</w:t>
            </w:r>
          </w:p>
        </w:tc>
        <w:tc>
          <w:tcPr/>
          <w:p>
            <w:pPr>
              <w:pStyle w:val="Compact"/>
              <w:jc w:val="right"/>
            </w:pPr>
            <w:r>
              <w:t xml:space="preserve">76%</w:t>
            </w:r>
          </w:p>
        </w:tc>
        <w:tc>
          <w:tcPr/>
          <w:p>
            <w:pPr>
              <w:pStyle w:val="Compact"/>
              <w:jc w:val="right"/>
            </w:pPr>
            <w:r>
              <w:t xml:space="preserve">0.00418</w:t>
            </w:r>
          </w:p>
        </w:tc>
        <w:tc>
          <w:tcPr/>
          <w:p>
            <w:pPr>
              <w:pStyle w:val="Compact"/>
              <w:jc w:val="right"/>
            </w:pPr>
            <w:r>
              <w:t xml:space="preserve">0.637</w:t>
            </w:r>
          </w:p>
        </w:tc>
        <w:tc>
          <w:tcPr/>
          <w:p>
            <w:pPr>
              <w:pStyle w:val="Compact"/>
            </w:pPr>
            <w:r>
              <w:t xml:space="preserve">Increased Poincaré short-axis variability</w:t>
            </w:r>
          </w:p>
        </w:tc>
      </w:tr>
      <w:tr>
        <w:tc>
          <w:tcPr/>
          <w:p>
            <w:pPr>
              <w:pStyle w:val="Compact"/>
            </w:pPr>
            <w:r>
              <w:t xml:space="preserve">cv_rr</w:t>
            </w:r>
          </w:p>
        </w:tc>
        <w:tc>
          <w:tcPr/>
          <w:p>
            <w:pPr>
              <w:pStyle w:val="Compact"/>
              <w:jc w:val="right"/>
            </w:pPr>
            <w:r>
              <w:t xml:space="preserve">0.0222</w:t>
            </w:r>
          </w:p>
        </w:tc>
        <w:tc>
          <w:tcPr/>
          <w:p>
            <w:pPr>
              <w:pStyle w:val="Compact"/>
              <w:jc w:val="right"/>
            </w:pPr>
            <w:r>
              <w:t xml:space="preserve">72%</w:t>
            </w:r>
          </w:p>
        </w:tc>
        <w:tc>
          <w:tcPr/>
          <w:p>
            <w:pPr>
              <w:pStyle w:val="Compact"/>
              <w:jc w:val="right"/>
            </w:pPr>
            <w:r>
              <w:t xml:space="preserve">0.00613</w:t>
            </w:r>
          </w:p>
        </w:tc>
        <w:tc>
          <w:tcPr/>
          <w:p>
            <w:pPr>
              <w:pStyle w:val="Compact"/>
              <w:jc w:val="right"/>
            </w:pPr>
            <w:r>
              <w:t xml:space="preserve">0.612</w:t>
            </w:r>
          </w:p>
        </w:tc>
        <w:tc>
          <w:tcPr/>
          <w:p>
            <w:pPr>
              <w:pStyle w:val="Compact"/>
            </w:pPr>
            <w:r>
              <w:t xml:space="preserve">Increased relative RR variability</w:t>
            </w:r>
          </w:p>
        </w:tc>
      </w:tr>
      <w:tr>
        <w:tc>
          <w:tcPr/>
          <w:p>
            <w:pPr>
              <w:pStyle w:val="Compact"/>
            </w:pPr>
            <w:r>
              <w:t xml:space="preserve">sd2</w:t>
            </w:r>
          </w:p>
        </w:tc>
        <w:tc>
          <w:tcPr/>
          <w:p>
            <w:pPr>
              <w:pStyle w:val="Compact"/>
              <w:jc w:val="right"/>
            </w:pPr>
            <w:r>
              <w:t xml:space="preserve">10.55</w:t>
            </w:r>
          </w:p>
        </w:tc>
        <w:tc>
          <w:tcPr/>
          <w:p>
            <w:pPr>
              <w:pStyle w:val="Compact"/>
              <w:jc w:val="right"/>
            </w:pPr>
            <w:r>
              <w:t xml:space="preserve">68%</w:t>
            </w:r>
          </w:p>
        </w:tc>
        <w:tc>
          <w:tcPr/>
          <w:p>
            <w:pPr>
              <w:pStyle w:val="Compact"/>
              <w:jc w:val="right"/>
            </w:pPr>
            <w:r>
              <w:t xml:space="preserve">0.01247</w:t>
            </w:r>
          </w:p>
        </w:tc>
        <w:tc>
          <w:tcPr/>
          <w:p>
            <w:pPr>
              <w:pStyle w:val="Compact"/>
              <w:jc w:val="right"/>
            </w:pPr>
            <w:r>
              <w:t xml:space="preserve">0.563</w:t>
            </w:r>
          </w:p>
        </w:tc>
        <w:tc>
          <w:tcPr/>
          <w:p>
            <w:pPr>
              <w:pStyle w:val="Compact"/>
            </w:pPr>
            <w:r>
              <w:t xml:space="preserve">Increased longer-term variability</w:t>
            </w:r>
          </w:p>
        </w:tc>
      </w:tr>
      <w:tr>
        <w:tc>
          <w:tcPr/>
          <w:p>
            <w:pPr>
              <w:pStyle w:val="Compact"/>
            </w:pPr>
            <w:r>
              <w:t xml:space="preserve">cusum_abs_max</w:t>
            </w:r>
          </w:p>
        </w:tc>
        <w:tc>
          <w:tcPr/>
          <w:p>
            <w:pPr>
              <w:pStyle w:val="Compact"/>
              <w:jc w:val="right"/>
            </w:pPr>
            <w:r>
              <w:t xml:space="preserve">173.49</w:t>
            </w:r>
          </w:p>
        </w:tc>
        <w:tc>
          <w:tcPr/>
          <w:p>
            <w:pPr>
              <w:pStyle w:val="Compact"/>
              <w:jc w:val="right"/>
            </w:pPr>
            <w:r>
              <w:t xml:space="preserve">60%</w:t>
            </w:r>
          </w:p>
        </w:tc>
        <w:tc>
          <w:tcPr/>
          <w:p>
            <w:pPr>
              <w:pStyle w:val="Compact"/>
              <w:jc w:val="right"/>
            </w:pPr>
            <w:r>
              <w:t xml:space="preserve">0.04215</w:t>
            </w:r>
          </w:p>
        </w:tc>
        <w:tc>
          <w:tcPr/>
          <w:p>
            <w:pPr>
              <w:pStyle w:val="Compact"/>
              <w:jc w:val="right"/>
            </w:pPr>
            <w:r>
              <w:t xml:space="preserve">0.465</w:t>
            </w:r>
          </w:p>
        </w:tc>
        <w:tc>
          <w:tcPr/>
          <w:p>
            <w:pPr>
              <w:pStyle w:val="Compact"/>
            </w:pPr>
            <w:r>
              <w:t xml:space="preserve">Higher cumulative deviation magnitude</w:t>
            </w:r>
          </w:p>
        </w:tc>
      </w:tr>
    </w:tbl>
    <w:p>
      <w:pPr>
        <w:pStyle w:val="BodyText"/>
      </w:pPr>
      <w:r>
        <w:t xml:space="preserve">These results suggest that the pre-onset condition is not characterized only by a shift in mean rhythm level. Instead, it shows increased instability, more frequent out-of-control behavior, and larger cumulative deviations.</w:t>
      </w:r>
    </w:p>
    <w:bookmarkEnd w:id="31"/>
    <w:bookmarkStart w:id="32" w:name="feature-block-performance"/>
    <w:p>
      <w:pPr>
        <w:pStyle w:val="Heading2"/>
      </w:pPr>
      <w:r>
        <w:t xml:space="preserve">3.3 Feature Block Performance</w:t>
      </w:r>
    </w:p>
    <w:p>
      <w:pPr>
        <w:pStyle w:val="FirstParagraph"/>
      </w:pPr>
      <w:r>
        <w:t xml:space="preserve">Cross-validation showed that SPC-enhanced representations improved over reduced HRV descriptors. In the 100-RR window, the strongest mean ROC-AUC was observed for the B_SPC block using Random Forest (AUC = 0.800, F1 = 0.693, sensitivity = 0.68, specificity = 0.76). The D_HRV_SPC_Poincare block also performed well with Random Forest (AUC = 0.792, F1 = 0.717, sensitivity = 0.72, specificity = 0.76). Logistic regression using the C_HRV_SPC block reached AUC = 0.768 and F1 = 0.702, supporting the feasibility of a more interpretable model.</w:t>
      </w:r>
    </w:p>
    <w:p>
      <w:pPr>
        <w:pStyle w:val="BodyText"/>
      </w:pPr>
      <w:r>
        <w:t xml:space="preserve">Table 4. Representative cross-validation results.</w:t>
      </w:r>
    </w:p>
    <w:tbl>
      <w:tblPr>
        <w:tblStyle w:val="Table"/>
        <w:tblW w:type="pct" w:w="5000"/>
        <w:tblLayout w:type="fixed"/>
        <w:tblLook w:firstRow="1" w:lastRow="0" w:firstColumn="0" w:lastColumn="0" w:noHBand="0" w:noVBand="0" w:val="0020"/>
      </w:tblPr>
      <w:tblGrid>
        <w:gridCol w:w="819"/>
        <w:gridCol w:w="819"/>
        <w:gridCol w:w="819"/>
        <w:gridCol w:w="1092"/>
        <w:gridCol w:w="1092"/>
        <w:gridCol w:w="1092"/>
        <w:gridCol w:w="1092"/>
        <w:gridCol w:w="1092"/>
      </w:tblGrid>
      <w:tr>
        <w:trPr>
          <w:tblHeader w:val="on"/>
        </w:trPr>
        <w:tc>
          <w:tcPr/>
          <w:p>
            <w:pPr>
              <w:pStyle w:val="Compact"/>
            </w:pPr>
            <w:r>
              <w:t xml:space="preserve">Scale</w:t>
            </w:r>
          </w:p>
        </w:tc>
        <w:tc>
          <w:tcPr/>
          <w:p>
            <w:pPr>
              <w:pStyle w:val="Compact"/>
            </w:pPr>
            <w:r>
              <w:t xml:space="preserve">Feature block</w:t>
            </w:r>
          </w:p>
        </w:tc>
        <w:tc>
          <w:tcPr/>
          <w:p>
            <w:pPr>
              <w:pStyle w:val="Compact"/>
            </w:pPr>
            <w:r>
              <w:t xml:space="preserve">Model</w:t>
            </w:r>
          </w:p>
        </w:tc>
        <w:tc>
          <w:tcPr/>
          <w:p>
            <w:pPr>
              <w:pStyle w:val="Compact"/>
              <w:jc w:val="right"/>
            </w:pPr>
            <w:r>
              <w:t xml:space="preserve">AUC mean</w:t>
            </w:r>
          </w:p>
        </w:tc>
        <w:tc>
          <w:tcPr/>
          <w:p>
            <w:pPr>
              <w:pStyle w:val="Compact"/>
              <w:jc w:val="right"/>
            </w:pPr>
            <w:r>
              <w:t xml:space="preserve">AUC SD</w:t>
            </w:r>
          </w:p>
        </w:tc>
        <w:tc>
          <w:tcPr/>
          <w:p>
            <w:pPr>
              <w:pStyle w:val="Compact"/>
              <w:jc w:val="right"/>
            </w:pPr>
            <w:r>
              <w:t xml:space="preserve">F1</w:t>
            </w:r>
          </w:p>
        </w:tc>
        <w:tc>
          <w:tcPr/>
          <w:p>
            <w:pPr>
              <w:pStyle w:val="Compact"/>
              <w:jc w:val="right"/>
            </w:pPr>
            <w:r>
              <w:t xml:space="preserve">Sensitivity</w:t>
            </w:r>
          </w:p>
        </w:tc>
        <w:tc>
          <w:tcPr/>
          <w:p>
            <w:pPr>
              <w:pStyle w:val="Compact"/>
              <w:jc w:val="right"/>
            </w:pPr>
            <w:r>
              <w:t xml:space="preserve">Specificity</w:t>
            </w:r>
          </w:p>
        </w:tc>
      </w:tr>
      <w:tr>
        <w:tc>
          <w:tcPr/>
          <w:p>
            <w:pPr>
              <w:pStyle w:val="Compact"/>
            </w:pPr>
            <w:r>
              <w:t xml:space="preserve">100 RR</w:t>
            </w:r>
          </w:p>
        </w:tc>
        <w:tc>
          <w:tcPr/>
          <w:p>
            <w:pPr>
              <w:pStyle w:val="Compact"/>
            </w:pPr>
            <w:r>
              <w:t xml:space="preserve">B_SPC</w:t>
            </w:r>
          </w:p>
        </w:tc>
        <w:tc>
          <w:tcPr/>
          <w:p>
            <w:pPr>
              <w:pStyle w:val="Compact"/>
            </w:pPr>
            <w:r>
              <w:t xml:space="preserve">Random Forest</w:t>
            </w:r>
          </w:p>
        </w:tc>
        <w:tc>
          <w:tcPr/>
          <w:p>
            <w:pPr>
              <w:pStyle w:val="Compact"/>
              <w:jc w:val="right"/>
            </w:pPr>
            <w:r>
              <w:t xml:space="preserve">0.800</w:t>
            </w:r>
          </w:p>
        </w:tc>
        <w:tc>
          <w:tcPr/>
          <w:p>
            <w:pPr>
              <w:pStyle w:val="Compact"/>
              <w:jc w:val="right"/>
            </w:pPr>
            <w:r>
              <w:t xml:space="preserve">0.166</w:t>
            </w:r>
          </w:p>
        </w:tc>
        <w:tc>
          <w:tcPr/>
          <w:p>
            <w:pPr>
              <w:pStyle w:val="Compact"/>
              <w:jc w:val="right"/>
            </w:pPr>
            <w:r>
              <w:t xml:space="preserve">0.693</w:t>
            </w:r>
          </w:p>
        </w:tc>
        <w:tc>
          <w:tcPr/>
          <w:p>
            <w:pPr>
              <w:pStyle w:val="Compact"/>
              <w:jc w:val="right"/>
            </w:pPr>
            <w:r>
              <w:t xml:space="preserve">0.68</w:t>
            </w:r>
          </w:p>
        </w:tc>
        <w:tc>
          <w:tcPr/>
          <w:p>
            <w:pPr>
              <w:pStyle w:val="Compact"/>
              <w:jc w:val="right"/>
            </w:pPr>
            <w:r>
              <w:t xml:space="preserve">0.76</w:t>
            </w:r>
          </w:p>
        </w:tc>
      </w:tr>
      <w:tr>
        <w:tc>
          <w:tcPr/>
          <w:p>
            <w:pPr>
              <w:pStyle w:val="Compact"/>
            </w:pPr>
            <w:r>
              <w:t xml:space="preserve">100 RR</w:t>
            </w:r>
          </w:p>
        </w:tc>
        <w:tc>
          <w:tcPr/>
          <w:p>
            <w:pPr>
              <w:pStyle w:val="Compact"/>
            </w:pPr>
            <w:r>
              <w:t xml:space="preserve">D_HRV_SPC_Poincare</w:t>
            </w:r>
          </w:p>
        </w:tc>
        <w:tc>
          <w:tcPr/>
          <w:p>
            <w:pPr>
              <w:pStyle w:val="Compact"/>
            </w:pPr>
            <w:r>
              <w:t xml:space="preserve">Random Forest</w:t>
            </w:r>
          </w:p>
        </w:tc>
        <w:tc>
          <w:tcPr/>
          <w:p>
            <w:pPr>
              <w:pStyle w:val="Compact"/>
              <w:jc w:val="right"/>
            </w:pPr>
            <w:r>
              <w:t xml:space="preserve">0.792</w:t>
            </w:r>
          </w:p>
        </w:tc>
        <w:tc>
          <w:tcPr/>
          <w:p>
            <w:pPr>
              <w:pStyle w:val="Compact"/>
              <w:jc w:val="right"/>
            </w:pPr>
            <w:r>
              <w:t xml:space="preserve">0.142</w:t>
            </w:r>
          </w:p>
        </w:tc>
        <w:tc>
          <w:tcPr/>
          <w:p>
            <w:pPr>
              <w:pStyle w:val="Compact"/>
              <w:jc w:val="right"/>
            </w:pPr>
            <w:r>
              <w:t xml:space="preserve">0.717</w:t>
            </w:r>
          </w:p>
        </w:tc>
        <w:tc>
          <w:tcPr/>
          <w:p>
            <w:pPr>
              <w:pStyle w:val="Compact"/>
              <w:jc w:val="right"/>
            </w:pPr>
            <w:r>
              <w:t xml:space="preserve">0.72</w:t>
            </w:r>
          </w:p>
        </w:tc>
        <w:tc>
          <w:tcPr/>
          <w:p>
            <w:pPr>
              <w:pStyle w:val="Compact"/>
              <w:jc w:val="right"/>
            </w:pPr>
            <w:r>
              <w:t xml:space="preserve">0.76</w:t>
            </w:r>
          </w:p>
        </w:tc>
      </w:tr>
      <w:tr>
        <w:tc>
          <w:tcPr/>
          <w:p>
            <w:pPr>
              <w:pStyle w:val="Compact"/>
            </w:pPr>
            <w:r>
              <w:t xml:space="preserve">100 RR</w:t>
            </w:r>
          </w:p>
        </w:tc>
        <w:tc>
          <w:tcPr/>
          <w:p>
            <w:pPr>
              <w:pStyle w:val="Compact"/>
            </w:pPr>
            <w:r>
              <w:t xml:space="preserve">C_HRV_SPC</w:t>
            </w:r>
          </w:p>
        </w:tc>
        <w:tc>
          <w:tcPr/>
          <w:p>
            <w:pPr>
              <w:pStyle w:val="Compact"/>
            </w:pPr>
            <w:r>
              <w:t xml:space="preserve">Random Forest</w:t>
            </w:r>
          </w:p>
        </w:tc>
        <w:tc>
          <w:tcPr/>
          <w:p>
            <w:pPr>
              <w:pStyle w:val="Compact"/>
              <w:jc w:val="right"/>
            </w:pPr>
            <w:r>
              <w:t xml:space="preserve">0.776</w:t>
            </w:r>
          </w:p>
        </w:tc>
        <w:tc>
          <w:tcPr/>
          <w:p>
            <w:pPr>
              <w:pStyle w:val="Compact"/>
              <w:jc w:val="right"/>
            </w:pPr>
            <w:r>
              <w:t xml:space="preserve">0.173</w:t>
            </w:r>
          </w:p>
        </w:tc>
        <w:tc>
          <w:tcPr/>
          <w:p>
            <w:pPr>
              <w:pStyle w:val="Compact"/>
              <w:jc w:val="right"/>
            </w:pPr>
            <w:r>
              <w:t xml:space="preserve">0.686</w:t>
            </w:r>
          </w:p>
        </w:tc>
        <w:tc>
          <w:tcPr/>
          <w:p>
            <w:pPr>
              <w:pStyle w:val="Compact"/>
              <w:jc w:val="right"/>
            </w:pPr>
            <w:r>
              <w:t xml:space="preserve">0.68</w:t>
            </w:r>
          </w:p>
        </w:tc>
        <w:tc>
          <w:tcPr/>
          <w:p>
            <w:pPr>
              <w:pStyle w:val="Compact"/>
              <w:jc w:val="right"/>
            </w:pPr>
            <w:r>
              <w:t xml:space="preserve">0.76</w:t>
            </w:r>
          </w:p>
        </w:tc>
      </w:tr>
      <w:tr>
        <w:tc>
          <w:tcPr/>
          <w:p>
            <w:pPr>
              <w:pStyle w:val="Compact"/>
            </w:pPr>
            <w:r>
              <w:t xml:space="preserve">100 RR</w:t>
            </w:r>
          </w:p>
        </w:tc>
        <w:tc>
          <w:tcPr/>
          <w:p>
            <w:pPr>
              <w:pStyle w:val="Compact"/>
            </w:pPr>
            <w:r>
              <w:t xml:space="preserve">C_HRV_SPC</w:t>
            </w:r>
          </w:p>
        </w:tc>
        <w:tc>
          <w:tcPr/>
          <w:p>
            <w:pPr>
              <w:pStyle w:val="Compact"/>
            </w:pPr>
            <w:r>
              <w:t xml:space="preserve">Logistic Regression</w:t>
            </w:r>
          </w:p>
        </w:tc>
        <w:tc>
          <w:tcPr/>
          <w:p>
            <w:pPr>
              <w:pStyle w:val="Compact"/>
              <w:jc w:val="right"/>
            </w:pPr>
            <w:r>
              <w:t xml:space="preserve">0.768</w:t>
            </w:r>
          </w:p>
        </w:tc>
        <w:tc>
          <w:tcPr/>
          <w:p>
            <w:pPr>
              <w:pStyle w:val="Compact"/>
              <w:jc w:val="right"/>
            </w:pPr>
            <w:r>
              <w:t xml:space="preserve">0.153</w:t>
            </w:r>
          </w:p>
        </w:tc>
        <w:tc>
          <w:tcPr/>
          <w:p>
            <w:pPr>
              <w:pStyle w:val="Compact"/>
              <w:jc w:val="right"/>
            </w:pPr>
            <w:r>
              <w:t xml:space="preserve">0.702</w:t>
            </w:r>
          </w:p>
        </w:tc>
        <w:tc>
          <w:tcPr/>
          <w:p>
            <w:pPr>
              <w:pStyle w:val="Compact"/>
              <w:jc w:val="right"/>
            </w:pPr>
            <w:r>
              <w:t xml:space="preserve">0.72</w:t>
            </w:r>
          </w:p>
        </w:tc>
        <w:tc>
          <w:tcPr/>
          <w:p>
            <w:pPr>
              <w:pStyle w:val="Compact"/>
              <w:jc w:val="right"/>
            </w:pPr>
            <w:r>
              <w:t xml:space="preserve">0.68</w:t>
            </w:r>
          </w:p>
        </w:tc>
      </w:tr>
      <w:tr>
        <w:tc>
          <w:tcPr/>
          <w:p>
            <w:pPr>
              <w:pStyle w:val="Compact"/>
            </w:pPr>
            <w:r>
              <w:t xml:space="preserve">100 RR</w:t>
            </w:r>
          </w:p>
        </w:tc>
        <w:tc>
          <w:tcPr/>
          <w:p>
            <w:pPr>
              <w:pStyle w:val="Compact"/>
            </w:pPr>
            <w:r>
              <w:t xml:space="preserve">B_SPC</w:t>
            </w:r>
          </w:p>
        </w:tc>
        <w:tc>
          <w:tcPr/>
          <w:p>
            <w:pPr>
              <w:pStyle w:val="Compact"/>
            </w:pPr>
            <w:r>
              <w:t xml:space="preserve">Logistic Regression</w:t>
            </w:r>
          </w:p>
        </w:tc>
        <w:tc>
          <w:tcPr/>
          <w:p>
            <w:pPr>
              <w:pStyle w:val="Compact"/>
              <w:jc w:val="right"/>
            </w:pPr>
            <w:r>
              <w:t xml:space="preserve">0.760</w:t>
            </w:r>
          </w:p>
        </w:tc>
        <w:tc>
          <w:tcPr/>
          <w:p>
            <w:pPr>
              <w:pStyle w:val="Compact"/>
              <w:jc w:val="right"/>
            </w:pPr>
            <w:r>
              <w:t xml:space="preserve">0.143</w:t>
            </w:r>
          </w:p>
        </w:tc>
        <w:tc>
          <w:tcPr/>
          <w:p>
            <w:pPr>
              <w:pStyle w:val="Compact"/>
              <w:jc w:val="right"/>
            </w:pPr>
            <w:r>
              <w:t xml:space="preserve">0.636</w:t>
            </w:r>
          </w:p>
        </w:tc>
        <w:tc>
          <w:tcPr/>
          <w:p>
            <w:pPr>
              <w:pStyle w:val="Compact"/>
              <w:jc w:val="right"/>
            </w:pPr>
            <w:r>
              <w:t xml:space="preserve">0.64</w:t>
            </w:r>
          </w:p>
        </w:tc>
        <w:tc>
          <w:tcPr/>
          <w:p>
            <w:pPr>
              <w:pStyle w:val="Compact"/>
              <w:jc w:val="right"/>
            </w:pPr>
            <w:r>
              <w:t xml:space="preserve">0.68</w:t>
            </w:r>
          </w:p>
        </w:tc>
      </w:tr>
      <w:tr>
        <w:tc>
          <w:tcPr/>
          <w:p>
            <w:pPr>
              <w:pStyle w:val="Compact"/>
            </w:pPr>
            <w:r>
              <w:t xml:space="preserve">300 s</w:t>
            </w:r>
          </w:p>
        </w:tc>
        <w:tc>
          <w:tcPr/>
          <w:p>
            <w:pPr>
              <w:pStyle w:val="Compact"/>
            </w:pPr>
            <w:r>
              <w:t xml:space="preserve">B_SPC</w:t>
            </w:r>
          </w:p>
        </w:tc>
        <w:tc>
          <w:tcPr/>
          <w:p>
            <w:pPr>
              <w:pStyle w:val="Compact"/>
            </w:pPr>
            <w:r>
              <w:t xml:space="preserve">Random Forest</w:t>
            </w:r>
          </w:p>
        </w:tc>
        <w:tc>
          <w:tcPr/>
          <w:p>
            <w:pPr>
              <w:pStyle w:val="Compact"/>
              <w:jc w:val="right"/>
            </w:pPr>
            <w:r>
              <w:t xml:space="preserve">0.752</w:t>
            </w:r>
          </w:p>
        </w:tc>
        <w:tc>
          <w:tcPr/>
          <w:p>
            <w:pPr>
              <w:pStyle w:val="Compact"/>
              <w:jc w:val="right"/>
            </w:pPr>
            <w:r>
              <w:t xml:space="preserve">0.192</w:t>
            </w:r>
          </w:p>
        </w:tc>
        <w:tc>
          <w:tcPr/>
          <w:p>
            <w:pPr>
              <w:pStyle w:val="Compact"/>
              <w:jc w:val="right"/>
            </w:pPr>
            <w:r>
              <w:t xml:space="preserve">0.735</w:t>
            </w:r>
          </w:p>
        </w:tc>
        <w:tc>
          <w:tcPr/>
          <w:p>
            <w:pPr>
              <w:pStyle w:val="Compact"/>
              <w:jc w:val="right"/>
            </w:pPr>
            <w:r>
              <w:t xml:space="preserve">0.72</w:t>
            </w:r>
          </w:p>
        </w:tc>
        <w:tc>
          <w:tcPr/>
          <w:p>
            <w:pPr>
              <w:pStyle w:val="Compact"/>
              <w:jc w:val="right"/>
            </w:pPr>
            <w:r>
              <w:t xml:space="preserve">0.80</w:t>
            </w:r>
          </w:p>
        </w:tc>
      </w:tr>
    </w:tbl>
    <w:p>
      <w:pPr>
        <w:pStyle w:val="BodyText"/>
      </w:pPr>
      <w:r>
        <w:t xml:space="preserve">The 100-RR scale emerged as a strong operational scale for discriminative modeling, especially for SPC-based blocks. However, given the limited sample size, these estimates should be interpreted as feasibility evidence rather than definitive model-performance claims.</w:t>
      </w:r>
    </w:p>
    <w:bookmarkEnd w:id="32"/>
    <w:bookmarkStart w:id="33" w:name="X6f6bc799dd946cf54bb7686bec63d5f0b762c8e"/>
    <w:p>
      <w:pPr>
        <w:pStyle w:val="Heading2"/>
      </w:pPr>
      <w:r>
        <w:t xml:space="preserve">3.4 Bootstrap Confidence Intervals and Pairwise Concordance</w:t>
      </w:r>
    </w:p>
    <w:p>
      <w:pPr>
        <w:pStyle w:val="FirstParagraph"/>
      </w:pPr>
      <w:r>
        <w:t xml:space="preserve">Pair-level bootstrap results supported the added value of SPC features over reduced HRV descriptors. The reduced HRV block obtained an observed AUC of 0.654 (95% CI: 0.582–0.730) and pairwise concordance of 0.720 (95% CI: 0.600–0.867). The B_SPC block obtained an observed AUC of 0.776 (95% CI: 0.704–0.862) and pairwise concordance of 0.840 (95% CI: 0.733–0.941). The pruned B_SPC block showed slightly lower AUC (0.752; 95% CI: 0.680–0.834) but higher pairwise concordance (0.880; 95% CI: 0.786–1.000), suggesting that removing collinear features may improve pair-ordering stability even if global AUC decreases.</w:t>
      </w:r>
    </w:p>
    <w:p>
      <w:pPr>
        <w:pStyle w:val="BodyText"/>
      </w:pPr>
      <w:r>
        <w:t xml:space="preserve">Table 5. Bootstrap summary by feature configuration.</w:t>
      </w:r>
    </w:p>
    <w:tbl>
      <w:tblPr>
        <w:tblStyle w:val="Table"/>
        <w:tblW w:type="pct" w:w="5000"/>
        <w:tblLayout w:type="fixed"/>
        <w:tblLook w:firstRow="1" w:lastRow="0" w:firstColumn="0" w:lastColumn="0" w:noHBand="0" w:noVBand="0" w:val="0020"/>
      </w:tblPr>
      <w:tblGrid>
        <w:gridCol w:w="950"/>
        <w:gridCol w:w="1267"/>
        <w:gridCol w:w="950"/>
        <w:gridCol w:w="1267"/>
        <w:gridCol w:w="1267"/>
        <w:gridCol w:w="1267"/>
        <w:gridCol w:w="950"/>
      </w:tblGrid>
      <w:tr>
        <w:trPr>
          <w:tblHeader w:val="on"/>
        </w:trPr>
        <w:tc>
          <w:tcPr/>
          <w:p>
            <w:pPr>
              <w:pStyle w:val="Compact"/>
            </w:pPr>
            <w:r>
              <w:t xml:space="preserve">Configuration</w:t>
            </w:r>
          </w:p>
        </w:tc>
        <w:tc>
          <w:tcPr/>
          <w:p>
            <w:pPr>
              <w:pStyle w:val="Compact"/>
              <w:jc w:val="right"/>
            </w:pPr>
            <w:r>
              <w:t xml:space="preserve">AUC</w:t>
            </w:r>
          </w:p>
        </w:tc>
        <w:tc>
          <w:tcPr/>
          <w:p>
            <w:pPr>
              <w:pStyle w:val="Compact"/>
            </w:pPr>
            <w:r>
              <w:t xml:space="preserve">95% CI</w:t>
            </w:r>
          </w:p>
        </w:tc>
        <w:tc>
          <w:tcPr/>
          <w:p>
            <w:pPr>
              <w:pStyle w:val="Compact"/>
              <w:jc w:val="right"/>
            </w:pPr>
            <w:r>
              <w:t xml:space="preserve">Balanced accuracy</w:t>
            </w:r>
          </w:p>
        </w:tc>
        <w:tc>
          <w:tcPr/>
          <w:p>
            <w:pPr>
              <w:pStyle w:val="Compact"/>
              <w:jc w:val="right"/>
            </w:pPr>
            <w:r>
              <w:t xml:space="preserve">F1</w:t>
            </w:r>
          </w:p>
        </w:tc>
        <w:tc>
          <w:tcPr/>
          <w:p>
            <w:pPr>
              <w:pStyle w:val="Compact"/>
              <w:jc w:val="right"/>
            </w:pPr>
            <w:r>
              <w:t xml:space="preserve">Pairwise concordance</w:t>
            </w:r>
          </w:p>
        </w:tc>
        <w:tc>
          <w:tcPr/>
          <w:p>
            <w:pPr>
              <w:pStyle w:val="Compact"/>
            </w:pPr>
            <w:r>
              <w:t xml:space="preserve">95% CI</w:t>
            </w:r>
          </w:p>
        </w:tc>
      </w:tr>
      <w:tr>
        <w:tc>
          <w:tcPr/>
          <w:p>
            <w:pPr>
              <w:pStyle w:val="Compact"/>
            </w:pPr>
            <w:r>
              <w:t xml:space="preserve">HRV reduced</w:t>
            </w:r>
          </w:p>
        </w:tc>
        <w:tc>
          <w:tcPr/>
          <w:p>
            <w:pPr>
              <w:pStyle w:val="Compact"/>
              <w:jc w:val="right"/>
            </w:pPr>
            <w:r>
              <w:t xml:space="preserve">0.654</w:t>
            </w:r>
          </w:p>
        </w:tc>
        <w:tc>
          <w:tcPr/>
          <w:p>
            <w:pPr>
              <w:pStyle w:val="Compact"/>
            </w:pPr>
            <w:r>
              <w:t xml:space="preserve">0.582–0.730</w:t>
            </w:r>
          </w:p>
        </w:tc>
        <w:tc>
          <w:tcPr/>
          <w:p>
            <w:pPr>
              <w:pStyle w:val="Compact"/>
              <w:jc w:val="right"/>
            </w:pPr>
            <w:r>
              <w:t xml:space="preserve">0.640</w:t>
            </w:r>
          </w:p>
        </w:tc>
        <w:tc>
          <w:tcPr/>
          <w:p>
            <w:pPr>
              <w:pStyle w:val="Compact"/>
              <w:jc w:val="right"/>
            </w:pPr>
            <w:r>
              <w:t xml:space="preserve">0.609</w:t>
            </w:r>
          </w:p>
        </w:tc>
        <w:tc>
          <w:tcPr/>
          <w:p>
            <w:pPr>
              <w:pStyle w:val="Compact"/>
              <w:jc w:val="right"/>
            </w:pPr>
            <w:r>
              <w:t xml:space="preserve">0.720</w:t>
            </w:r>
          </w:p>
        </w:tc>
        <w:tc>
          <w:tcPr/>
          <w:p>
            <w:pPr>
              <w:pStyle w:val="Compact"/>
            </w:pPr>
            <w:r>
              <w:t xml:space="preserve">0.600–0.867</w:t>
            </w:r>
          </w:p>
        </w:tc>
      </w:tr>
      <w:tr>
        <w:tc>
          <w:tcPr/>
          <w:p>
            <w:pPr>
              <w:pStyle w:val="Compact"/>
            </w:pPr>
            <w:r>
              <w:t xml:space="preserve">B_SPC</w:t>
            </w:r>
          </w:p>
        </w:tc>
        <w:tc>
          <w:tcPr/>
          <w:p>
            <w:pPr>
              <w:pStyle w:val="Compact"/>
              <w:jc w:val="right"/>
            </w:pPr>
            <w:r>
              <w:t xml:space="preserve">0.776</w:t>
            </w:r>
          </w:p>
        </w:tc>
        <w:tc>
          <w:tcPr/>
          <w:p>
            <w:pPr>
              <w:pStyle w:val="Compact"/>
            </w:pPr>
            <w:r>
              <w:t xml:space="preserve">0.704–0.862</w:t>
            </w:r>
          </w:p>
        </w:tc>
        <w:tc>
          <w:tcPr/>
          <w:p>
            <w:pPr>
              <w:pStyle w:val="Compact"/>
              <w:jc w:val="right"/>
            </w:pPr>
            <w:r>
              <w:t xml:space="preserve">0.700</w:t>
            </w:r>
          </w:p>
        </w:tc>
        <w:tc>
          <w:tcPr/>
          <w:p>
            <w:pPr>
              <w:pStyle w:val="Compact"/>
              <w:jc w:val="right"/>
            </w:pPr>
            <w:r>
              <w:t xml:space="preserve">0.694</w:t>
            </w:r>
          </w:p>
        </w:tc>
        <w:tc>
          <w:tcPr/>
          <w:p>
            <w:pPr>
              <w:pStyle w:val="Compact"/>
              <w:jc w:val="right"/>
            </w:pPr>
            <w:r>
              <w:t xml:space="preserve">0.840</w:t>
            </w:r>
          </w:p>
        </w:tc>
        <w:tc>
          <w:tcPr/>
          <w:p>
            <w:pPr>
              <w:pStyle w:val="Compact"/>
            </w:pPr>
            <w:r>
              <w:t xml:space="preserve">0.733–0.941</w:t>
            </w:r>
          </w:p>
        </w:tc>
      </w:tr>
      <w:tr>
        <w:tc>
          <w:tcPr/>
          <w:p>
            <w:pPr>
              <w:pStyle w:val="Compact"/>
            </w:pPr>
            <w:r>
              <w:t xml:space="preserve">B_SPC pruned</w:t>
            </w:r>
          </w:p>
        </w:tc>
        <w:tc>
          <w:tcPr/>
          <w:p>
            <w:pPr>
              <w:pStyle w:val="Compact"/>
              <w:jc w:val="right"/>
            </w:pPr>
            <w:r>
              <w:t xml:space="preserve">0.752</w:t>
            </w:r>
          </w:p>
        </w:tc>
        <w:tc>
          <w:tcPr/>
          <w:p>
            <w:pPr>
              <w:pStyle w:val="Compact"/>
            </w:pPr>
            <w:r>
              <w:t xml:space="preserve">0.680–0.834</w:t>
            </w:r>
          </w:p>
        </w:tc>
        <w:tc>
          <w:tcPr/>
          <w:p>
            <w:pPr>
              <w:pStyle w:val="Compact"/>
              <w:jc w:val="right"/>
            </w:pPr>
            <w:r>
              <w:t xml:space="preserve">0.660</w:t>
            </w:r>
          </w:p>
        </w:tc>
        <w:tc>
          <w:tcPr/>
          <w:p>
            <w:pPr>
              <w:pStyle w:val="Compact"/>
              <w:jc w:val="right"/>
            </w:pPr>
            <w:r>
              <w:t xml:space="preserve">0.653</w:t>
            </w:r>
          </w:p>
        </w:tc>
        <w:tc>
          <w:tcPr/>
          <w:p>
            <w:pPr>
              <w:pStyle w:val="Compact"/>
              <w:jc w:val="right"/>
            </w:pPr>
            <w:r>
              <w:t xml:space="preserve">0.880</w:t>
            </w:r>
          </w:p>
        </w:tc>
        <w:tc>
          <w:tcPr/>
          <w:p>
            <w:pPr>
              <w:pStyle w:val="Compact"/>
            </w:pPr>
            <w:r>
              <w:t xml:space="preserve">0.786–1.000</w:t>
            </w:r>
          </w:p>
        </w:tc>
      </w:tr>
      <w:tr>
        <w:tc>
          <w:tcPr/>
          <w:p>
            <w:pPr>
              <w:pStyle w:val="Compact"/>
            </w:pPr>
            <w:r>
              <w:t xml:space="preserve">C_HRV_SPC</w:t>
            </w:r>
          </w:p>
        </w:tc>
        <w:tc>
          <w:tcPr/>
          <w:p>
            <w:pPr>
              <w:pStyle w:val="Compact"/>
              <w:jc w:val="right"/>
            </w:pPr>
            <w:r>
              <w:t xml:space="preserve">0.766</w:t>
            </w:r>
          </w:p>
        </w:tc>
        <w:tc>
          <w:tcPr/>
          <w:p>
            <w:pPr>
              <w:pStyle w:val="Compact"/>
            </w:pPr>
            <w:r>
              <w:t xml:space="preserve">0.695–0.861</w:t>
            </w:r>
          </w:p>
        </w:tc>
        <w:tc>
          <w:tcPr/>
          <w:p>
            <w:pPr>
              <w:pStyle w:val="Compact"/>
              <w:jc w:val="right"/>
            </w:pPr>
            <w:r>
              <w:t xml:space="preserve">0.680</w:t>
            </w:r>
          </w:p>
        </w:tc>
        <w:tc>
          <w:tcPr/>
          <w:p>
            <w:pPr>
              <w:pStyle w:val="Compact"/>
              <w:jc w:val="right"/>
            </w:pPr>
            <w:r>
              <w:t xml:space="preserve">0.680</w:t>
            </w:r>
          </w:p>
        </w:tc>
        <w:tc>
          <w:tcPr/>
          <w:p>
            <w:pPr>
              <w:pStyle w:val="Compact"/>
              <w:jc w:val="right"/>
            </w:pPr>
            <w:r>
              <w:t xml:space="preserve">0.840</w:t>
            </w:r>
          </w:p>
        </w:tc>
        <w:tc>
          <w:tcPr/>
          <w:p>
            <w:pPr>
              <w:pStyle w:val="Compact"/>
            </w:pPr>
            <w:r>
              <w:t xml:space="preserve">0.733–0.941</w:t>
            </w:r>
          </w:p>
        </w:tc>
      </w:tr>
      <w:tr>
        <w:tc>
          <w:tcPr/>
          <w:p>
            <w:pPr>
              <w:pStyle w:val="Compact"/>
            </w:pPr>
            <w:r>
              <w:t xml:space="preserve">D_HRV_SPC_Poincare</w:t>
            </w:r>
          </w:p>
        </w:tc>
        <w:tc>
          <w:tcPr/>
          <w:p>
            <w:pPr>
              <w:pStyle w:val="Compact"/>
              <w:jc w:val="right"/>
            </w:pPr>
            <w:r>
              <w:t xml:space="preserve">0.776</w:t>
            </w:r>
          </w:p>
        </w:tc>
        <w:tc>
          <w:tcPr/>
          <w:p>
            <w:pPr>
              <w:pStyle w:val="Compact"/>
            </w:pPr>
            <w:r>
              <w:t xml:space="preserve">0.702–0.865</w:t>
            </w:r>
          </w:p>
        </w:tc>
        <w:tc>
          <w:tcPr/>
          <w:p>
            <w:pPr>
              <w:pStyle w:val="Compact"/>
              <w:jc w:val="right"/>
            </w:pPr>
            <w:r>
              <w:t xml:space="preserve">0.680</w:t>
            </w:r>
          </w:p>
        </w:tc>
        <w:tc>
          <w:tcPr/>
          <w:p>
            <w:pPr>
              <w:pStyle w:val="Compact"/>
              <w:jc w:val="right"/>
            </w:pPr>
            <w:r>
              <w:t xml:space="preserve">0.680</w:t>
            </w:r>
          </w:p>
        </w:tc>
        <w:tc>
          <w:tcPr/>
          <w:p>
            <w:pPr>
              <w:pStyle w:val="Compact"/>
              <w:jc w:val="right"/>
            </w:pPr>
            <w:r>
              <w:t xml:space="preserve">0.840</w:t>
            </w:r>
          </w:p>
        </w:tc>
        <w:tc>
          <w:tcPr/>
          <w:p>
            <w:pPr>
              <w:pStyle w:val="Compact"/>
            </w:pPr>
            <w:r>
              <w:t xml:space="preserve">0.733–0.941</w:t>
            </w:r>
          </w:p>
        </w:tc>
      </w:tr>
    </w:tbl>
    <w:p>
      <w:pPr>
        <w:pStyle w:val="BodyText"/>
      </w:pPr>
      <w:r>
        <w:t xml:space="preserve">These results indicate that SPC descriptors capture pre-onset information not fully represented by the reduced HRV block.</w:t>
      </w:r>
    </w:p>
    <w:bookmarkEnd w:id="33"/>
    <w:bookmarkStart w:id="34" w:name="multiscale-temporal-aggregation"/>
    <w:p>
      <w:pPr>
        <w:pStyle w:val="Heading2"/>
      </w:pPr>
      <w:r>
        <w:t xml:space="preserve">3.5 Multiscale Temporal Aggregation</w:t>
      </w:r>
    </w:p>
    <w:p>
      <w:pPr>
        <w:pStyle w:val="FirstParagraph"/>
      </w:pPr>
      <w:r>
        <w:t xml:space="preserve">Temporal aggregation analysis showed that different scales capture different aspects of the pre-onset state. Using 70 features, the 100-RR window achieved AUC = 0.792 and pairwise concordance = 0.76. The 300-s representation achieved AUC = 0.816 and pairwise concordance = 0.84. The full-record representation achieved the highest retrospective summary performance, with AUC = 0.864 and pairwise concordance = 0.92.</w:t>
      </w:r>
    </w:p>
    <w:p>
      <w:pPr>
        <w:pStyle w:val="BodyText"/>
      </w:pPr>
      <w:r>
        <w:t xml:space="preserve">Table 6. Temporal aggregation results.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Window type</w:t>
            </w:r>
          </w:p>
        </w:tc>
        <w:tc>
          <w:tcPr/>
          <w:p>
            <w:pPr>
              <w:pStyle w:val="Compact"/>
              <w:jc w:val="right"/>
            </w:pPr>
            <w:r>
              <w:t xml:space="preserve">Window size</w:t>
            </w:r>
          </w:p>
        </w:tc>
        <w:tc>
          <w:tcPr/>
          <w:p>
            <w:pPr>
              <w:pStyle w:val="Compact"/>
              <w:jc w:val="right"/>
            </w:pPr>
            <w:r>
              <w:t xml:space="preserve">Number of features</w:t>
            </w:r>
          </w:p>
        </w:tc>
        <w:tc>
          <w:tcPr/>
          <w:p>
            <w:pPr>
              <w:pStyle w:val="Compact"/>
              <w:jc w:val="right"/>
            </w:pPr>
            <w:r>
              <w:t xml:space="preserve">AUC mean</w:t>
            </w:r>
          </w:p>
        </w:tc>
        <w:tc>
          <w:tcPr/>
          <w:p>
            <w:pPr>
              <w:pStyle w:val="Compact"/>
              <w:jc w:val="right"/>
            </w:pPr>
            <w:r>
              <w:t xml:space="preserve">Pairwise concordance</w:t>
            </w:r>
          </w:p>
        </w:tc>
      </w:tr>
      <w:tr>
        <w:tc>
          <w:tcPr/>
          <w:p>
            <w:pPr>
              <w:pStyle w:val="Compact"/>
            </w:pPr>
            <w:r>
              <w:t xml:space="preserve">RR-count</w:t>
            </w:r>
          </w:p>
        </w:tc>
        <w:tc>
          <w:tcPr/>
          <w:p>
            <w:pPr>
              <w:pStyle w:val="Compact"/>
              <w:jc w:val="right"/>
            </w:pPr>
            <w:r>
              <w:t xml:space="preserve">100 RR</w:t>
            </w:r>
          </w:p>
        </w:tc>
        <w:tc>
          <w:tcPr/>
          <w:p>
            <w:pPr>
              <w:pStyle w:val="Compact"/>
              <w:jc w:val="right"/>
            </w:pPr>
            <w:r>
              <w:t xml:space="preserve">70</w:t>
            </w:r>
          </w:p>
        </w:tc>
        <w:tc>
          <w:tcPr/>
          <w:p>
            <w:pPr>
              <w:pStyle w:val="Compact"/>
              <w:jc w:val="right"/>
            </w:pPr>
            <w:r>
              <w:t xml:space="preserve">0.792</w:t>
            </w:r>
          </w:p>
        </w:tc>
        <w:tc>
          <w:tcPr/>
          <w:p>
            <w:pPr>
              <w:pStyle w:val="Compact"/>
              <w:jc w:val="right"/>
            </w:pPr>
            <w:r>
              <w:t xml:space="preserve">0.76</w:t>
            </w:r>
          </w:p>
        </w:tc>
      </w:tr>
      <w:tr>
        <w:tc>
          <w:tcPr/>
          <w:p>
            <w:pPr>
              <w:pStyle w:val="Compact"/>
            </w:pPr>
            <w:r>
              <w:t xml:space="preserve">RR-count</w:t>
            </w:r>
          </w:p>
        </w:tc>
        <w:tc>
          <w:tcPr/>
          <w:p>
            <w:pPr>
              <w:pStyle w:val="Compact"/>
              <w:jc w:val="right"/>
            </w:pPr>
            <w:r>
              <w:t xml:space="preserve">128 RR</w:t>
            </w:r>
          </w:p>
        </w:tc>
        <w:tc>
          <w:tcPr/>
          <w:p>
            <w:pPr>
              <w:pStyle w:val="Compact"/>
              <w:jc w:val="right"/>
            </w:pPr>
            <w:r>
              <w:t xml:space="preserve">70</w:t>
            </w:r>
          </w:p>
        </w:tc>
        <w:tc>
          <w:tcPr/>
          <w:p>
            <w:pPr>
              <w:pStyle w:val="Compact"/>
              <w:jc w:val="right"/>
            </w:pPr>
            <w:r>
              <w:t xml:space="preserve">0.744</w:t>
            </w:r>
          </w:p>
        </w:tc>
        <w:tc>
          <w:tcPr/>
          <w:p>
            <w:pPr>
              <w:pStyle w:val="Compact"/>
              <w:jc w:val="right"/>
            </w:pPr>
            <w:r>
              <w:t xml:space="preserve">0.76</w:t>
            </w:r>
          </w:p>
        </w:tc>
      </w:tr>
      <w:tr>
        <w:tc>
          <w:tcPr/>
          <w:p>
            <w:pPr>
              <w:pStyle w:val="Compact"/>
            </w:pPr>
            <w:r>
              <w:t xml:space="preserve">Time</w:t>
            </w:r>
          </w:p>
        </w:tc>
        <w:tc>
          <w:tcPr/>
          <w:p>
            <w:pPr>
              <w:pStyle w:val="Compact"/>
              <w:jc w:val="right"/>
            </w:pPr>
            <w:r>
              <w:t xml:space="preserve">300 s</w:t>
            </w:r>
          </w:p>
        </w:tc>
        <w:tc>
          <w:tcPr/>
          <w:p>
            <w:pPr>
              <w:pStyle w:val="Compact"/>
              <w:jc w:val="right"/>
            </w:pPr>
            <w:r>
              <w:t xml:space="preserve">70</w:t>
            </w:r>
          </w:p>
        </w:tc>
        <w:tc>
          <w:tcPr/>
          <w:p>
            <w:pPr>
              <w:pStyle w:val="Compact"/>
              <w:jc w:val="right"/>
            </w:pPr>
            <w:r>
              <w:t xml:space="preserve">0.816</w:t>
            </w:r>
          </w:p>
        </w:tc>
        <w:tc>
          <w:tcPr/>
          <w:p>
            <w:pPr>
              <w:pStyle w:val="Compact"/>
              <w:jc w:val="right"/>
            </w:pPr>
            <w:r>
              <w:t xml:space="preserve">0.84</w:t>
            </w:r>
          </w:p>
        </w:tc>
      </w:tr>
      <w:tr>
        <w:tc>
          <w:tcPr/>
          <w:p>
            <w:pPr>
              <w:pStyle w:val="Compact"/>
            </w:pPr>
            <w:r>
              <w:t xml:space="preserve">Full record</w:t>
            </w:r>
          </w:p>
        </w:tc>
        <w:tc>
          <w:tcPr/>
          <w:p>
            <w:pPr>
              <w:pStyle w:val="Compact"/>
              <w:jc w:val="right"/>
            </w:pPr>
            <w:r>
              <w:t xml:space="preserve">1800 s</w:t>
            </w:r>
          </w:p>
        </w:tc>
        <w:tc>
          <w:tcPr/>
          <w:p>
            <w:pPr>
              <w:pStyle w:val="Compact"/>
              <w:jc w:val="right"/>
            </w:pPr>
            <w:r>
              <w:t xml:space="preserve">70</w:t>
            </w:r>
          </w:p>
        </w:tc>
        <w:tc>
          <w:tcPr/>
          <w:p>
            <w:pPr>
              <w:pStyle w:val="Compact"/>
              <w:jc w:val="right"/>
            </w:pPr>
            <w:r>
              <w:t xml:space="preserve">0.864</w:t>
            </w:r>
          </w:p>
        </w:tc>
        <w:tc>
          <w:tcPr/>
          <w:p>
            <w:pPr>
              <w:pStyle w:val="Compact"/>
              <w:jc w:val="right"/>
            </w:pPr>
            <w:r>
              <w:t xml:space="preserve">0.92</w:t>
            </w:r>
          </w:p>
        </w:tc>
      </w:tr>
    </w:tbl>
    <w:p>
      <w:pPr>
        <w:pStyle w:val="BodyText"/>
      </w:pPr>
      <w:r>
        <w:t xml:space="preserve">The full-record result should not be interpreted as real-time early prediction, since it summarizes the entire 30-min segment. Instead, it provides evidence that pre-onset rhythm instability is distributed across the record and can be captured retrospectively by multiscale SPC descriptors.</w:t>
      </w:r>
    </w:p>
    <w:bookmarkEnd w:id="34"/>
    <w:bookmarkStart w:id="35" w:name="logistic-regression-interpretability"/>
    <w:p>
      <w:pPr>
        <w:pStyle w:val="Heading2"/>
      </w:pPr>
      <w:r>
        <w:t xml:space="preserve">3.6 Logistic Regression Interpretability</w:t>
      </w:r>
    </w:p>
    <w:p>
      <w:pPr>
        <w:pStyle w:val="FirstParagraph"/>
      </w:pPr>
      <w:r>
        <w:t xml:space="preserve">Logistic regression coefficient stability was examined to identify consistent directional effects. In the full HRV block, SD1/SD2 ratio, MAD_RR, SD2, and RR standard deviation showed positive stable coefficients, while RR difference mean showed a stable negative coefficient. In the reduced HRV block, RMSSD showed a stable positive coefficient. These results reinforce the paired delta findings: pre-onset records tend to show greater variability and rhythm irregularity.</w:t>
      </w:r>
    </w:p>
    <w:p>
      <w:pPr>
        <w:pStyle w:val="BodyText"/>
      </w:pPr>
      <w:r>
        <w:t xml:space="preserve">Table 7. Stable logistic regression coefficients from HRV blocks.</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Feature</w:t>
            </w:r>
          </w:p>
        </w:tc>
        <w:tc>
          <w:tcPr/>
          <w:p>
            <w:pPr>
              <w:pStyle w:val="Compact"/>
              <w:jc w:val="right"/>
            </w:pPr>
            <w:r>
              <w:t xml:space="preserve">Mean coefficient</w:t>
            </w:r>
          </w:p>
        </w:tc>
        <w:tc>
          <w:tcPr/>
          <w:p>
            <w:pPr>
              <w:pStyle w:val="Compact"/>
              <w:jc w:val="right"/>
            </w:pPr>
            <w:r>
              <w:t xml:space="preserve">Fold sign stability</w:t>
            </w:r>
          </w:p>
        </w:tc>
        <w:tc>
          <w:tcPr/>
          <w:p>
            <w:pPr>
              <w:pStyle w:val="Compact"/>
            </w:pPr>
            <w:r>
              <w:t xml:space="preserve">Block</w:t>
            </w:r>
          </w:p>
        </w:tc>
        <w:tc>
          <w:tcPr/>
          <w:p>
            <w:pPr>
              <w:pStyle w:val="Compact"/>
            </w:pPr>
            <w:r>
              <w:t xml:space="preserve">Interpretation</w:t>
            </w:r>
          </w:p>
        </w:tc>
      </w:tr>
      <w:tr>
        <w:tc>
          <w:tcPr/>
          <w:p>
            <w:pPr>
              <w:pStyle w:val="Compact"/>
            </w:pPr>
            <w:r>
              <w:t xml:space="preserve">sd1_sd2_ratio</w:t>
            </w:r>
          </w:p>
        </w:tc>
        <w:tc>
          <w:tcPr/>
          <w:p>
            <w:pPr>
              <w:pStyle w:val="Compact"/>
              <w:jc w:val="right"/>
            </w:pPr>
            <w:r>
              <w:t xml:space="preserve">0.837</w:t>
            </w:r>
          </w:p>
        </w:tc>
        <w:tc>
          <w:tcPr/>
          <w:p>
            <w:pPr>
              <w:pStyle w:val="Compact"/>
              <w:jc w:val="right"/>
            </w:pPr>
            <w:r>
              <w:t xml:space="preserve">100% positive</w:t>
            </w:r>
          </w:p>
        </w:tc>
        <w:tc>
          <w:tcPr/>
          <w:p>
            <w:pPr>
              <w:pStyle w:val="Compact"/>
            </w:pPr>
            <w:r>
              <w:t xml:space="preserve">HRV full</w:t>
            </w:r>
          </w:p>
        </w:tc>
        <w:tc>
          <w:tcPr/>
          <w:p>
            <w:pPr>
              <w:pStyle w:val="Compact"/>
            </w:pPr>
            <w:r>
              <w:t xml:space="preserve">Greater relative short-term variability</w:t>
            </w:r>
          </w:p>
        </w:tc>
      </w:tr>
      <w:tr>
        <w:tc>
          <w:tcPr/>
          <w:p>
            <w:pPr>
              <w:pStyle w:val="Compact"/>
            </w:pPr>
            <w:r>
              <w:t xml:space="preserve">rr_diff_mean</w:t>
            </w:r>
          </w:p>
        </w:tc>
        <w:tc>
          <w:tcPr/>
          <w:p>
            <w:pPr>
              <w:pStyle w:val="Compact"/>
              <w:jc w:val="right"/>
            </w:pPr>
            <w:r>
              <w:t xml:space="preserve">-0.581</w:t>
            </w:r>
          </w:p>
        </w:tc>
        <w:tc>
          <w:tcPr/>
          <w:p>
            <w:pPr>
              <w:pStyle w:val="Compact"/>
              <w:jc w:val="right"/>
            </w:pPr>
            <w:r>
              <w:t xml:space="preserve">100% negative</w:t>
            </w:r>
          </w:p>
        </w:tc>
        <w:tc>
          <w:tcPr/>
          <w:p>
            <w:pPr>
              <w:pStyle w:val="Compact"/>
            </w:pPr>
            <w:r>
              <w:t xml:space="preserve">HRV full</w:t>
            </w:r>
          </w:p>
        </w:tc>
        <w:tc>
          <w:tcPr/>
          <w:p>
            <w:pPr>
              <w:pStyle w:val="Compact"/>
            </w:pPr>
            <w:r>
              <w:t xml:space="preserve">Directional RR difference pattern</w:t>
            </w:r>
          </w:p>
        </w:tc>
      </w:tr>
      <w:tr>
        <w:tc>
          <w:tcPr/>
          <w:p>
            <w:pPr>
              <w:pStyle w:val="Compact"/>
            </w:pPr>
            <w:r>
              <w:t xml:space="preserve">mad_rr</w:t>
            </w:r>
          </w:p>
        </w:tc>
        <w:tc>
          <w:tcPr/>
          <w:p>
            <w:pPr>
              <w:pStyle w:val="Compact"/>
              <w:jc w:val="right"/>
            </w:pPr>
            <w:r>
              <w:t xml:space="preserve">0.548</w:t>
            </w:r>
          </w:p>
        </w:tc>
        <w:tc>
          <w:tcPr/>
          <w:p>
            <w:pPr>
              <w:pStyle w:val="Compact"/>
              <w:jc w:val="right"/>
            </w:pPr>
            <w:r>
              <w:t xml:space="preserve">100% positive</w:t>
            </w:r>
          </w:p>
        </w:tc>
        <w:tc>
          <w:tcPr/>
          <w:p>
            <w:pPr>
              <w:pStyle w:val="Compact"/>
            </w:pPr>
            <w:r>
              <w:t xml:space="preserve">HRV full</w:t>
            </w:r>
          </w:p>
        </w:tc>
        <w:tc>
          <w:tcPr/>
          <w:p>
            <w:pPr>
              <w:pStyle w:val="Compact"/>
            </w:pPr>
            <w:r>
              <w:t xml:space="preserve">Increased robust RR dispersion</w:t>
            </w:r>
          </w:p>
        </w:tc>
      </w:tr>
      <w:tr>
        <w:tc>
          <w:tcPr/>
          <w:p>
            <w:pPr>
              <w:pStyle w:val="Compact"/>
            </w:pPr>
            <w:r>
              <w:t xml:space="preserve">sd2</w:t>
            </w:r>
          </w:p>
        </w:tc>
        <w:tc>
          <w:tcPr/>
          <w:p>
            <w:pPr>
              <w:pStyle w:val="Compact"/>
              <w:jc w:val="right"/>
            </w:pPr>
            <w:r>
              <w:t xml:space="preserve">0.343</w:t>
            </w:r>
          </w:p>
        </w:tc>
        <w:tc>
          <w:tcPr/>
          <w:p>
            <w:pPr>
              <w:pStyle w:val="Compact"/>
              <w:jc w:val="right"/>
            </w:pPr>
            <w:r>
              <w:t xml:space="preserve">100% positive</w:t>
            </w:r>
          </w:p>
        </w:tc>
        <w:tc>
          <w:tcPr/>
          <w:p>
            <w:pPr>
              <w:pStyle w:val="Compact"/>
            </w:pPr>
            <w:r>
              <w:t xml:space="preserve">HRV full</w:t>
            </w:r>
          </w:p>
        </w:tc>
        <w:tc>
          <w:tcPr/>
          <w:p>
            <w:pPr>
              <w:pStyle w:val="Compact"/>
            </w:pPr>
            <w:r>
              <w:t xml:space="preserve">Increased long-term RR variability</w:t>
            </w:r>
          </w:p>
        </w:tc>
      </w:tr>
      <w:tr>
        <w:tc>
          <w:tcPr/>
          <w:p>
            <w:pPr>
              <w:pStyle w:val="Compact"/>
            </w:pPr>
            <w:r>
              <w:t xml:space="preserve">std_rr</w:t>
            </w:r>
          </w:p>
        </w:tc>
        <w:tc>
          <w:tcPr/>
          <w:p>
            <w:pPr>
              <w:pStyle w:val="Compact"/>
              <w:jc w:val="right"/>
            </w:pPr>
            <w:r>
              <w:t xml:space="preserve">0.238</w:t>
            </w:r>
          </w:p>
        </w:tc>
        <w:tc>
          <w:tcPr/>
          <w:p>
            <w:pPr>
              <w:pStyle w:val="Compact"/>
              <w:jc w:val="right"/>
            </w:pPr>
            <w:r>
              <w:t xml:space="preserve">100% positive</w:t>
            </w:r>
          </w:p>
        </w:tc>
        <w:tc>
          <w:tcPr/>
          <w:p>
            <w:pPr>
              <w:pStyle w:val="Compact"/>
            </w:pPr>
            <w:r>
              <w:t xml:space="preserve">HRV full</w:t>
            </w:r>
          </w:p>
        </w:tc>
        <w:tc>
          <w:tcPr/>
          <w:p>
            <w:pPr>
              <w:pStyle w:val="Compact"/>
            </w:pPr>
            <w:r>
              <w:t xml:space="preserve">Increased global RR dispersion</w:t>
            </w:r>
          </w:p>
        </w:tc>
      </w:tr>
      <w:tr>
        <w:tc>
          <w:tcPr/>
          <w:p>
            <w:pPr>
              <w:pStyle w:val="Compact"/>
            </w:pPr>
            <w:r>
              <w:t xml:space="preserve">rmssd</w:t>
            </w:r>
          </w:p>
        </w:tc>
        <w:tc>
          <w:tcPr/>
          <w:p>
            <w:pPr>
              <w:pStyle w:val="Compact"/>
              <w:jc w:val="right"/>
            </w:pPr>
            <w:r>
              <w:t xml:space="preserve">0.533</w:t>
            </w:r>
          </w:p>
        </w:tc>
        <w:tc>
          <w:tcPr/>
          <w:p>
            <w:pPr>
              <w:pStyle w:val="Compact"/>
              <w:jc w:val="right"/>
            </w:pPr>
            <w:r>
              <w:t xml:space="preserve">100% positive</w:t>
            </w:r>
          </w:p>
        </w:tc>
        <w:tc>
          <w:tcPr/>
          <w:p>
            <w:pPr>
              <w:pStyle w:val="Compact"/>
            </w:pPr>
            <w:r>
              <w:t xml:space="preserve">HRV reduced</w:t>
            </w:r>
          </w:p>
        </w:tc>
        <w:tc>
          <w:tcPr/>
          <w:p>
            <w:pPr>
              <w:pStyle w:val="Compact"/>
            </w:pPr>
            <w:r>
              <w:t xml:space="preserve">Increased short-term RR variability</w:t>
            </w:r>
          </w:p>
        </w:tc>
      </w:tr>
    </w:tbl>
    <w:p>
      <w:pPr>
        <w:pStyle w:val="BodyText"/>
      </w:pPr>
      <w:r>
        <w:t xml:space="preserve">A final version of the manuscript should include a corresponding coefficient-stability table for SPC and HRV+SPC blocks, especially because the title and central contribution emphasize SPC interpretability.</w:t>
      </w:r>
    </w:p>
    <w:bookmarkEnd w:id="35"/>
    <w:bookmarkEnd w:id="36"/>
    <w:bookmarkStart w:id="37" w:name="discussion"/>
    <w:p>
      <w:pPr>
        <w:pStyle w:val="Heading1"/>
      </w:pPr>
      <w:r>
        <w:t xml:space="preserve">4 Discussion</w:t>
      </w:r>
    </w:p>
    <w:p>
      <w:pPr>
        <w:pStyle w:val="FirstParagraph"/>
      </w:pPr>
      <w:r>
        <w:t xml:space="preserve">This study suggests that multiscale SPC features provide an interpretable representation of RR interval dynamics preceding PAF. The corrected paired AFPDB design shows that pre-onset records exhibit stronger out-of-control behavior, increased RR variability, and larger cumulative deviations than PAF-distant records from the same p-record sets. The most consistent individual findings were Shewhart out-of-control rate and Shewhart out-of-control count, both of which increased in most matched pairs. This indicates that the pre-onset state may involve more frequent deviations from record-level rhythm stability, rather than only a simple change in mean RR interval.</w:t>
      </w:r>
    </w:p>
    <w:p>
      <w:pPr>
        <w:pStyle w:val="BodyText"/>
      </w:pPr>
      <w:r>
        <w:t xml:space="preserve">The improvement of SPC-based blocks over reduced HRV descriptors supports the central hypothesis of this study: control-chart features can add interpretive value to ECG-derived RR analysis. HRV features such as RMSSD, CV_RR, SD1, and SD2 captured increased variability, but SPC features translated this variability into process-behavior descriptors: out-of-control frequency, cumulative drift, alarm density, moving-range instability, and sequential pattern persistence. This process-oriented representation is particularly useful for explainability because each variable corresponds to a recognizable behavior of the RR sequence.</w:t>
      </w:r>
    </w:p>
    <w:p>
      <w:pPr>
        <w:pStyle w:val="BodyText"/>
      </w:pPr>
      <w:r>
        <w:t xml:space="preserve">The results also show that scale matters. The 100-RR window performed strongly in cross-validation, suggesting that short-to-intermediate RR windows may capture operationally relevant pre-onset changes. The 300-s and full-record representations showed stronger retrospective aggregation performance, especially in pairwise concordance. However, the full-record result must be interpreted cautiously. Since it summarizes the entire 30-min segment, it supports retrospective characterization rather than prospective real-time warning. Future work should evaluate progressively truncated windows to estimate how early these SPC markers become discriminative before onset.</w:t>
      </w:r>
    </w:p>
    <w:p>
      <w:pPr>
        <w:pStyle w:val="BodyText"/>
      </w:pPr>
      <w:r>
        <w:t xml:space="preserve">This study deliberately emphasizes characterization rather than clinical prediction. The distinction is important. The AFPDB learning set is small, the task is retrospective, and the QRS annotations are machine-generated and unaudited. Moreover, the use of one public challenge dataset limits generalizability. Therefore, the present findings should not be interpreted as evidence of clinical readiness. Instead, they establish a reproducible methodological basis for studying whether SPC descriptors can provide explainable markers of rhythm instability before PAF.</w:t>
      </w:r>
    </w:p>
    <w:p>
      <w:pPr>
        <w:pStyle w:val="BodyText"/>
      </w:pPr>
      <w:r>
        <w:t xml:space="preserve">The approach also has methodological implications. First, excluding n-records and continuation records from the primary paired task avoids mixing different clinical questions. The n-records are appropriate for screening or group-discrimination analyses, whereas odd-even p-pairs are appropriate for pre-onset characterization in subjects known to have PAF. Second, fold-local correlation pruning reduces the risk of selection leakage and helps preserve interpretability in small-sample settings. Third, pairwise concordance provides a clinically intuitive complement to global AUC because it directly asks whether the pre-onset member of a matched pair receives the higher risk or pre-onset score.</w:t>
      </w:r>
    </w:p>
    <w:p>
      <w:pPr>
        <w:pStyle w:val="BodyText"/>
      </w:pPr>
      <w:r>
        <w:t xml:space="preserve">Several limitations remain. The sample size is limited to 25 matched p-record pairs, which constrains statistical power and model complexity. The analysis relies on RR intervals derived from qrs annotations, which AFPDB documents as machine-generated and unaudited. The study does not evaluate raw ECG morphology, atrial activity, P-wave changes, or expert-confirmed ectopy. Ectopy-like features should therefore be interpreted only as RR-pattern descriptors. Finally, no external validation dataset was used. Independent validation, prospective windowing, and clinical review are required before stronger claims can be made.</w:t>
      </w:r>
    </w:p>
    <w:bookmarkEnd w:id="37"/>
    <w:bookmarkStart w:id="38" w:name="conclusion"/>
    <w:p>
      <w:pPr>
        <w:pStyle w:val="Heading1"/>
      </w:pPr>
      <w:r>
        <w:t xml:space="preserve">5 Conclusion</w:t>
      </w:r>
    </w:p>
    <w:p>
      <w:pPr>
        <w:pStyle w:val="FirstParagraph"/>
      </w:pPr>
      <w:r>
        <w:t xml:space="preserve">This feasibility study presents a multiscale SPC framework for explainable pre-onset characterization of PAF using RR interval dynamics. In the corrected AFPDB paired design, SPC features captured increased out-of-control behavior and rhythm instability before PAF onset. Compared with reduced HRV descriptors, SPC-based blocks improved AUC and pairwise concordance, while preserving interpretability through process-behavior variables such as Shewhart out-of-control rate, CUSUM magnitude, EWMA drift, moving-range instability, and runs-rule patterns. These findings support SPC as an explainable feature-engineering layer for ECG-based rhythm analysis. Further validation using independent datasets, progressively truncated pre-onset windows, and clinically audited annotations is required before the method can be interpreted as a deployable prediction system.</w:t>
      </w:r>
    </w:p>
    <w:p>
      <w:pPr>
        <w:pStyle w:val="BodyText"/>
      </w:pPr>
      <w:r>
        <w:t xml:space="preserve">Conflict of Interest. All authors have no conflicts of interest.</w:t>
      </w:r>
    </w:p>
    <w:p>
      <w:pPr>
        <w:pStyle w:val="BodyText"/>
      </w:pPr>
      <w:r>
        <w:t xml:space="preserve">Acknowledgements. The authors acknowledge PhysioNet and the Computing in Cardiology Challenge organizers for providing open access to the PAF Prediction Challenge Database. The corresponding author also acknowledges the academic support of Tecnológico Nacional de México / Instituto Tecnológico de Celaya.</w:t>
      </w:r>
    </w:p>
    <w:bookmarkEnd w:id="38"/>
    <w:bookmarkStart w:id="39" w:name="references"/>
    <w:p>
      <w:pPr>
        <w:pStyle w:val="Heading1"/>
      </w:pPr>
      <w:r>
        <w:t xml:space="preserve">References</w:t>
      </w:r>
    </w:p>
    <w:p>
      <w:pPr>
        <w:numPr>
          <w:ilvl w:val="0"/>
          <w:numId w:val="1003"/>
        </w:numPr>
      </w:pPr>
      <w:r>
        <w:t xml:space="preserve">PhysioNet: The PAF Prediction Challenge Database. https://archive.physionet.org/physiobank/database/afpdb/. Last accessed 24 Apr 2026</w:t>
      </w:r>
    </w:p>
    <w:p>
      <w:pPr>
        <w:numPr>
          <w:ilvl w:val="0"/>
          <w:numId w:val="1003"/>
        </w:numPr>
      </w:pPr>
      <w:r>
        <w:t xml:space="preserve">PhysioNet: Predicting Paroxysmal Atrial Fibrillation/Flutter: The PhysioNet/Computing in Cardiology Challenge 2001. https://physionet.org/content/challenge-2001/1.0.0/. Last accessed 24 Apr 2026</w:t>
      </w:r>
    </w:p>
    <w:p>
      <w:pPr>
        <w:numPr>
          <w:ilvl w:val="0"/>
          <w:numId w:val="1003"/>
        </w:numPr>
      </w:pPr>
      <w:r>
        <w:t xml:space="preserve">Moody, G.B., Goldberger, A.L., McClennen, S., Swiryn, S.: Predicting the onset of paroxysmal atrial fibrillation: The Computers in Cardiology Challenge 2001. Computers in Cardiology 28, 113–116 (2001)</w:t>
      </w:r>
    </w:p>
    <w:p>
      <w:pPr>
        <w:numPr>
          <w:ilvl w:val="0"/>
          <w:numId w:val="1003"/>
        </w:numPr>
      </w:pPr>
      <w:r>
        <w:t xml:space="preserve">Zong, W., Mukkamala, R., Mark, R.G.: A methodology for predicting paroxysmal atrial fibrillation based on ECG arrhythmia feature analysis. Computers in Cardiology 28, 125–128 (2001)</w:t>
      </w:r>
    </w:p>
    <w:p>
      <w:pPr>
        <w:numPr>
          <w:ilvl w:val="0"/>
          <w:numId w:val="1003"/>
        </w:numPr>
      </w:pPr>
      <w:r>
        <w:t xml:space="preserve">Maier, C., Bauch, M., Dickhaus, H.: Screening and prediction of paroxysmal atrial fibrillation by analysis of heart rate variability parameters. Computers in Cardiology 28, 129–132 (2001)</w:t>
      </w:r>
    </w:p>
    <w:p>
      <w:pPr>
        <w:numPr>
          <w:ilvl w:val="0"/>
          <w:numId w:val="1003"/>
        </w:numPr>
      </w:pPr>
      <w:r>
        <w:t xml:space="preserve">Narin, A., Isler, Y., Ozer, M.: Early prediction of paroxysmal atrial fibrillation based on short-term heart rate variability. Physica A: Statistical Mechanics and its Applications 509, 56–65 (2018)</w:t>
      </w:r>
    </w:p>
    <w:p>
      <w:pPr>
        <w:numPr>
          <w:ilvl w:val="0"/>
          <w:numId w:val="1003"/>
        </w:numPr>
      </w:pPr>
      <w:r>
        <w:t xml:space="preserve">Montgomery, D.C.: Introduction to Statistical Quality Control. 8th edn. Wiley, Hoboken (2020)</w:t>
      </w:r>
    </w:p>
    <w:p>
      <w:pPr>
        <w:numPr>
          <w:ilvl w:val="0"/>
          <w:numId w:val="1003"/>
        </w:numPr>
      </w:pPr>
      <w:r>
        <w:t xml:space="preserve">Woodall, W.H.: The use of control charts in health-care and public-health surveillance. Journal of Quality Technology 38(2), 89–104 (2006)</w:t>
      </w:r>
    </w:p>
    <w:p>
      <w:pPr>
        <w:numPr>
          <w:ilvl w:val="0"/>
          <w:numId w:val="1003"/>
        </w:numPr>
      </w:pPr>
      <w:r>
        <w:t xml:space="preserve">Goldberger, A.L., Amaral, L.A.N., Glass, L., Hausdorff, J.M., Ivanov, P.C., Mark, R.G., Mietus, J.E., Moody, G.B., Peng, C.K., Stanley, H.E.: PhysioBank, PhysioToolkit, and PhysioNet: Components of a new research resource for complex physiologic signals. Circulation 101(23), e215–e220 (2000). https://doi.org/10.1161/01.CIR.101.23.e215</w:t>
      </w:r>
    </w:p>
    <w:p>
      <w:pPr>
        <w:numPr>
          <w:ilvl w:val="0"/>
          <w:numId w:val="1003"/>
        </w:numPr>
      </w:pPr>
      <w:r>
        <w:t xml:space="preserve">Task Force of the European Society of Cardiology and the North American Society of Pacing and Electrophysiology: Heart rate variability: Standards of measurement, physiological interpretation, and clinical use. Circulation 93(5), 1043–1065 (1996). https://doi.org/10.1161/01.CIR.93.5.1043</w:t>
      </w:r>
    </w:p>
    <w:p>
      <w:pPr>
        <w:numPr>
          <w:ilvl w:val="0"/>
          <w:numId w:val="1003"/>
        </w:numPr>
      </w:pPr>
      <w:r>
        <w:t xml:space="preserve">Shaffer, F., Ginsberg, J.P.: An overview of heart rate variability metrics and norms. Frontiers in Public Health 5, 258 (2017). https://doi.org/10.3389/fpubh.2017.00258</w:t>
      </w:r>
    </w:p>
    <w:p>
      <w:pPr>
        <w:numPr>
          <w:ilvl w:val="0"/>
          <w:numId w:val="1003"/>
        </w:numPr>
      </w:pPr>
      <w:r>
        <w:t xml:space="preserve">Rudin, C.: Stop explaining black box machine learning models for high stakes decisions and use interpretable models instead. Nature Machine Intelligence 1, 206–215 (2019). https://doi.org/10.1038/s42256-019-0048-x</w:t>
      </w:r>
    </w:p>
    <w:p>
      <w:pPr>
        <w:numPr>
          <w:ilvl w:val="0"/>
          <w:numId w:val="1003"/>
        </w:numPr>
      </w:pPr>
      <w:r>
        <w:t xml:space="preserve">Pedregosa, F., Varoquaux, G., Gramfort, A., Michel, V., Thirion, B., Grisel, O., Blondel, M., Prettenhofer, P., Weiss, R., Dubourg, V., et al.: Scikit-learn: Machine learning in Python. Journal of Machine Learning Research 12, 2825–2830 (2011)</w:t>
      </w:r>
    </w:p>
    <w:p>
      <w:pPr>
        <w:numPr>
          <w:ilvl w:val="0"/>
          <w:numId w:val="1003"/>
        </w:numPr>
      </w:pPr>
      <w:r>
        <w:t xml:space="preserve">WFDB Software for Python. https://physionet.org/content/wfdb-python/. Last accessed 24 Apr 2026</w:t>
      </w:r>
    </w:p>
    <w:bookmarkEnd w:id="39"/>
    <w:bookmarkStart w:id="40" w:name="X0251ddbac83a3d60f56c2b7137de8aaaba4c5f1"/>
    <w:p>
      <w:pPr>
        <w:pStyle w:val="Heading1"/>
      </w:pPr>
      <w:r>
        <w:t xml:space="preserve">Author-side pending checks before submission</w:t>
      </w:r>
    </w:p>
    <w:p>
      <w:pPr>
        <w:pStyle w:val="Compact"/>
        <w:numPr>
          <w:ilvl w:val="0"/>
          <w:numId w:val="1004"/>
        </w:numPr>
      </w:pPr>
      <w:r>
        <w:t xml:space="preserve">Replace provisional results with values regenerated from the final executed notebook.</w:t>
      </w:r>
    </w:p>
    <w:p>
      <w:pPr>
        <w:pStyle w:val="Compact"/>
        <w:numPr>
          <w:ilvl w:val="0"/>
          <w:numId w:val="1004"/>
        </w:numPr>
      </w:pPr>
      <w:r>
        <w:t xml:space="preserve">Export all figures as TIFF at 600 dpi and retain editable source files.</w:t>
      </w:r>
    </w:p>
    <w:p>
      <w:pPr>
        <w:pStyle w:val="Compact"/>
        <w:numPr>
          <w:ilvl w:val="0"/>
          <w:numId w:val="1004"/>
        </w:numPr>
      </w:pPr>
      <w:r>
        <w:t xml:space="preserve">Add a coefficient-stability table for SPC and HRV+SPC logistic regression blocks.</w:t>
      </w:r>
    </w:p>
    <w:p>
      <w:pPr>
        <w:pStyle w:val="Compact"/>
        <w:numPr>
          <w:ilvl w:val="0"/>
          <w:numId w:val="1004"/>
        </w:numPr>
      </w:pPr>
      <w:r>
        <w:t xml:space="preserve">Confirm whether ectopy-like features remain in the manuscript or are moved to supplementary/exploratory material.</w:t>
      </w:r>
    </w:p>
    <w:p>
      <w:pPr>
        <w:pStyle w:val="Compact"/>
        <w:numPr>
          <w:ilvl w:val="0"/>
          <w:numId w:val="1004"/>
        </w:numPr>
      </w:pPr>
      <w:r>
        <w:t xml:space="preserve">Convert affiliations and ORCID identifiers to the final author-approved format.</w:t>
      </w:r>
    </w:p>
    <w:p>
      <w:pPr>
        <w:pStyle w:val="Compact"/>
        <w:numPr>
          <w:ilvl w:val="0"/>
          <w:numId w:val="1004"/>
        </w:numPr>
      </w:pPr>
      <w:r>
        <w:t xml:space="preserve">Verify all reference details against the final Springer/LNCS bibliography style.</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2026-04-25T02:05:40Z</dcterms:created>
  <dcterms:modified xsi:type="dcterms:W3CDTF">2026-04-25T02:05:40Z</dcterms:modified>
</cp:coreProperties>
</file>

<file path=docProps/custom.xml><?xml version="1.0" encoding="utf-8"?>
<Properties xmlns="http://schemas.openxmlformats.org/officeDocument/2006/custom-properties" xmlns:vt="http://schemas.openxmlformats.org/officeDocument/2006/docPropsVTypes"/>
</file>