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4D8C" w14:textId="719D8EB3" w:rsidR="003C3D92" w:rsidRDefault="009F7D17">
      <w:r>
        <w:t>Modelowanie</w:t>
      </w:r>
    </w:p>
    <w:p w14:paraId="65C5480B" w14:textId="3F2CCB7D" w:rsidR="009F7D17" w:rsidRPr="009F7D17" w:rsidRDefault="009F7D17" w:rsidP="009F7D17">
      <w:r w:rsidRPr="009F7D17">
        <w:t>W fazie modelowania, jako główne narzędzie analityczne, wybrano wieloraką regresję liniową. Pozwala ona na bezpośrednią i przejrzystą ocenę siły oraz kierunku wpływu poszczególnych czynników logistycznych, geograficznych i czasowych na hojność klientów. Zgodnie z wcześniejszym etapem przygotowania danych, jako zmienną objaśnianą zastosowano zlogarytmowaną wartość napiwku, co zniwelowało silną prawostronną skośność pierwotnego rozkładu.</w:t>
      </w:r>
    </w:p>
    <w:p w14:paraId="5C69AE47" w14:textId="77777777" w:rsidR="009F7D17" w:rsidRDefault="009F7D17" w:rsidP="009F7D17">
      <w:r w:rsidRPr="009F7D17">
        <w:t>W celu odnalezienia najbardziej optymalnej specyfikacji matematycznej, zbudowano i porównano trzy warianty modeli:</w:t>
      </w:r>
    </w:p>
    <w:p w14:paraId="46C36C68" w14:textId="61DCB0E1" w:rsidR="009F7D17" w:rsidRDefault="009F7D17" w:rsidP="009F7D17">
      <w:pPr>
        <w:pStyle w:val="Akapitzlist"/>
        <w:numPr>
          <w:ilvl w:val="0"/>
          <w:numId w:val="1"/>
        </w:numPr>
      </w:pPr>
      <w:r w:rsidRPr="009F7D17">
        <w:rPr>
          <w:b/>
          <w:bCs/>
        </w:rPr>
        <w:t>Model Bazowy:</w:t>
      </w:r>
      <w:r w:rsidRPr="009F7D17">
        <w:t xml:space="preserve"> Uwzględniający jedynie podstawowe zmienne ilościowe w ich surowej formie (</w:t>
      </w:r>
      <w:proofErr w:type="spellStart"/>
      <w:r w:rsidRPr="009F7D17">
        <w:t>distance</w:t>
      </w:r>
      <w:proofErr w:type="spellEnd"/>
      <w:r w:rsidRPr="009F7D17">
        <w:t xml:space="preserve">, </w:t>
      </w:r>
      <w:proofErr w:type="spellStart"/>
      <w:r w:rsidRPr="009F7D17">
        <w:t>duration_min</w:t>
      </w:r>
      <w:proofErr w:type="spellEnd"/>
      <w:r w:rsidRPr="009F7D17">
        <w:t xml:space="preserve">, </w:t>
      </w:r>
      <w:proofErr w:type="spellStart"/>
      <w:r w:rsidRPr="009F7D17">
        <w:t>fare</w:t>
      </w:r>
      <w:proofErr w:type="spellEnd"/>
      <w:r w:rsidRPr="009F7D17">
        <w:t xml:space="preserve">, </w:t>
      </w:r>
      <w:proofErr w:type="spellStart"/>
      <w:r w:rsidRPr="009F7D17">
        <w:t>speed</w:t>
      </w:r>
      <w:proofErr w:type="spellEnd"/>
      <w:r w:rsidRPr="009F7D17">
        <w:t xml:space="preserve">, </w:t>
      </w:r>
      <w:proofErr w:type="spellStart"/>
      <w:r w:rsidRPr="009F7D17">
        <w:t>points</w:t>
      </w:r>
      <w:proofErr w:type="spellEnd"/>
      <w:r w:rsidRPr="009F7D17">
        <w:t xml:space="preserve">, </w:t>
      </w:r>
      <w:proofErr w:type="spellStart"/>
      <w:r w:rsidRPr="009F7D17">
        <w:t>weekday</w:t>
      </w:r>
      <w:proofErr w:type="spellEnd"/>
      <w:r w:rsidRPr="009F7D17">
        <w:t>)</w:t>
      </w:r>
    </w:p>
    <w:p w14:paraId="50C2C0B4" w14:textId="0C3DCA52" w:rsidR="009F7D17" w:rsidRDefault="009F7D17" w:rsidP="009F7D17">
      <w:pPr>
        <w:pStyle w:val="Akapitzlist"/>
        <w:numPr>
          <w:ilvl w:val="0"/>
          <w:numId w:val="1"/>
        </w:numPr>
      </w:pPr>
      <w:r w:rsidRPr="009F7D17">
        <w:rPr>
          <w:b/>
          <w:bCs/>
        </w:rPr>
        <w:t>Model Rozszerzony:</w:t>
      </w:r>
      <w:r w:rsidRPr="009F7D17">
        <w:t xml:space="preserve"> Wzbogacony o wszystkie autorskie transformacje nieliniowe, zmienne dychotomiczne oraz efekty interakcji zaproponowane w etapie eksploracji danych (</w:t>
      </w:r>
      <w:proofErr w:type="spellStart"/>
      <w:r w:rsidRPr="009F7D17">
        <w:t>log_distance</w:t>
      </w:r>
      <w:proofErr w:type="spellEnd"/>
      <w:r w:rsidRPr="009F7D17">
        <w:t xml:space="preserve">, </w:t>
      </w:r>
      <w:proofErr w:type="spellStart"/>
      <w:r w:rsidRPr="009F7D17">
        <w:t>dist_dur</w:t>
      </w:r>
      <w:proofErr w:type="spellEnd"/>
      <w:r w:rsidRPr="009F7D17">
        <w:t xml:space="preserve">, </w:t>
      </w:r>
      <w:proofErr w:type="spellStart"/>
      <w:r w:rsidRPr="009F7D17">
        <w:t>log_points</w:t>
      </w:r>
      <w:proofErr w:type="spellEnd"/>
      <w:r w:rsidRPr="009F7D17">
        <w:t xml:space="preserve">, </w:t>
      </w:r>
      <w:proofErr w:type="spellStart"/>
      <w:r w:rsidRPr="009F7D17">
        <w:t>poin_deli</w:t>
      </w:r>
      <w:proofErr w:type="spellEnd"/>
      <w:r w:rsidRPr="009F7D17">
        <w:t xml:space="preserve">, </w:t>
      </w:r>
      <w:proofErr w:type="spellStart"/>
      <w:r w:rsidRPr="009F7D17">
        <w:t>deliveries_f</w:t>
      </w:r>
      <w:proofErr w:type="spellEnd"/>
      <w:r w:rsidRPr="009F7D17">
        <w:t xml:space="preserve">, </w:t>
      </w:r>
      <w:proofErr w:type="spellStart"/>
      <w:r w:rsidRPr="009F7D17">
        <w:t>is_summer</w:t>
      </w:r>
      <w:proofErr w:type="spellEnd"/>
      <w:r w:rsidRPr="009F7D17">
        <w:t xml:space="preserve">, is_weekday_3_6, </w:t>
      </w:r>
      <w:proofErr w:type="spellStart"/>
      <w:r w:rsidRPr="009F7D17">
        <w:t>time_of_day</w:t>
      </w:r>
      <w:proofErr w:type="spellEnd"/>
      <w:r w:rsidRPr="009F7D17">
        <w:t xml:space="preserve">, </w:t>
      </w:r>
      <w:proofErr w:type="spellStart"/>
      <w:r w:rsidRPr="009F7D17">
        <w:t>time_cos</w:t>
      </w:r>
      <w:proofErr w:type="spellEnd"/>
      <w:r w:rsidRPr="009F7D17">
        <w:t>).</w:t>
      </w:r>
    </w:p>
    <w:p w14:paraId="7E91F451" w14:textId="1BBE80F3" w:rsidR="009F7D17" w:rsidRDefault="009F7D17" w:rsidP="009F7D17">
      <w:pPr>
        <w:pStyle w:val="Akapitzlist"/>
        <w:numPr>
          <w:ilvl w:val="0"/>
          <w:numId w:val="1"/>
        </w:numPr>
      </w:pPr>
      <w:r w:rsidRPr="009F7D17">
        <w:rPr>
          <w:b/>
          <w:bCs/>
        </w:rPr>
        <w:t>Model po selekcji krokowej:</w:t>
      </w:r>
      <w:r w:rsidRPr="009F7D17">
        <w:t xml:space="preserve"> Powstały w wyniku automatycznej procedury eliminacji wstecznej  opartej na kryterium informacyjnym AIC. Algorytm odrzucił zmienne nieistotne statystycznie, pozostawiając jedynie te o realnej sile predykcyjnej, co zabezpieczyło model przed zjawiskiem nadmiernego dopasowani.</w:t>
      </w:r>
    </w:p>
    <w:p w14:paraId="379D7608" w14:textId="384CD078" w:rsidR="009F7D17" w:rsidRDefault="009F7D17" w:rsidP="009F7D17">
      <w:pPr>
        <w:ind w:left="360"/>
      </w:pPr>
      <w:r w:rsidRPr="009F7D17">
        <w:t xml:space="preserve">W toku procedury krokowej z modelu usunięte zostały zmienne: </w:t>
      </w:r>
      <w:proofErr w:type="spellStart"/>
      <w:r w:rsidRPr="009F7D17">
        <w:t>is_summer</w:t>
      </w:r>
      <w:proofErr w:type="spellEnd"/>
      <w:r w:rsidRPr="009F7D17">
        <w:t xml:space="preserve">, </w:t>
      </w:r>
      <w:proofErr w:type="spellStart"/>
      <w:r w:rsidRPr="009F7D17">
        <w:t>speed</w:t>
      </w:r>
      <w:proofErr w:type="spellEnd"/>
      <w:r w:rsidRPr="009F7D17">
        <w:t xml:space="preserve">, </w:t>
      </w:r>
      <w:proofErr w:type="spellStart"/>
      <w:r w:rsidRPr="009F7D17">
        <w:t>duration_min</w:t>
      </w:r>
      <w:proofErr w:type="spellEnd"/>
      <w:r w:rsidRPr="009F7D17">
        <w:t xml:space="preserve"> oraz </w:t>
      </w:r>
      <w:proofErr w:type="spellStart"/>
      <w:r w:rsidRPr="009F7D17">
        <w:t>weekday</w:t>
      </w:r>
      <w:proofErr w:type="spellEnd"/>
      <w:r w:rsidRPr="009F7D17">
        <w:t>, co dowodzi, że informacja w nich zawarta została lepiej skondensowana w nowo utworzonych zmiennych transformowanych.</w:t>
      </w:r>
    </w:p>
    <w:p w14:paraId="230A8248" w14:textId="77777777" w:rsidR="009F7D17" w:rsidRDefault="009F7D17" w:rsidP="009F7D17">
      <w:pPr>
        <w:ind w:left="360"/>
      </w:pPr>
    </w:p>
    <w:p w14:paraId="36AE62E6" w14:textId="2ACABA21" w:rsidR="009F7D17" w:rsidRDefault="009F7D17" w:rsidP="009F7D17">
      <w:pPr>
        <w:ind w:left="360"/>
      </w:pPr>
      <w:r>
        <w:t>Diagnostyka założeń regresji</w:t>
      </w:r>
    </w:p>
    <w:p w14:paraId="1F1841A1" w14:textId="77777777" w:rsidR="009F7D17" w:rsidRDefault="009F7D17" w:rsidP="009F7D17">
      <w:pPr>
        <w:ind w:left="360"/>
      </w:pPr>
    </w:p>
    <w:p w14:paraId="435EFDB3" w14:textId="6634B1FE" w:rsidR="009F7D17" w:rsidRDefault="009F7D17" w:rsidP="009F7D17">
      <w:pPr>
        <w:ind w:left="360"/>
      </w:pPr>
      <w:r w:rsidRPr="009F7D17">
        <w:t>Przed przystąpieniem do predykcji, zweryfikowano klasyczne założenia metody najmniejszych kwadratów (MNK) dla ostatecznego modelu po selekcji krokowej:</w:t>
      </w:r>
    </w:p>
    <w:p w14:paraId="5F96C82B" w14:textId="77777777" w:rsidR="009F7D17" w:rsidRDefault="009F7D17" w:rsidP="009F7D17">
      <w:pPr>
        <w:ind w:left="360"/>
      </w:pPr>
    </w:p>
    <w:p w14:paraId="65A6E387" w14:textId="446A4B9E" w:rsidR="009F7D17" w:rsidRDefault="009F7D17" w:rsidP="009F7D17">
      <w:pPr>
        <w:pStyle w:val="Akapitzlist"/>
        <w:numPr>
          <w:ilvl w:val="0"/>
          <w:numId w:val="2"/>
        </w:numPr>
      </w:pPr>
      <w:r w:rsidRPr="009F7D17">
        <w:rPr>
          <w:b/>
          <w:bCs/>
        </w:rPr>
        <w:t>Współliniowość (VIF):</w:t>
      </w:r>
      <w:r w:rsidRPr="009F7D17">
        <w:t xml:space="preserve"> Analiza wskaźnika VIF dla modelu rozszerzonego wykazała bardzo wysokie wartości dla zmiennych </w:t>
      </w:r>
      <w:proofErr w:type="spellStart"/>
      <w:r w:rsidRPr="009F7D17">
        <w:t>distance</w:t>
      </w:r>
      <w:proofErr w:type="spellEnd"/>
      <w:r w:rsidRPr="009F7D17">
        <w:t xml:space="preserve"> (VIF ≈ 15.6) oraz </w:t>
      </w:r>
      <w:proofErr w:type="spellStart"/>
      <w:r w:rsidRPr="009F7D17">
        <w:t>log_distance</w:t>
      </w:r>
      <w:proofErr w:type="spellEnd"/>
      <w:r w:rsidRPr="009F7D17">
        <w:t xml:space="preserve"> (VIF ≈ 28.6). Potwierdza to przypuszczenia z fazy eksploracji o dublowaniu się informacji geograficznej. W modelu ostatecznym, dzięki usunięciu surowego dystansu, problem ten został pomyślnie zlikwidowany. Zmienne powiązane z czasem i interakcjami  posiadają wyższe wskaźniki VIF, co jest naturalną i matematycznie akceptowalną cechą modeli zawierających iloczyny zmiennych.</w:t>
      </w:r>
    </w:p>
    <w:p w14:paraId="391D4D17" w14:textId="05549ADB" w:rsidR="009F7D17" w:rsidRDefault="009F7D17" w:rsidP="009F7D17">
      <w:pPr>
        <w:pStyle w:val="Akapitzlist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9F7D17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Homoskedastyczność</w:t>
      </w:r>
      <w:proofErr w:type="spellEnd"/>
      <w:r w:rsidRPr="009F7D17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 xml:space="preserve"> reszt:</w:t>
      </w: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Przeprowadzony test </w:t>
      </w:r>
      <w:proofErr w:type="spellStart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Breuscha-Pagana</w:t>
      </w:r>
      <w:proofErr w:type="spellEnd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jednoznacznie odrzucił hipotezę o stałości wariancji resz</w:t>
      </w: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t.</w:t>
      </w: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. Występowanie </w:t>
      </w:r>
      <w:proofErr w:type="spellStart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heteroskedastyczności</w:t>
      </w:r>
      <w:proofErr w:type="spellEnd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jest zjawiskiem powszechnym przy modelowaniu danych przekrojowych dotyczących </w:t>
      </w:r>
      <w:proofErr w:type="spellStart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zachowań</w:t>
      </w:r>
      <w:proofErr w:type="spellEnd"/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ludzkich. Nie obciąża ono samych estymatorów współczynników, jednak sugeruje ostrożność przy interpretacji przedziałów ufności.</w:t>
      </w:r>
    </w:p>
    <w:p w14:paraId="33C84A35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DBF77AB" w14:textId="31A77440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002383DC" wp14:editId="63A197B6">
            <wp:extent cx="5760720" cy="3173730"/>
            <wp:effectExtent l="0" t="0" r="0" b="7620"/>
            <wp:docPr id="16259496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9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6311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EB84193" w14:textId="07ADE58F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354C57BF" wp14:editId="08FEDE6D">
            <wp:extent cx="5760720" cy="3056255"/>
            <wp:effectExtent l="0" t="0" r="0" b="0"/>
            <wp:docPr id="17217622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3C8B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9460098" w14:textId="4D2FB3CE" w:rsidR="009F7D17" w:rsidRDefault="009F7D17" w:rsidP="009F7D17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Walidacja modelu</w:t>
      </w:r>
    </w:p>
    <w:p w14:paraId="56633C7A" w14:textId="77777777" w:rsidR="009F7D17" w:rsidRDefault="009F7D17" w:rsidP="009F7D17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6E7C59E2" w14:textId="6F19132D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9F7D1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Zgodnie z rygorystyczną metodologią podziału danych, oceny jakości predykcyjnej dokonano przy użyciu niezależnego zbioru walidacyjnego oraz zbioru testowego (każdy po 15% całkowitej liczby obserwacji). Modele estymowane na próbie treningowej zostały uruchomione na danych walidacyjnych, a uzyskane miary błędu prognozy (RMSE i MAE) przeliczono z powrotem z formy logarytmicznej na oryginalną skalę wyrażoną w dolarach amerykańskich</w:t>
      </w:r>
    </w:p>
    <w:p w14:paraId="38E67B45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C14B4E2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257EF26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28BCFD3" w14:textId="77777777" w:rsidR="009F7D17" w:rsidRDefault="009F7D17" w:rsidP="009F7D1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F7D17" w14:paraId="5D98E693" w14:textId="77777777" w:rsidTr="009F7D17">
        <w:tc>
          <w:tcPr>
            <w:tcW w:w="2265" w:type="dxa"/>
          </w:tcPr>
          <w:p w14:paraId="7105D674" w14:textId="299F0A27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Specyfikacja modelu</w:t>
            </w:r>
          </w:p>
        </w:tc>
        <w:tc>
          <w:tcPr>
            <w:tcW w:w="2265" w:type="dxa"/>
          </w:tcPr>
          <w:p w14:paraId="0801225F" w14:textId="453CC5A2" w:rsidR="009F7D17" w:rsidRP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</w:t>
            </w:r>
            <w:r>
              <w:rPr>
                <w:rFonts w:eastAsia="Times New Roman" w:cs="Times New Roman"/>
                <w:kern w:val="0"/>
                <w:sz w:val="24"/>
                <w:szCs w:val="24"/>
                <w:vertAlign w:val="superscript"/>
                <w:lang w:eastAsia="pl-PL"/>
                <w14:ligatures w14:val="none"/>
              </w:rPr>
              <w:t>2</w:t>
            </w:r>
          </w:p>
        </w:tc>
        <w:tc>
          <w:tcPr>
            <w:tcW w:w="2266" w:type="dxa"/>
          </w:tcPr>
          <w:p w14:paraId="2E903E4D" w14:textId="106BAA33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RMSE</w:t>
            </w:r>
          </w:p>
        </w:tc>
        <w:tc>
          <w:tcPr>
            <w:tcW w:w="2266" w:type="dxa"/>
          </w:tcPr>
          <w:p w14:paraId="6EB2D4C1" w14:textId="4C961F68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MAE</w:t>
            </w:r>
          </w:p>
        </w:tc>
      </w:tr>
      <w:tr w:rsidR="009F7D17" w14:paraId="7F2EC985" w14:textId="77777777" w:rsidTr="009F7D17">
        <w:tc>
          <w:tcPr>
            <w:tcW w:w="2265" w:type="dxa"/>
          </w:tcPr>
          <w:p w14:paraId="4DD275FC" w14:textId="7FE8F428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Model bazowy</w:t>
            </w:r>
          </w:p>
        </w:tc>
        <w:tc>
          <w:tcPr>
            <w:tcW w:w="2265" w:type="dxa"/>
          </w:tcPr>
          <w:p w14:paraId="1E05238F" w14:textId="4F616AF6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0,2312</w:t>
            </w:r>
          </w:p>
        </w:tc>
        <w:tc>
          <w:tcPr>
            <w:tcW w:w="2266" w:type="dxa"/>
          </w:tcPr>
          <w:p w14:paraId="4631E4B7" w14:textId="0ED6F941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1,1353</w:t>
            </w:r>
          </w:p>
        </w:tc>
        <w:tc>
          <w:tcPr>
            <w:tcW w:w="2266" w:type="dxa"/>
          </w:tcPr>
          <w:p w14:paraId="03200A10" w14:textId="4BA63E0B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0,8122</w:t>
            </w:r>
          </w:p>
        </w:tc>
      </w:tr>
      <w:tr w:rsidR="009F7D17" w14:paraId="372BD730" w14:textId="77777777" w:rsidTr="009F7D17">
        <w:tc>
          <w:tcPr>
            <w:tcW w:w="2265" w:type="dxa"/>
          </w:tcPr>
          <w:p w14:paraId="40F5FEFC" w14:textId="403BA647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Model Rozszerzony </w:t>
            </w:r>
          </w:p>
        </w:tc>
        <w:tc>
          <w:tcPr>
            <w:tcW w:w="2265" w:type="dxa"/>
          </w:tcPr>
          <w:p w14:paraId="3843EA48" w14:textId="7AAB745C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0,2520</w:t>
            </w:r>
          </w:p>
        </w:tc>
        <w:tc>
          <w:tcPr>
            <w:tcW w:w="2266" w:type="dxa"/>
          </w:tcPr>
          <w:p w14:paraId="207F92BE" w14:textId="6C9BFDD8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1,1274</w:t>
            </w:r>
          </w:p>
        </w:tc>
        <w:tc>
          <w:tcPr>
            <w:tcW w:w="2266" w:type="dxa"/>
          </w:tcPr>
          <w:p w14:paraId="592D3A8B" w14:textId="7328C0D0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0,8037</w:t>
            </w:r>
          </w:p>
        </w:tc>
      </w:tr>
      <w:tr w:rsidR="009F7D17" w14:paraId="6465E316" w14:textId="77777777" w:rsidTr="009F7D17">
        <w:tc>
          <w:tcPr>
            <w:tcW w:w="2265" w:type="dxa"/>
          </w:tcPr>
          <w:p w14:paraId="27EB2D79" w14:textId="7F1A1FAD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Model po selekcji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Stepwise</w:t>
            </w:r>
            <w:proofErr w:type="spellEnd"/>
          </w:p>
        </w:tc>
        <w:tc>
          <w:tcPr>
            <w:tcW w:w="2265" w:type="dxa"/>
          </w:tcPr>
          <w:p w14:paraId="043C370E" w14:textId="1E86B642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0,2517</w:t>
            </w:r>
          </w:p>
        </w:tc>
        <w:tc>
          <w:tcPr>
            <w:tcW w:w="2266" w:type="dxa"/>
          </w:tcPr>
          <w:p w14:paraId="1518BB20" w14:textId="5F2D4D1C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1,1272</w:t>
            </w:r>
          </w:p>
        </w:tc>
        <w:tc>
          <w:tcPr>
            <w:tcW w:w="2266" w:type="dxa"/>
          </w:tcPr>
          <w:p w14:paraId="70CF8673" w14:textId="45AEFAD2" w:rsidR="009F7D17" w:rsidRDefault="009F7D17" w:rsidP="009F7D1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0,8035</w:t>
            </w:r>
          </w:p>
        </w:tc>
      </w:tr>
    </w:tbl>
    <w:p w14:paraId="35076AA6" w14:textId="77777777" w:rsidR="009F7D17" w:rsidRPr="009F7D17" w:rsidRDefault="009F7D17" w:rsidP="009F7D17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7398A8A" w14:textId="259F6448" w:rsidR="009F7D17" w:rsidRPr="009F7D17" w:rsidRDefault="009F7D17" w:rsidP="009F7D17">
      <w:r w:rsidRPr="009F7D17">
        <w:t xml:space="preserve">Analiza porównawcza jednoznacznie wskazuje, że autorskie transformacje i zmienne dychotomiczne zaimplementowane w </w:t>
      </w:r>
      <w:r w:rsidRPr="009F7D17">
        <w:rPr>
          <w:b/>
          <w:bCs/>
        </w:rPr>
        <w:t>Modelu Rozszerzonym</w:t>
      </w:r>
      <w:r w:rsidRPr="009F7D17">
        <w:t xml:space="preserve"> pozwoliły na wyraźną poprawę jakości dopasowania (wzrost </w:t>
      </w:r>
      <w:r>
        <w:t>R</w:t>
      </w:r>
      <w:r>
        <w:rPr>
          <w:vertAlign w:val="superscript"/>
        </w:rPr>
        <w:t>2</w:t>
      </w:r>
      <w:r w:rsidRPr="009F7D17">
        <w:t xml:space="preserve"> z 23,1% do 25,2%) oraz spadek błędów prognozy w porównaniu do surowego Modelu Bazowego.</w:t>
      </w:r>
    </w:p>
    <w:p w14:paraId="6584A4E0" w14:textId="1E8A2B18" w:rsidR="009F7D17" w:rsidRDefault="009F7D17" w:rsidP="009F7D17">
      <w:r w:rsidRPr="009F7D17">
        <w:rPr>
          <w:b/>
          <w:bCs/>
        </w:rPr>
        <w:t xml:space="preserve">Model po selekcji krokowej </w:t>
      </w:r>
      <w:r w:rsidRPr="009F7D17">
        <w:t>, mimo usunięcia kilku zmiennych, zachował praktycznie identyczną zdolność predykcyjną będąc jednocześnie modelem prostszym obliczeniowo i bardziej odpornym na przeuczenie.</w:t>
      </w:r>
    </w:p>
    <w:p w14:paraId="7EA1B8BC" w14:textId="65997989" w:rsidR="00A478B0" w:rsidRDefault="00A478B0" w:rsidP="009F7D17">
      <w:pPr>
        <w:rPr>
          <w:b/>
          <w:bCs/>
        </w:rPr>
      </w:pPr>
      <w:r>
        <w:rPr>
          <w:b/>
          <w:bCs/>
        </w:rPr>
        <w:t xml:space="preserve">Generalizacja – Wynik na zbiorze testowym </w:t>
      </w:r>
    </w:p>
    <w:p w14:paraId="47AFF720" w14:textId="13FAE524" w:rsidR="00A478B0" w:rsidRDefault="00A478B0" w:rsidP="009F7D17">
      <w:r w:rsidRPr="00A478B0">
        <w:t>W celu wykonania ostatecznego sprawdzianu generalizacji wiedzy, model po selekcji krokowej uruchomiono na zbiorze testowym. Uzyskano następujące wskaźniki:</w:t>
      </w:r>
    </w:p>
    <w:p w14:paraId="6E18797F" w14:textId="41711116" w:rsidR="00A478B0" w:rsidRDefault="00A478B0" w:rsidP="00A478B0">
      <w:pPr>
        <w:pStyle w:val="Akapitzlist"/>
        <w:numPr>
          <w:ilvl w:val="0"/>
          <w:numId w:val="3"/>
        </w:numPr>
      </w:pPr>
      <w:r>
        <w:t>R</w:t>
      </w:r>
      <w:r>
        <w:rPr>
          <w:vertAlign w:val="superscript"/>
        </w:rPr>
        <w:t>2</w:t>
      </w:r>
      <w:r>
        <w:t xml:space="preserve"> = 0,2517</w:t>
      </w:r>
    </w:p>
    <w:p w14:paraId="5F12501A" w14:textId="0FDBBD72" w:rsidR="00A478B0" w:rsidRDefault="00A478B0" w:rsidP="00A478B0">
      <w:pPr>
        <w:pStyle w:val="Akapitzlist"/>
        <w:numPr>
          <w:ilvl w:val="0"/>
          <w:numId w:val="3"/>
        </w:numPr>
      </w:pPr>
      <w:r>
        <w:t>RMSE</w:t>
      </w:r>
      <w:r w:rsidR="0031061B">
        <w:t>: 1,1448]</w:t>
      </w:r>
    </w:p>
    <w:p w14:paraId="144D8C25" w14:textId="15A899FA" w:rsidR="0031061B" w:rsidRDefault="0031061B" w:rsidP="00A478B0">
      <w:pPr>
        <w:pStyle w:val="Akapitzlist"/>
        <w:numPr>
          <w:ilvl w:val="0"/>
          <w:numId w:val="3"/>
        </w:numPr>
      </w:pPr>
      <w:r>
        <w:t>MAE: 0,8077</w:t>
      </w:r>
    </w:p>
    <w:p w14:paraId="10E54CA5" w14:textId="683159B8" w:rsidR="0031061B" w:rsidRDefault="0031061B" w:rsidP="0031061B">
      <w:r w:rsidRPr="0031061B">
        <w:t>Niezwykle mała rozbieżność błędów pomiędzy zbiorem walidacyjnym a testowym (wzrost MAE o zaledwie 0.4 centa) dowodzi doskonałej stabilności matematycznej modelu i potwierdza, że proces uczenia nie doprowadził do przeuczenia sieci powiązań regresyjnych.</w:t>
      </w:r>
    </w:p>
    <w:p w14:paraId="509B3AA6" w14:textId="77777777" w:rsidR="0031061B" w:rsidRDefault="0031061B" w:rsidP="0031061B"/>
    <w:p w14:paraId="3D294130" w14:textId="1A716FDF" w:rsidR="0031061B" w:rsidRDefault="0031061B" w:rsidP="0031061B">
      <w:pPr>
        <w:rPr>
          <w:b/>
          <w:bCs/>
        </w:rPr>
      </w:pPr>
      <w:r>
        <w:rPr>
          <w:b/>
          <w:bCs/>
        </w:rPr>
        <w:t xml:space="preserve">Wnioski i interpretacja wyników </w:t>
      </w:r>
    </w:p>
    <w:p w14:paraId="2D3E259B" w14:textId="77777777" w:rsidR="0031061B" w:rsidRDefault="0031061B" w:rsidP="0031061B">
      <w:pPr>
        <w:rPr>
          <w:b/>
          <w:bCs/>
        </w:rPr>
      </w:pPr>
    </w:p>
    <w:p w14:paraId="4A81B6DA" w14:textId="734120EF" w:rsidR="0031061B" w:rsidRPr="0031061B" w:rsidRDefault="0031061B" w:rsidP="0031061B">
      <w:r w:rsidRPr="0031061B">
        <w:t xml:space="preserve">Osiągnięty współczynnik determinacji </w:t>
      </w:r>
      <w:r>
        <w:t>R</w:t>
      </w:r>
      <w:r>
        <w:rPr>
          <w:vertAlign w:val="superscript"/>
        </w:rPr>
        <w:t xml:space="preserve">2 </w:t>
      </w:r>
      <w:r>
        <w:t>=</w:t>
      </w:r>
      <w:r w:rsidRPr="0031061B">
        <w:t xml:space="preserve"> 0.252 oznacza, że zbudowany model oparty wyłącznie na logistycznych i czasowo-przestrzennych parametrach platformy Uber </w:t>
      </w:r>
      <w:proofErr w:type="spellStart"/>
      <w:r w:rsidRPr="0031061B">
        <w:t>Eats</w:t>
      </w:r>
      <w:proofErr w:type="spellEnd"/>
      <w:r w:rsidRPr="0031061B">
        <w:t xml:space="preserve"> jest w stanie wyjaśnić 25,2% całkowitej zmienności wysokości napiwków w Santa Barbara.</w:t>
      </w:r>
    </w:p>
    <w:p w14:paraId="6D5094CC" w14:textId="77777777" w:rsidR="0031061B" w:rsidRPr="0031061B" w:rsidRDefault="0031061B" w:rsidP="0031061B">
      <w:r w:rsidRPr="0031061B">
        <w:t>Nawiązując bezpośrednio do założeń biznesowych zdefiniowanych na początku projektu (</w:t>
      </w:r>
      <w:r w:rsidRPr="0031061B">
        <w:rPr>
          <w:i/>
          <w:iCs/>
        </w:rPr>
        <w:t xml:space="preserve">Business </w:t>
      </w:r>
      <w:proofErr w:type="spellStart"/>
      <w:r w:rsidRPr="0031061B">
        <w:rPr>
          <w:i/>
          <w:iCs/>
        </w:rPr>
        <w:t>Understanding</w:t>
      </w:r>
      <w:proofErr w:type="spellEnd"/>
      <w:r w:rsidRPr="0031061B">
        <w:t>), wynik ten należy uznać za bardzo wysoki sukces aplikacyjny. Decyzja klienta o przyznaniu konkretnej kwoty napiwku zależy w przeważającej mierze od ulotnych czynników psychologicznych, interpersonalnych i losowych (np. kultura osobista kuriera, stopień nagrzania posiłku, aktualny nastrój czy profil zamożności klienta), których baza danych z przyczyn oczywistych nie rejestruje. Wykazanie, że czysta charakterystyka techniczna dostawy (odległość, czas, koszty) odpowiada za ponad jedną czwartą decyzji finansowej konsumenta, ma kluczową wartość rynkową.</w:t>
      </w:r>
    </w:p>
    <w:p w14:paraId="47693A83" w14:textId="77777777" w:rsidR="0031061B" w:rsidRDefault="0031061B" w:rsidP="0031061B">
      <w:r w:rsidRPr="0031061B">
        <w:t xml:space="preserve">Średni błąd absolutny (MAE) na poziomie 0.81 $ oznacza, że prognoza modelu myli się średnio o zaledwie 81 centów. Z punktu widzenia managera operacyjnego Uber </w:t>
      </w:r>
      <w:proofErr w:type="spellStart"/>
      <w:r w:rsidRPr="0031061B">
        <w:t>Eats</w:t>
      </w:r>
      <w:proofErr w:type="spellEnd"/>
      <w:r w:rsidRPr="0031061B">
        <w:t>, pozwala to na bardzo precyzyjne symulowanie realnych, całkowitych przychodów kurierów w ujęciu dobowym lub tygodniowym.</w:t>
      </w:r>
    </w:p>
    <w:p w14:paraId="6823E835" w14:textId="5F9BB484" w:rsidR="0031061B" w:rsidRDefault="0031061B" w:rsidP="0031061B">
      <w:r w:rsidRPr="0031061B">
        <w:lastRenderedPageBreak/>
        <w:t xml:space="preserve">Analizując ostateczne współczynniki modelu po selekcji krokowej, zidentyfikowano kluczowe determinanty wpływające na wysokość napiwków (wszystkie wymienione poniżej zmienne okazały się wysoce istotne statystycznie przy </w:t>
      </w:r>
      <w:r>
        <w:t>p-</w:t>
      </w:r>
      <w:proofErr w:type="spellStart"/>
      <w:r>
        <w:t>value</w:t>
      </w:r>
      <w:proofErr w:type="spellEnd"/>
      <w:r w:rsidRPr="0031061B">
        <w:t>&lt; 0.001)</w:t>
      </w:r>
    </w:p>
    <w:p w14:paraId="578A3CCC" w14:textId="1743535C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Opłata bazowa (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fare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Współczynnik dodatni 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β = 0,046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 Wzrost kosztu samej dostawy przekłada się bezpośrednio na wyższy napiwek. Klienci podświadomie stosują regułę proporcjonalności – droższe zamówienie generuje wyższą gratyfikację dla kuriera.</w:t>
      </w:r>
    </w:p>
    <w:p w14:paraId="0AFB673B" w14:textId="7A897B87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Geograficzny dystans i interakcja czasu (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log_distance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 xml:space="preserve"> oraz 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dist_dur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Sama zmienna </w:t>
      </w:r>
      <w:proofErr w:type="spellStart"/>
      <w:r w:rsidRPr="0031061B">
        <w:rPr>
          <w:rFonts w:eastAsia="Times New Roman" w:cs="Arial"/>
          <w:kern w:val="0"/>
          <w:sz w:val="20"/>
          <w:szCs w:val="20"/>
          <w:lang w:eastAsia="pl-PL"/>
          <w14:ligatures w14:val="none"/>
        </w:rPr>
        <w:t>log_distance</w:t>
      </w:r>
      <w:proofErr w:type="spellEnd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posiada ujemny współczynnik, jednak w połączeniu z efektem synergii czasu i odległości (</w:t>
      </w:r>
      <w:proofErr w:type="spellStart"/>
      <w:r w:rsidRPr="0031061B">
        <w:rPr>
          <w:rFonts w:eastAsia="Times New Roman" w:cs="Arial"/>
          <w:kern w:val="0"/>
          <w:sz w:val="20"/>
          <w:szCs w:val="20"/>
          <w:lang w:eastAsia="pl-PL"/>
          <w14:ligatures w14:val="none"/>
        </w:rPr>
        <w:t>dist_dur</w:t>
      </w:r>
      <w:proofErr w:type="spellEnd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, współczynnik dodatni 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β = </w:t>
      </w:r>
      <w:r w:rsidRPr="0031061B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0.0016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 wskazuje na nieliniową zależność. Długie, skomplikowane i czasochłonne dostawy na obrzeża Santa Barbara wywołują u klientów większą empatię, skutkując wyższymi napiwkami.</w:t>
      </w:r>
    </w:p>
    <w:p w14:paraId="6DC83BDF" w14:textId="77F218F2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Pora dnia (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time_of_day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Jako kategorię odniesienia (bazową) przyjęto popołudnie (</w:t>
      </w:r>
      <w:proofErr w:type="spellStart"/>
      <w:r w:rsidRPr="0031061B">
        <w:rPr>
          <w:rFonts w:eastAsia="Times New Roman" w:cs="Arial"/>
          <w:i/>
          <w:iCs/>
          <w:kern w:val="0"/>
          <w:sz w:val="24"/>
          <w:szCs w:val="24"/>
          <w:lang w:eastAsia="pl-PL"/>
          <w14:ligatures w14:val="none"/>
        </w:rPr>
        <w:t>afternoon</w:t>
      </w:r>
      <w:proofErr w:type="spellEnd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). Model wykazał, że dostawy realizowane wieczorem (</w:t>
      </w:r>
      <w:r>
        <w:rPr>
          <w:rFonts w:eastAsia="Times New Roman" w:cs="Arial"/>
          <w:i/>
          <w:iCs/>
          <w:kern w:val="0"/>
          <w:sz w:val="24"/>
          <w:szCs w:val="24"/>
          <w:lang w:eastAsia="pl-PL"/>
          <w14:ligatures w14:val="none"/>
        </w:rPr>
        <w:t>β =</w:t>
      </w:r>
      <w:r w:rsidRPr="0031061B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 xml:space="preserve"> 0.103$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 oraz nocą (</w:t>
      </w:r>
      <w:r>
        <w:rPr>
          <w:rFonts w:eastAsia="Times New Roman" w:cs="Arial"/>
          <w:i/>
          <w:iCs/>
          <w:kern w:val="0"/>
          <w:sz w:val="24"/>
          <w:szCs w:val="24"/>
          <w:lang w:eastAsia="pl-PL"/>
          <w14:ligatures w14:val="none"/>
        </w:rPr>
        <w:t xml:space="preserve">β = 0.038) 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wiążą się ze statystycznie wyższymi napiwkami. Potwierdza to hipotezę o większej hojności konsumentów po godzinach pracy oraz w trakcie spotkań towarzyskich.</w:t>
      </w:r>
    </w:p>
    <w:p w14:paraId="150B2845" w14:textId="4179E960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Cykliczność czasu (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time_cos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Dodatni współczynnik 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(β = </w:t>
      </w:r>
      <w:r w:rsidRPr="0031061B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0.049$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) przy transformacji cosinusowej (gdzie punkt szczytowy ustawiono na godzinę 20:00) udowadnia, że pora kolacyjna i tzw. </w:t>
      </w:r>
      <w:proofErr w:type="spellStart"/>
      <w:r w:rsidRPr="0031061B">
        <w:rPr>
          <w:rFonts w:eastAsia="Times New Roman" w:cs="Arial"/>
          <w:i/>
          <w:iCs/>
          <w:kern w:val="0"/>
          <w:sz w:val="24"/>
          <w:szCs w:val="24"/>
          <w:lang w:eastAsia="pl-PL"/>
          <w14:ligatures w14:val="none"/>
        </w:rPr>
        <w:t>prime-time</w:t>
      </w:r>
      <w:proofErr w:type="spellEnd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zamówień to momenty najwyższej zyskowności dla dostawców.</w:t>
      </w:r>
    </w:p>
    <w:p w14:paraId="3E73ECF4" w14:textId="624A414B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Dni tygodnia (</w:t>
      </w:r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is_weekday_3_6</w:t>
      </w: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Zgodnie z obserwacjami z </w:t>
      </w:r>
      <w:proofErr w:type="spellStart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boxplotów</w:t>
      </w:r>
      <w:proofErr w:type="spellEnd"/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, zamówienia składane od środy do soboty cieszą się statystycznie wyższymi napiwkami (</w:t>
      </w:r>
      <w:r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 xml:space="preserve">β = </w:t>
      </w:r>
      <w:r w:rsidRPr="0031061B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>0.038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 w stosunku do początku tygodnia (niedziela-wtorek), co koresponduje z weekendowym rozluźnieniem budżetowym konsumentów.</w:t>
      </w:r>
    </w:p>
    <w:p w14:paraId="419AE6B2" w14:textId="3AE867A4" w:rsidR="0031061B" w:rsidRPr="0031061B" w:rsidRDefault="0031061B" w:rsidP="0031061B">
      <w:pPr>
        <w:pStyle w:val="Akapitzlist"/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Liczba zamówień łączonych (</w:t>
      </w:r>
      <w:proofErr w:type="spellStart"/>
      <w:r w:rsidRPr="0031061B">
        <w:rPr>
          <w:rFonts w:eastAsia="Times New Roman" w:cs="Arial"/>
          <w:b/>
          <w:bCs/>
          <w:kern w:val="0"/>
          <w:sz w:val="20"/>
          <w:szCs w:val="20"/>
          <w:lang w:eastAsia="pl-PL"/>
          <w14:ligatures w14:val="none"/>
        </w:rPr>
        <w:t>deliveries_f</w:t>
      </w:r>
      <w:proofErr w:type="spellEnd"/>
      <w:r w:rsidRPr="0031061B">
        <w:rPr>
          <w:rFonts w:eastAsia="Times New Roman" w:cs="Arial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Wszystkie poziomy faktora (dostawy podwójne </w:t>
      </w:r>
      <w:r w:rsidRPr="0031061B">
        <w:rPr>
          <w:rFonts w:eastAsia="Times New Roman" w:cs="Arial"/>
          <w:kern w:val="0"/>
          <w:sz w:val="20"/>
          <w:szCs w:val="20"/>
          <w:lang w:eastAsia="pl-PL"/>
          <w14:ligatures w14:val="none"/>
        </w:rPr>
        <w:t>2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, potrójne </w:t>
      </w:r>
      <w:r w:rsidRPr="0031061B">
        <w:rPr>
          <w:rFonts w:eastAsia="Times New Roman" w:cs="Arial"/>
          <w:kern w:val="0"/>
          <w:sz w:val="20"/>
          <w:szCs w:val="20"/>
          <w:lang w:eastAsia="pl-PL"/>
          <w14:ligatures w14:val="none"/>
        </w:rPr>
        <w:t>3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) posiadają ujemne współczynniki w stosunku do dostawy pojedynczej </w:t>
      </w:r>
      <w:r w:rsidRPr="0031061B">
        <w:rPr>
          <w:rFonts w:eastAsia="Times New Roman" w:cs="Arial"/>
          <w:kern w:val="0"/>
          <w:sz w:val="20"/>
          <w:szCs w:val="20"/>
          <w:lang w:eastAsia="pl-PL"/>
          <w14:ligatures w14:val="none"/>
        </w:rPr>
        <w:t>1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(np. dla 3 dostaw </w:t>
      </w:r>
      <w:r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 xml:space="preserve">β = </w:t>
      </w:r>
      <w:r w:rsidRPr="0031061B">
        <w:rPr>
          <w:rFonts w:eastAsia="Times New Roman" w:cs="Arial"/>
          <w:kern w:val="0"/>
          <w:sz w:val="24"/>
          <w:szCs w:val="24"/>
          <w:lang w:eastAsia="pl-PL"/>
          <w14:ligatures w14:val="none"/>
        </w:rPr>
        <w:t xml:space="preserve"> -0.095</w:t>
      </w:r>
      <w:r w:rsidRPr="0031061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). Oznacza to, że realizowanie przez kuriera kilku zamówień jednocześnie skutkuje wydłużeniem czasu oczekiwania pojedynczego klienta na jedzenie, co bezpośrednio uderza w jego satysfakcję i skutkuje obniżeniem napiwku.</w:t>
      </w:r>
    </w:p>
    <w:p w14:paraId="23B8F8C0" w14:textId="2D3C3D25" w:rsidR="0031061B" w:rsidRDefault="0031061B" w:rsidP="0031061B">
      <w:pPr>
        <w:pStyle w:val="Akapitzlist"/>
        <w:numPr>
          <w:ilvl w:val="0"/>
          <w:numId w:val="4"/>
        </w:numPr>
      </w:pPr>
      <w:r w:rsidRPr="0031061B">
        <w:rPr>
          <w:b/>
          <w:bCs/>
        </w:rPr>
        <w:t>Program lojalnościowy (</w:t>
      </w:r>
      <w:proofErr w:type="spellStart"/>
      <w:r w:rsidRPr="0031061B">
        <w:rPr>
          <w:b/>
          <w:bCs/>
        </w:rPr>
        <w:t>log_points</w:t>
      </w:r>
      <w:proofErr w:type="spellEnd"/>
      <w:r w:rsidRPr="0031061B">
        <w:rPr>
          <w:b/>
          <w:bCs/>
        </w:rPr>
        <w:t xml:space="preserve"> i interakcja </w:t>
      </w:r>
      <w:proofErr w:type="spellStart"/>
      <w:r w:rsidRPr="0031061B">
        <w:rPr>
          <w:b/>
          <w:bCs/>
        </w:rPr>
        <w:t>poin_deli</w:t>
      </w:r>
      <w:proofErr w:type="spellEnd"/>
      <w:r w:rsidRPr="0031061B">
        <w:rPr>
          <w:b/>
          <w:bCs/>
        </w:rPr>
        <w:t>):</w:t>
      </w:r>
      <w:r w:rsidRPr="0031061B">
        <w:t xml:space="preserve"> Wykazano, że punkty zbierane przez klientów stymulują wyższe napiwki, jednak efekt ten słabnie w przypadku realizowania zamówień wielokrotnych (ujemny znak przy interakcji </w:t>
      </w:r>
      <w:proofErr w:type="spellStart"/>
      <w:r w:rsidRPr="0031061B">
        <w:t>poin_deli</w:t>
      </w:r>
      <w:proofErr w:type="spellEnd"/>
      <w:r w:rsidRPr="0031061B">
        <w:t>).</w:t>
      </w:r>
    </w:p>
    <w:p w14:paraId="1374B56B" w14:textId="77777777" w:rsidR="0031061B" w:rsidRDefault="0031061B" w:rsidP="0031061B"/>
    <w:p w14:paraId="48AEF70A" w14:textId="6B8D41DF" w:rsidR="0031061B" w:rsidRPr="0031061B" w:rsidRDefault="0031061B" w:rsidP="0031061B">
      <w:r w:rsidRPr="0031061B">
        <w:t>Podsumowując, najlepszą strategią maksymalizacji zysków dla kurierów platformy w Santa Barbara jest realizacja pojedynczych zamówień (unikając zleceń łączonych) w godzinach wieczornych (16:00 - 21:00), ze szczególnym uwzględnieniem drugiej połowy tygodnia (od środy do soboty). Podział danych i inżynieria cech pozwoliły na stworzenie stabilnego modelu regresyjnego o wysokiej wartości poznawczej i biznesowej.</w:t>
      </w:r>
    </w:p>
    <w:p w14:paraId="4F42CF49" w14:textId="77777777" w:rsidR="0031061B" w:rsidRPr="0031061B" w:rsidRDefault="0031061B" w:rsidP="0031061B"/>
    <w:p w14:paraId="5202EE57" w14:textId="77777777" w:rsidR="0031061B" w:rsidRDefault="0031061B" w:rsidP="0031061B">
      <w:pPr>
        <w:rPr>
          <w:b/>
          <w:bCs/>
        </w:rPr>
      </w:pPr>
    </w:p>
    <w:p w14:paraId="27D02924" w14:textId="77777777" w:rsidR="0031061B" w:rsidRPr="0031061B" w:rsidRDefault="0031061B" w:rsidP="0031061B">
      <w:pPr>
        <w:rPr>
          <w:b/>
          <w:bCs/>
        </w:rPr>
      </w:pPr>
    </w:p>
    <w:p w14:paraId="0B0D6EC1" w14:textId="77777777" w:rsidR="009F7D17" w:rsidRPr="009F7D17" w:rsidRDefault="009F7D17" w:rsidP="009F7D17">
      <w:pPr>
        <w:pStyle w:val="Akapitzlist"/>
        <w:ind w:left="1080"/>
      </w:pPr>
    </w:p>
    <w:p w14:paraId="5B2A6597" w14:textId="77777777" w:rsidR="009F7D17" w:rsidRDefault="009F7D17"/>
    <w:sectPr w:rsidR="009F7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D48"/>
    <w:multiLevelType w:val="hybridMultilevel"/>
    <w:tmpl w:val="02FCC86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F04C67"/>
    <w:multiLevelType w:val="hybridMultilevel"/>
    <w:tmpl w:val="7FDA46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911B6"/>
    <w:multiLevelType w:val="hybridMultilevel"/>
    <w:tmpl w:val="6428A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E1D75"/>
    <w:multiLevelType w:val="hybridMultilevel"/>
    <w:tmpl w:val="7BBE9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459207">
    <w:abstractNumId w:val="1"/>
  </w:num>
  <w:num w:numId="2" w16cid:durableId="790781554">
    <w:abstractNumId w:val="0"/>
  </w:num>
  <w:num w:numId="3" w16cid:durableId="130173072">
    <w:abstractNumId w:val="3"/>
  </w:num>
  <w:num w:numId="4" w16cid:durableId="247931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17"/>
    <w:rsid w:val="00157117"/>
    <w:rsid w:val="00283B88"/>
    <w:rsid w:val="0031061B"/>
    <w:rsid w:val="003C3D92"/>
    <w:rsid w:val="00840152"/>
    <w:rsid w:val="00955BA9"/>
    <w:rsid w:val="009C0FFE"/>
    <w:rsid w:val="009F7D17"/>
    <w:rsid w:val="00A478B0"/>
    <w:rsid w:val="00B8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389C"/>
  <w15:chartTrackingRefBased/>
  <w15:docId w15:val="{A4C5F24F-00E7-4508-A363-0BE2AC6D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F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F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F7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7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F7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F7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F7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7D1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7D1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7D1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7D1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7D1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7D1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F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F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F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F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F7D1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F7D1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F7D1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7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7D1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F7D17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omylnaczcionkaakapitu"/>
    <w:rsid w:val="009F7D17"/>
  </w:style>
  <w:style w:type="table" w:styleId="Tabela-Siatka">
    <w:name w:val="Table Grid"/>
    <w:basedOn w:val="Standardowy"/>
    <w:uiPriority w:val="39"/>
    <w:rsid w:val="009F7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od">
    <w:name w:val="HTML Code"/>
    <w:basedOn w:val="Domylnaczcionkaakapitu"/>
    <w:uiPriority w:val="99"/>
    <w:semiHidden/>
    <w:unhideWhenUsed/>
    <w:rsid w:val="003106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1178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Misztela</dc:creator>
  <cp:keywords/>
  <dc:description/>
  <cp:lastModifiedBy>Tomasz Misztela</cp:lastModifiedBy>
  <cp:revision>1</cp:revision>
  <dcterms:created xsi:type="dcterms:W3CDTF">2026-05-18T17:31:00Z</dcterms:created>
  <dcterms:modified xsi:type="dcterms:W3CDTF">2026-05-18T18:00:00Z</dcterms:modified>
</cp:coreProperties>
</file>