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b/>
          <w:bCs/>
          <w:color w:val="1F4E79"/>
          <w:sz w:val="36"/>
          <w:szCs w:val="36"/>
        </w:rPr>
        <w:t xml:space="preserve">Combined Operational Data for Catch (Sales/Landing Notes) and Vessels</w:t>
      </w:r>
    </w:p>
    <w:p>
      <w:pPr>
        <w:spacing w:after="400"/>
      </w:pPr>
      <w:r>
        <w:rPr>
          <w:i/>
          <w:iCs/>
          <w:color w:val="666666"/>
          <w:sz w:val="20"/>
          <w:szCs w:val="20"/>
        </w:rPr>
        <w:t xml:space="preserve">By Randi S. Sletten Hopland and Tove Aasheim  ·  As of 12 December 2023</w:t>
      </w:r>
      <w:r>
        <w:rPr>
          <w:i/>
          <w:iCs/>
          <w:color w:val="888888"/>
          <w:sz w:val="20"/>
          <w:szCs w:val="20"/>
        </w:rPr>
        <w:t xml:space="preserve">  ·  English translation</w:t>
      </w:r>
    </w:p>
    <w:p>
      <w:pPr>
        <w:pStyle w:val="Heading1"/>
      </w:pPr>
      <w:r>
        <w:t xml:space="preserve">Contents</w:t>
      </w:r>
    </w:p>
    <w:p>
      <w:pPr>
        <w:pStyle w:val="Normal"/>
        <w:spacing w:after="120"/>
      </w:pPr>
      <w:r>
        <w:rPr>
          <w:sz w:val="22"/>
          <w:szCs w:val="22"/>
        </w:rPr>
        <w:t xml:space="preserve">The dataset is a combined dataset containing catch data from the Norwegian Directorate of Fisheries’ landing and sales-note register, and vessel data from the Directorate’s register of fishing vessels (Merkeregisteret). The dataset includes all catches by Norwegian vessels as well as catches by foreign vessels landed in Norway. The time series starts in the year 2000. The dataset contains operational data. Operational data undergoes the same quality assurance as data used for official statistics. While data for official statistics is locked against further changes at a given point in time, operational data will continue to “live” and may still be updated and changed. Operational data is mainly used for management and control purposes.</w:t>
      </w:r>
    </w:p>
    <w:p>
      <w:pPr>
        <w:pStyle w:val="Normal"/>
        <w:spacing w:after="120"/>
      </w:pPr>
      <w:r>
        <w:rPr>
          <w:sz w:val="22"/>
          <w:szCs w:val="22"/>
        </w:rPr>
        <w:t xml:space="preserve">The dataset contains information on all fishing and capture at sea carried out by Norwegian-registered fishing vessels, as well as catches by foreign vessels landed in Norway. The dataset is also intended to contain information on research catches, school catches, and all first-hand sales from recreational fishing.</w:t>
      </w:r>
    </w:p>
    <w:p>
      <w:pPr>
        <w:pStyle w:val="Normal"/>
        <w:spacing w:after="120"/>
      </w:pPr>
      <w:r>
        <w:rPr>
          <w:sz w:val="22"/>
          <w:szCs w:val="22"/>
        </w:rPr>
        <w:t xml:space="preserve">The dataset contains both sales notes (sluttsetlar) and landing notes (landingssetlar). In the table, landing notes are written down (zeroed out) as the catch is sold and recorded on a sales note. The majority of landing notes will therefore, after some time, show 0 in quantity. Any residual quantities remaining on landing notes will be catches that, for various reasons, have not been sold.</w:t>
      </w:r>
    </w:p>
    <w:p>
      <w:pPr>
        <w:pStyle w:val="Normal"/>
        <w:spacing w:after="120"/>
      </w:pPr>
      <w:r>
        <w:rPr>
          <w:sz w:val="22"/>
          <w:szCs w:val="22"/>
        </w:rPr>
        <w:t xml:space="preserve">For the years 2000–2014, figures for sea fishing of salmon and sea trout have been entered in the table on the basis of municipal statistics for these species received from Statistics Norway (SSB). These figures contained only quantities, not values.</w:t>
      </w:r>
    </w:p>
    <w:p>
      <w:pPr>
        <w:pStyle w:val="Heading1"/>
      </w:pPr>
      <w:r>
        <w:t xml:space="preserve">Method for linking catch data and vessel data</w:t>
      </w:r>
    </w:p>
    <w:p>
      <w:pPr>
        <w:pStyle w:val="Normal"/>
        <w:spacing w:after="120"/>
      </w:pPr>
      <w:r>
        <w:rPr>
          <w:sz w:val="22"/>
          <w:szCs w:val="22"/>
        </w:rPr>
        <w:t xml:space="preserve">Catch data and vessel data are linked using the last catch date and the validity periods of the vessel; the last catch date must fall within a period in which the vessel is valid in order to be linked to that vessel. If a catch does not have a last catch date that falls within a valid period for the vessel, that catch will not be linked to a Vessel ID, and therefore not to vessel characteristics either. Catches that fall outside the vessels’ validity periods will therefore appear as “unspecified catch” with respect to all vessel variables (e.g. vessel municipality, greatest length, gross tonnage, etc.). Registration mark and radio call sign are, on the other hand, taken from the sales/landing note and will therefore be present regardless of whether there is a match in the vessel data.</w:t>
      </w:r>
    </w:p>
    <w:p>
      <w:pPr>
        <w:pStyle w:val="Heading1"/>
      </w:pPr>
      <w:r>
        <w:t xml:space="preserve">Unit</w:t>
      </w:r>
    </w:p>
    <w:p>
      <w:pPr>
        <w:pStyle w:val="Normal"/>
        <w:spacing w:after="120"/>
      </w:pPr>
      <w:r>
        <w:rPr>
          <w:sz w:val="22"/>
          <w:szCs w:val="22"/>
        </w:rPr>
        <w:t xml:space="preserve">The unit is a document (sales note / landing note). The unit is repeated for each line item.</w:t>
      </w:r>
    </w:p>
    <w:p>
      <w:pPr>
        <w:pStyle w:val="Normal"/>
        <w:spacing w:after="120"/>
      </w:pPr>
      <w:r>
        <w:rPr>
          <w:sz w:val="22"/>
          <w:szCs w:val="22"/>
        </w:rPr>
        <w:t xml:space="preserve">On landing/sale, a landing note / sales note is filled in containing the central information about the landing/sale. Under the Fish Sales Act (Fiskesalslagslova), it is further required that wild living marine resources must, in the first instance, be sold through, or with the approval of, a fish sales organisation. The fish sales organisations forward this information to the Directorate of Fisheries in electronic form, and it is these documents that form the main basis for the content of the dataset.</w:t>
      </w:r>
    </w:p>
    <w:p>
      <w:pPr>
        <w:pStyle w:val="Heading1"/>
      </w:pPr>
      <w:r>
        <w:t xml:space="preserve">Data quality</w:t>
      </w:r>
    </w:p>
    <w:p>
      <w:pPr>
        <w:pStyle w:val="Heading2"/>
      </w:pPr>
      <w:r>
        <w:t xml:space="preserve">Catch</w:t>
      </w:r>
    </w:p>
    <w:p>
      <w:pPr>
        <w:pStyle w:val="Normal"/>
        <w:spacing w:after="120"/>
      </w:pPr>
      <w:r>
        <w:rPr>
          <w:sz w:val="22"/>
          <w:szCs w:val="22"/>
        </w:rPr>
        <w:t xml:space="preserve">The dataset is complete from the year 2000 onwards, but quality deviations may be found at field level. There has been a gradual expansion over time, in which both new fields and new codes for the content have been added. All code lists are maintained on an ongoing basis and new codes are created when needed.</w:t>
      </w:r>
    </w:p>
    <w:p>
      <w:pPr>
        <w:pStyle w:val="Normal"/>
        <w:spacing w:after="120"/>
      </w:pPr>
      <w:r>
        <w:rPr>
          <w:sz w:val="22"/>
          <w:szCs w:val="22"/>
        </w:rPr>
        <w:t xml:space="preserve">Sales notes are included in the dataset for all years. The implementation of landing notes has been carried out over time. We started receiving landing notes from Norges Råfisklag at the very end of 2002, but coverage is not complete for the first years. Sunnmøre og Romsdal Fiskesalslag was added in 2007, with some documents relating to 2006 and a few relating to 2005 also being included. Vest-Norges Fiskesalslag and Norges Sildesalgslag were added in 2011, with a few documents relating to 2010. Skagerakfisk was added in 2013. For very recent data, one should be aware that there is a risk that quantities may appear twice — i.e. both on the sales note and on the landing note — if the quantity has not yet been correctly written down on the landing note.</w:t>
      </w:r>
    </w:p>
    <w:p>
      <w:pPr>
        <w:pStyle w:val="Normal"/>
        <w:spacing w:after="120"/>
      </w:pPr>
      <w:r>
        <w:rPr>
          <w:sz w:val="22"/>
          <w:szCs w:val="22"/>
        </w:rPr>
        <w:t xml:space="preserve">Some fields are optional to fill in and may therefore more often lack content. Not all fields have been quality-assured either. There may therefore be considerable variation in quality between the different fields in the data.</w:t>
      </w:r>
    </w:p>
    <w:p>
      <w:pPr>
        <w:pStyle w:val="Normal"/>
        <w:spacing w:after="120"/>
      </w:pPr>
      <w:r>
        <w:rPr>
          <w:sz w:val="22"/>
          <w:szCs w:val="22"/>
        </w:rPr>
        <w:t xml:space="preserve">During 2013, a new system was introduced for transferring sales/landing-note data from the sales organisations to the Directorate of Fisheries. Under the new regime, notes are transferred on an ongoing basis from the buyer via the sales organisations to us, so that the time lag should be considerably reduced. At the same time, several automatic tests were introduced on receipt, so an increase in data quality can be expected after this point. From 2014 onwards, all sales organisations are on this new system.</w:t>
      </w:r>
    </w:p>
    <w:p>
      <w:pPr>
        <w:pStyle w:val="Heading2"/>
      </w:pPr>
      <w:r>
        <w:t xml:space="preserve">Vessel</w:t>
      </w:r>
    </w:p>
    <w:p>
      <w:pPr>
        <w:pStyle w:val="Normal"/>
        <w:spacing w:after="120"/>
      </w:pPr>
      <w:r>
        <w:rPr>
          <w:sz w:val="22"/>
          <w:szCs w:val="22"/>
        </w:rPr>
        <w:t xml:space="preserve">The entry of a vessel into the vessel register (merkeregisteret), changes to information about the owner/vessel in the register, and the deletion of a vessel from the register, are carried out on the basis of a notification from the vessel’s owner.</w:t>
      </w:r>
    </w:p>
    <w:p>
      <w:pPr>
        <w:pStyle w:val="Normal"/>
        <w:spacing w:after="120"/>
      </w:pPr>
      <w:r>
        <w:rPr>
          <w:sz w:val="22"/>
          <w:szCs w:val="22"/>
        </w:rPr>
        <w:t xml:space="preserve">As part of the case processing when entering a vessel into the vessel register, or when registering changes in the register, the information provided is checked against information from external registers such as the Norwegian Ordinary Ship Register (NOR) and against requested and submitted documentation. Changes that occur in external registers outside the times of entry and update are not automatically picked up.</w:t>
      </w:r>
    </w:p>
    <w:p>
      <w:pPr>
        <w:pStyle w:val="Normal"/>
        <w:spacing w:after="120"/>
      </w:pPr>
      <w:r>
        <w:rPr>
          <w:sz w:val="22"/>
          <w:szCs w:val="22"/>
        </w:rPr>
        <w:t xml:space="preserve">As part of the quality assurance of the information in the vessel register, the information is periodically “cleaned” against other public registers, and necessary investigations and subsequent corrections are made in the register on that basis.</w:t>
      </w:r>
    </w:p>
    <w:p>
      <w:pPr>
        <w:pStyle w:val="Normal"/>
        <w:spacing w:after="120"/>
      </w:pPr>
      <w:r>
        <w:rPr>
          <w:sz w:val="22"/>
          <w:szCs w:val="22"/>
        </w:rPr>
        <w:t xml:space="preserve">The Directorate of Fisheries works continuously, through quality assurance of case-handling routines and through surveys, to identify possible errors and to have them corrected. Corrections may also be made retrospectively.</w:t>
      </w:r>
    </w:p>
    <w:p>
      <w:pPr>
        <w:pStyle w:val="Heading1"/>
      </w:pPr>
      <w:r>
        <w:t xml:space="preserve">Source</w:t>
      </w:r>
    </w:p>
    <w:p>
      <w:pPr>
        <w:pStyle w:val="ListParagraph"/>
        <w:numPr>
          <w:ilvl w:val="0"/>
          <w:numId w:val="2"/>
        </w:numPr>
      </w:pPr>
      <w:r>
        <w:rPr>
          <w:sz w:val="22"/>
          <w:szCs w:val="22"/>
        </w:rPr>
        <w:t xml:space="preserve">Directorate of Fisheries’ landing and sales-note register</w:t>
      </w:r>
    </w:p>
    <w:p>
      <w:pPr>
        <w:pStyle w:val="ListParagraph"/>
        <w:numPr>
          <w:ilvl w:val="0"/>
          <w:numId w:val="2"/>
        </w:numPr>
      </w:pPr>
      <w:r>
        <w:rPr>
          <w:sz w:val="22"/>
          <w:szCs w:val="22"/>
        </w:rPr>
        <w:t xml:space="preserve">Directorate of Fisheries’ vessel register (Merkeregisteret)</w:t>
      </w:r>
    </w:p>
    <w:p>
      <w:pPr>
        <w:spacing w:after="120"/>
      </w:pPr>
      <w:r>
        <w:rPr>
          <w:b/>
          <w:bCs/>
          <w:sz w:val="22"/>
          <w:szCs w:val="22"/>
        </w:rPr>
        <w:t xml:space="preserve">Period: </w:t>
      </w:r>
      <w:r>
        <w:rPr>
          <w:sz w:val="22"/>
          <w:szCs w:val="22"/>
        </w:rPr>
        <w:t xml:space="preserve">2000 – continuously updated</w:t>
      </w:r>
    </w:p>
    <w:p>
      <w:pPr>
        <w:pStyle w:val="Heading1"/>
      </w:pPr>
      <w:r>
        <w:t xml:space="preserve">Field descriptions</w:t>
      </w:r>
    </w:p>
    <w:p>
      <w:pPr>
        <w:pStyle w:val="Heading2"/>
      </w:pPr>
      <w:r>
        <w:t xml:space="preserve">Document number (Dokumentnummer)</w:t>
      </w:r>
    </w:p>
    <w:p>
      <w:pPr>
        <w:pStyle w:val="Normal"/>
        <w:spacing w:after="120"/>
      </w:pPr>
      <w:r>
        <w:rPr>
          <w:sz w:val="22"/>
          <w:szCs w:val="22"/>
        </w:rPr>
        <w:t xml:space="preserve">The document number printed on the physical note. A running number that must be unique within a sales organisation within a year. From around 2004 up to and including 2017, the number is built up of 12 digits: the first digit indicates the sales organisation, the second digit the document type, and then a running number with leading zeros. This form is complete from 2005 onwards, with the exception of internally generated notes (at the Directorate of Fisheries) under Sales Organisation (code) = 10. This form produces unique numbers across all sales organisations within a year. From 2018 onwards, the number is no longer built up in this form for all sales organisations; for some it consists only of a running number. The fields Document Type and Sales Organisation must then be combined with Document Number to generate a unique number. The information is complete.</w:t>
      </w:r>
    </w:p>
    <w:p>
      <w:pPr>
        <w:pStyle w:val="Heading2"/>
      </w:pPr>
      <w:r>
        <w:t xml:space="preserve">Document type (code) — Dokumenttype (kode)</w:t>
      </w:r>
    </w:p>
    <w:p>
      <w:pPr>
        <w:pStyle w:val="Normal"/>
        <w:spacing w:after="120"/>
      </w:pPr>
      <w:r>
        <w:rPr>
          <w:sz w:val="22"/>
          <w:szCs w:val="22"/>
        </w:rPr>
        <w:t xml:space="preserve">Document type indicates what type of document it is. This table contains only document type 0 = sales note and 1 = landing note. The implementation of landing notes has taken place over time (see notes above). For very recent data, be aware that quantities may appear twice — both on the sales note and on the landing note — if the quantity has not yet been correctly written down on the landing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Sales-note document (Sluttseddeldokument)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Landing document (Landingsdokument)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Landing document for transit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3</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Wharf note (Bryggeseddel)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4</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Landing document from carrier vessel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5</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Catch certificate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9</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Notification document</w:t>
            </w:r>
          </w:p>
        </w:tc>
      </w:tr>
    </w:tbl>
    <w:p/>
    <w:p>
      <w:pPr>
        <w:pStyle w:val="Heading2"/>
      </w:pPr>
      <w:r>
        <w:t xml:space="preserve">Document type — description (Dokumenttype)</w:t>
      </w:r>
    </w:p>
    <w:p>
      <w:pPr>
        <w:pStyle w:val="Normal"/>
        <w:spacing w:after="120"/>
      </w:pPr>
      <w:r>
        <w:rPr>
          <w:sz w:val="22"/>
          <w:szCs w:val="22"/>
        </w:rPr>
        <w:t xml:space="preserve">This field contains a more detailed description / display text for the document-type code.</w:t>
      </w:r>
    </w:p>
    <w:p>
      <w:pPr>
        <w:pStyle w:val="Heading2"/>
      </w:pPr>
      <w:r>
        <w:t xml:space="preserve">Document version number (Dokument versjonsnummer)</w:t>
      </w:r>
    </w:p>
    <w:p>
      <w:pPr>
        <w:pStyle w:val="Normal"/>
        <w:spacing w:after="120"/>
      </w:pPr>
      <w:r>
        <w:rPr>
          <w:sz w:val="22"/>
          <w:szCs w:val="22"/>
        </w:rPr>
        <w:t xml:space="preserve">A number indicating the document version. Documents that are changed must receive a new version number for each change sent to us from the sales organisations. Documents that have been changed by the Directorate of Fisheries are given version number 99. Only the most recent valid version of the document is shown in the table. The information is complete.</w:t>
      </w:r>
    </w:p>
    <w:p>
      <w:pPr>
        <w:pStyle w:val="Heading2"/>
      </w:pPr>
      <w:r>
        <w:t xml:space="preserve">Document sales date (Dokument salgsdato / Formulardato)</w:t>
      </w:r>
    </w:p>
    <w:p>
      <w:pPr>
        <w:pStyle w:val="Normal"/>
        <w:spacing w:after="120"/>
      </w:pPr>
      <w:r>
        <w:rPr>
          <w:sz w:val="22"/>
          <w:szCs w:val="22"/>
        </w:rPr>
        <w:t xml:space="preserve">Date of signature on the physical document.</w:t>
      </w:r>
    </w:p>
    <w:p>
      <w:pPr>
        <w:pStyle w:val="Heading2"/>
      </w:pPr>
      <w:r>
        <w:t xml:space="preserve">Document version timestamp (Dokument versjonstidspunkt)</w:t>
      </w:r>
    </w:p>
    <w:p>
      <w:pPr>
        <w:pStyle w:val="Normal"/>
        <w:spacing w:after="120"/>
      </w:pPr>
      <w:r>
        <w:rPr>
          <w:sz w:val="22"/>
          <w:szCs w:val="22"/>
        </w:rPr>
        <w:t xml:space="preserve">Date of generation of the electronic version of the current document version. When, for example, a sales organisation sends a correction to a note, this gets a new electronic document date. The information is complete.</w:t>
      </w:r>
    </w:p>
    <w:p>
      <w:pPr>
        <w:pStyle w:val="Heading2"/>
      </w:pPr>
      <w:r>
        <w:t xml:space="preserve">Sales organisation ID (Salgslag ID)</w:t>
      </w:r>
    </w:p>
    <w:p>
      <w:pPr>
        <w:pStyle w:val="Normal"/>
        <w:spacing w:after="120"/>
      </w:pPr>
      <w:r>
        <w:rPr>
          <w:sz w:val="22"/>
          <w:szCs w:val="22"/>
        </w:rPr>
        <w:t xml:space="preserve">Organisation number of the sales organisation through which the catch was sold. The information is complete and correct from 2001 onwards, with the exception of two documents in 2007 and one document in 2002.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Org. no.</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915442730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Rogaland Fiskesalgslag SL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916437110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Sunnmøre og Romsdal Fiskesalslag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924821779</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Vest-Norges Fiskesalslag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938469148</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Norges Råfisklag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946768871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Skagerakfisk S/L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951206091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Norges Sildesalgslag</w:t>
            </w:r>
          </w:p>
        </w:tc>
      </w:tr>
    </w:tbl>
    <w:p/>
    <w:p>
      <w:pPr>
        <w:pStyle w:val="Heading2"/>
      </w:pPr>
      <w:r>
        <w:t xml:space="preserve">Sales organisation (code) — Salgslag (kode)</w:t>
      </w:r>
    </w:p>
    <w:p>
      <w:pPr>
        <w:pStyle w:val="Normal"/>
        <w:spacing w:after="120"/>
      </w:pPr>
      <w:r>
        <w:rPr>
          <w:sz w:val="22"/>
          <w:szCs w:val="22"/>
        </w:rPr>
        <w:t xml:space="preserve">Code identifying which sales organisation the catch was sold through. The information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Catch registered in another way</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Skagerakfisk S/L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Rogaland Fiskesalgslag SL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Vest-Norges Fiskesalslag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6</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Sunnmøre og Romsdal Fiskesalslag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7</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Norges Råfisklag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8</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Norges Sildesalgslag</w:t>
            </w:r>
          </w:p>
        </w:tc>
      </w:tr>
    </w:tbl>
    <w:p/>
    <w:p>
      <w:pPr>
        <w:pStyle w:val="Heading2"/>
      </w:pPr>
      <w:r>
        <w:t xml:space="preserve">Sales organisation — display text (Salgslag)</w:t>
      </w:r>
    </w:p>
    <w:p>
      <w:pPr>
        <w:pStyle w:val="Normal"/>
        <w:spacing w:after="120"/>
      </w:pPr>
      <w:r>
        <w:rPr>
          <w:sz w:val="22"/>
          <w:szCs w:val="22"/>
        </w:rPr>
        <w:t xml:space="preserve">This field contains the descriptive display text for the sales-organisation code.</w:t>
      </w:r>
    </w:p>
    <w:p>
      <w:pPr>
        <w:pStyle w:val="Heading2"/>
      </w:pPr>
      <w:r>
        <w:t xml:space="preserve">Recipient ID (Mottaker ID)</w:t>
      </w:r>
    </w:p>
    <w:p>
      <w:pPr>
        <w:pStyle w:val="Normal"/>
        <w:spacing w:after="120"/>
      </w:pPr>
      <w:r>
        <w:rPr>
          <w:sz w:val="22"/>
          <w:szCs w:val="22"/>
        </w:rPr>
        <w:t xml:space="preserve">Organisation number of the recipient/buyer for Norwegian operators. Recipient ID is not completely filled in. Historically, the field has not been quality-assured by the Directorate of Fisheries — i.e. no check has been made as to whether incoming recipient identities are valid. For the years 2000–2001 the field is very poorly populated. For 2002 there are also substantial gaps. Some missing values also occur in later years. During 2013, a check was introduced of whether the number supplied is a valid organisation number / personal identity number, by computing the check digit. The number is not checked against the buyer register. In addition, a requirement was introduced that the recipient identity must always be specified for Norwegian operators. If a personal identity number is provided as the recipient identity from the sales organisations, this is deleted in the dataset.</w:t>
      </w:r>
    </w:p>
    <w:p>
      <w:pPr>
        <w:pStyle w:val="Heading2"/>
      </w:pPr>
      <w:r>
        <w:t xml:space="preserve">Recipient nationality (code) — Mottakernasjonalitet (kode)</w:t>
      </w:r>
    </w:p>
    <w:p>
      <w:pPr>
        <w:pStyle w:val="Normal"/>
        <w:spacing w:after="120"/>
      </w:pPr>
      <w:r>
        <w:rPr>
          <w:sz w:val="22"/>
          <w:szCs w:val="22"/>
        </w:rPr>
        <w:t xml:space="preserve">Nationality of the recipient/buyer, given as a 3-letter country code (ISO-3166). The field is not completely filled in. For years before 2005 the share without a value is around 5–14 % of documents — 0.5–1 % of live weight. From 2005 onwards the share without a value is below 0.5 % of documents and below 1 per mille of live weight. During 2013, a requirement was introduced that the nationality of the recipient/buyer must always be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ABW</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ARUBA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AFG</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AFGHANISTAN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AGO</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ANGOLA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AIA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ANGUILLA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ALB</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ALBANIA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AND</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ANDORRA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ANT</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NETHERLANDS ANTILLES</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ARE</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UNITED ARAB EMIRATES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ARG</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ARGENTINA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ARM</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ARMENIA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ASM</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AMERICAN SAMOA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ATA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ANTARCTICA</w:t>
            </w:r>
          </w:p>
        </w:tc>
      </w:tr>
    </w:tbl>
    <w:p>
      <w:pPr>
        <w:spacing w:after="160"/>
      </w:pPr>
      <w:r>
        <w:rPr>
          <w:i/>
          <w:iCs/>
          <w:color w:val="666666"/>
          <w:sz w:val="22"/>
          <w:szCs w:val="22"/>
        </w:rPr>
        <w:t xml:space="preserve">(Extract — 12 codes are listed in the source document.)</w:t>
      </w:r>
    </w:p>
    <w:p>
      <w:pPr>
        <w:pStyle w:val="Heading2"/>
      </w:pPr>
      <w:r>
        <w:t xml:space="preserve">Recipient nationality — display text (Mottakernasjonalitet)</w:t>
      </w:r>
    </w:p>
    <w:p>
      <w:pPr>
        <w:pStyle w:val="Normal"/>
        <w:spacing w:after="120"/>
      </w:pPr>
      <w:r>
        <w:rPr>
          <w:sz w:val="22"/>
          <w:szCs w:val="22"/>
        </w:rPr>
        <w:t xml:space="preserve">Descriptive display text for the recipient-nationality code.</w:t>
      </w:r>
    </w:p>
    <w:p>
      <w:pPr>
        <w:pStyle w:val="Heading2"/>
      </w:pPr>
      <w:r>
        <w:t xml:space="preserve">Receiving facility (Mottaksstasjon)</w:t>
      </w:r>
    </w:p>
    <w:p>
      <w:pPr>
        <w:pStyle w:val="Normal"/>
        <w:spacing w:after="120"/>
      </w:pPr>
      <w:r>
        <w:rPr>
          <w:sz w:val="22"/>
          <w:szCs w:val="22"/>
        </w:rPr>
        <w:t xml:space="preserve">Code indicating the physical place where the catch was landed. It is given as the Norwegian Food Safety Authority’s approval number for landings at Norwegian facilities, exception codes in accordance with a code list (e.g. County–KAI for sales at quayside), or a country code for landings abroad. For some years, freezer warehouses were not defined as landing recipients in the Food Safety Authority’s approval list; these facilities have been given their own codes by the Directorate of Fisheries. The field is not completely filled in. There is no full check on whether incoming facility codes are valid against the Food Safety Authority’s lists. During 2013, automatic checks were introduced ensuring complete completion for all landings in Norway. From the same time, it is no longer required to repeat the country code in this field for landings abroad.</w:t>
      </w:r>
    </w:p>
    <w:p>
      <w:pPr>
        <w:pStyle w:val="Heading2"/>
      </w:pPr>
      <w:r>
        <w:t xml:space="preserve">Landing municipality (code) — Landingskommune (kode)</w:t>
      </w:r>
    </w:p>
    <w:p>
      <w:pPr>
        <w:pStyle w:val="Normal"/>
        <w:spacing w:after="120"/>
      </w:pPr>
      <w:r>
        <w:rPr>
          <w:sz w:val="22"/>
          <w:szCs w:val="22"/>
        </w:rPr>
        <w:t xml:space="preserve">Municipality number of the municipality in which the receiving facility is located, or of the municipality where the catch is collected from a pen, delivered to a freezer ship, or collected by a carrier vessel. If the catch is not brought ashore, the code for the municipality where the purchasing vessel takes over the catch shall be used. Given with SSB’s municipality code for Norwegian municipalities or the Directorate’s country codes for foreign locations / not specified.</w:t>
      </w:r>
    </w:p>
    <w:p>
      <w:pPr>
        <w:pStyle w:val="Normal"/>
        <w:spacing w:after="120"/>
      </w:pPr>
      <w:r>
        <w:rPr>
          <w:sz w:val="22"/>
          <w:szCs w:val="22"/>
        </w:rPr>
        <w:t xml:space="preserve">Particularly in earlier years, there were cases where the buyer’s municipality number was filled in instead of the actual landing municipality. This was a greater problem during the early period of using neutral freezer warehouses for landings.</w:t>
      </w:r>
    </w:p>
    <w:p>
      <w:pPr>
        <w:pStyle w:val="ListParagraph"/>
        <w:numPr>
          <w:ilvl w:val="0"/>
          <w:numId w:val="2"/>
        </w:numPr>
      </w:pPr>
      <w:r>
        <w:rPr>
          <w:sz w:val="22"/>
          <w:szCs w:val="22"/>
        </w:rPr>
        <w:t xml:space="preserve">2000–2004: Landings to Russian freezer vessels coded as 8801.</w:t>
      </w:r>
    </w:p>
    <w:p>
      <w:pPr>
        <w:pStyle w:val="ListParagraph"/>
        <w:numPr>
          <w:ilvl w:val="0"/>
          <w:numId w:val="2"/>
        </w:numPr>
      </w:pPr>
      <w:r>
        <w:rPr>
          <w:sz w:val="22"/>
          <w:szCs w:val="22"/>
        </w:rPr>
        <w:t xml:space="preserve">2005–2009: Landings to Russian freezer vessels coded with the municipality code where the vessel is actually located.</w:t>
      </w:r>
    </w:p>
    <w:p>
      <w:pPr>
        <w:pStyle w:val="ListParagraph"/>
        <w:numPr>
          <w:ilvl w:val="0"/>
          <w:numId w:val="2"/>
        </w:numPr>
      </w:pPr>
      <w:r>
        <w:rPr>
          <w:sz w:val="22"/>
          <w:szCs w:val="22"/>
        </w:rPr>
        <w:t xml:space="preserve">2004–2009 and 2000: Not completely filled in for foreign locations. This concerns a few landings in countries for which no “municipality code” has been created (URY, ZAF).</w:t>
      </w:r>
    </w:p>
    <w:p>
      <w:pPr>
        <w:pStyle w:val="Normal"/>
        <w:spacing w:after="120"/>
      </w:pPr>
      <w:r>
        <w:rPr>
          <w:sz w:val="22"/>
          <w:szCs w:val="22"/>
        </w:rPr>
        <w:t xml:space="preserve">During 2013, use of the Directorate’s country codes for foreign locations was discontinued, and the field will then be NULL for landings abroad.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HALDEN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SARPSBORG (before 1992)</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FREDRIKSTAD (before 1994)</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MOSS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SARPSBORG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FREDRIKSTAD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HVALER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0113</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BORGE (before 1994)</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0114</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VARTEIG (before 1992)</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0115</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SKJEBERG (before 1992)</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0118</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AREMARK</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0119</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MARKER</w:t>
            </w:r>
          </w:p>
        </w:tc>
      </w:tr>
    </w:tbl>
    <w:p>
      <w:pPr>
        <w:spacing w:after="160"/>
      </w:pPr>
      <w:r>
        <w:rPr>
          <w:i/>
          <w:iCs/>
          <w:color w:val="666666"/>
          <w:sz w:val="22"/>
          <w:szCs w:val="22"/>
        </w:rPr>
        <w:t xml:space="preserve">(Extract — 12 codes are listed in the source document.)</w:t>
      </w:r>
    </w:p>
    <w:p>
      <w:pPr>
        <w:pStyle w:val="Heading2"/>
      </w:pPr>
      <w:r>
        <w:t xml:space="preserve">Landing municipality — display text (Landingskommune)</w:t>
      </w:r>
    </w:p>
    <w:p>
      <w:pPr>
        <w:pStyle w:val="Normal"/>
        <w:spacing w:after="120"/>
      </w:pPr>
      <w:r>
        <w:rPr>
          <w:sz w:val="22"/>
          <w:szCs w:val="22"/>
        </w:rPr>
        <w:t xml:space="preserve">Name of the landing municipality.</w:t>
      </w:r>
    </w:p>
    <w:p>
      <w:pPr>
        <w:pStyle w:val="Heading2"/>
      </w:pPr>
      <w:r>
        <w:t xml:space="preserve">Landing county (code) — Landingsfylke (kode)</w:t>
      </w:r>
    </w:p>
    <w:p>
      <w:pPr>
        <w:pStyle w:val="Normal"/>
        <w:spacing w:after="120"/>
      </w:pPr>
      <w:r>
        <w:rPr>
          <w:sz w:val="22"/>
          <w:szCs w:val="22"/>
        </w:rPr>
        <w:t xml:space="preserve">Numeric county code for the county in which the catch was landed. The county code is derived from the landing municipality code in cases where the content of the field Landing Municipality (code) is a Norwegian municipality number. As noted above, in earlier years the buyer’s municipality number was sometimes filled in instead of the actual landing municipality.</w:t>
      </w:r>
    </w:p>
    <w:p>
      <w:pPr>
        <w:pStyle w:val="Heading2"/>
      </w:pPr>
      <w:r>
        <w:t xml:space="preserve">Landing county — display text (Landingsfylke)</w:t>
      </w:r>
    </w:p>
    <w:p>
      <w:pPr>
        <w:pStyle w:val="Normal"/>
        <w:spacing w:after="120"/>
      </w:pPr>
      <w:r>
        <w:rPr>
          <w:sz w:val="22"/>
          <w:szCs w:val="22"/>
        </w:rPr>
        <w:t xml:space="preserve">Name of the landing county.</w:t>
      </w:r>
    </w:p>
    <w:p>
      <w:pPr>
        <w:pStyle w:val="Heading2"/>
      </w:pPr>
      <w:r>
        <w:t xml:space="preserve">Landing nation (code) — Landingsnasjon (kode)</w:t>
      </w:r>
    </w:p>
    <w:p>
      <w:pPr>
        <w:pStyle w:val="Normal"/>
        <w:spacing w:after="120"/>
      </w:pPr>
      <w:r>
        <w:rPr>
          <w:sz w:val="22"/>
          <w:szCs w:val="22"/>
        </w:rPr>
        <w:t xml:space="preserve">Nation in which the catch is landed, given as a 3-letter country code (ISO-3166). The information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ABW</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ARUBA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AFG</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AFGHANISTAN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AGO</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ANGOLA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AIA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ANGUILLA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ALB</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ALBANIA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AND</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ANDORRA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ANT</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NETHERLANDS ANTILLES</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ARE</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UNITED ARAB EMIRATES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ARG</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ARGENTINA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ARM</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ARMENIA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ASM</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AMERICAN SAMOA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ATA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ANTARCTICA</w:t>
            </w:r>
          </w:p>
        </w:tc>
      </w:tr>
    </w:tbl>
    <w:p>
      <w:pPr>
        <w:spacing w:after="160"/>
      </w:pPr>
      <w:r>
        <w:rPr>
          <w:i/>
          <w:iCs/>
          <w:color w:val="666666"/>
          <w:sz w:val="22"/>
          <w:szCs w:val="22"/>
        </w:rPr>
        <w:t xml:space="preserve">(Extract — 12 codes are listed in the source document.)</w:t>
      </w:r>
    </w:p>
    <w:p>
      <w:pPr>
        <w:pStyle w:val="Heading2"/>
      </w:pPr>
      <w:r>
        <w:t xml:space="preserve">Landing nation — display text (Landingsnasjon)</w:t>
      </w:r>
    </w:p>
    <w:p>
      <w:pPr>
        <w:pStyle w:val="Normal"/>
        <w:spacing w:after="120"/>
      </w:pPr>
      <w:r>
        <w:rPr>
          <w:sz w:val="22"/>
          <w:szCs w:val="22"/>
        </w:rPr>
        <w:t xml:space="preserve">Name of the nation in which the catch is landed.</w:t>
      </w:r>
    </w:p>
    <w:p>
      <w:pPr>
        <w:pStyle w:val="Heading2"/>
      </w:pPr>
      <w:r>
        <w:t xml:space="preserve">Production facility (Produksjonsanlegg)</w:t>
      </w:r>
    </w:p>
    <w:p>
      <w:pPr>
        <w:pStyle w:val="Normal"/>
        <w:spacing w:after="120"/>
      </w:pPr>
      <w:r>
        <w:rPr>
          <w:sz w:val="22"/>
          <w:szCs w:val="22"/>
        </w:rPr>
        <w:t xml:space="preserve">The production facility is where the catch is to be processed. It may be the same as or different from the receiving facility. Not completely filled in and not quality-assured by the Directorate of Fisheries.</w:t>
      </w:r>
    </w:p>
    <w:p>
      <w:pPr>
        <w:pStyle w:val="Heading2"/>
      </w:pPr>
      <w:r>
        <w:t xml:space="preserve">Production municipality (code) — Produksjonskommune (kode)</w:t>
      </w:r>
    </w:p>
    <w:p>
      <w:pPr>
        <w:pStyle w:val="Normal"/>
        <w:spacing w:after="120"/>
      </w:pPr>
      <w:r>
        <w:rPr>
          <w:sz w:val="22"/>
          <w:szCs w:val="22"/>
        </w:rPr>
        <w:t xml:space="preserve">Municipality number of the municipality in which the physical production facility is located. Not completely filled in and not quality-assured by the Directorate of Fisheries.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HALDEN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SARPSBORG (before 1992)</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FREDRIKSTAD (before 1994)</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MOSS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SARPSBORG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FREDRIKSTAD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HVALER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0113</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BORGE (before 1994)</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0114</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VARTEIG (before 1992)</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0115</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SKJEBERG (before 1992)</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0118</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AREMARK</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0119</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MARKER</w:t>
            </w:r>
          </w:p>
        </w:tc>
      </w:tr>
    </w:tbl>
    <w:p>
      <w:pPr>
        <w:spacing w:after="160"/>
      </w:pPr>
      <w:r>
        <w:rPr>
          <w:i/>
          <w:iCs/>
          <w:color w:val="666666"/>
          <w:sz w:val="22"/>
          <w:szCs w:val="22"/>
        </w:rPr>
        <w:t xml:space="preserve">(Extract — 12 codes are listed in the source document.)</w:t>
      </w:r>
    </w:p>
    <w:p>
      <w:pPr>
        <w:pStyle w:val="Heading2"/>
      </w:pPr>
      <w:r>
        <w:t xml:space="preserve">Production municipality — display text (Produksjonskommune)</w:t>
      </w:r>
    </w:p>
    <w:p>
      <w:pPr>
        <w:pStyle w:val="Normal"/>
        <w:spacing w:after="120"/>
      </w:pPr>
      <w:r>
        <w:rPr>
          <w:sz w:val="22"/>
          <w:szCs w:val="22"/>
        </w:rPr>
        <w:t xml:space="preserve">Name of the municipality in which the physical production facility is located.</w:t>
      </w:r>
    </w:p>
    <w:p>
      <w:pPr>
        <w:pStyle w:val="Heading2"/>
      </w:pPr>
      <w:r>
        <w:t xml:space="preserve">Receiving vessel reg. mark (Mottakende fartøy reg.merke)</w:t>
      </w:r>
    </w:p>
    <w:p>
      <w:pPr>
        <w:pStyle w:val="Normal"/>
        <w:spacing w:after="120"/>
      </w:pPr>
      <w:r>
        <w:rPr>
          <w:sz w:val="22"/>
          <w:szCs w:val="22"/>
        </w:rPr>
        <w:t xml:space="preserve">Registration mark of the vessel receiving the catch. Used in cases where the catch is delivered to a buyer vessel, carrier vessel, freezer ship, etc.</w:t>
      </w:r>
    </w:p>
    <w:p>
      <w:pPr>
        <w:pStyle w:val="Heading2"/>
      </w:pPr>
      <w:r>
        <w:t xml:space="preserve">Receiving vessel call sign / MMSI (Mottakende fartøy rkal)</w:t>
      </w:r>
    </w:p>
    <w:p>
      <w:pPr>
        <w:pStyle w:val="Normal"/>
        <w:spacing w:after="120"/>
      </w:pPr>
      <w:r>
        <w:rPr>
          <w:sz w:val="22"/>
          <w:szCs w:val="22"/>
        </w:rPr>
        <w:t xml:space="preserve">Call sign / MMSI number of the vessel receiving the catch. Used in cases where the catch is delivered to a buyer vessel, carrier vessel, freezer ship, etc.</w:t>
      </w:r>
    </w:p>
    <w:p>
      <w:pPr>
        <w:pStyle w:val="Heading2"/>
      </w:pPr>
      <w:r>
        <w:t xml:space="preserve">Receiving vessel type (code) — Mottakende fartøytype (kode)</w:t>
      </w:r>
    </w:p>
    <w:p>
      <w:pPr>
        <w:pStyle w:val="Normal"/>
        <w:spacing w:after="120"/>
      </w:pPr>
      <w:r>
        <w:rPr>
          <w:sz w:val="22"/>
          <w:szCs w:val="22"/>
        </w:rPr>
        <w:t xml:space="preserve">Code for the vessel type of the vessel receiving the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Fishing vessel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Transport vessel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Well boat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Hired vessel (replacement vessel)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Buyer vessel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Joint-fishing vessel (samfiskefartøy)</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07</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Pair-trawl team (partrållag)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08</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Research vessel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09</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School vessel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Beach-seine vessel (landnotfartøy)</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Kelp trawler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Recreational vessel</w:t>
            </w:r>
          </w:p>
        </w:tc>
      </w:tr>
    </w:tbl>
    <w:p/>
    <w:p>
      <w:pPr>
        <w:pStyle w:val="Heading2"/>
      </w:pPr>
      <w:r>
        <w:t xml:space="preserve">Receiving vessel type — display text (Mottakende fart.type)</w:t>
      </w:r>
    </w:p>
    <w:p>
      <w:pPr>
        <w:pStyle w:val="Normal"/>
        <w:spacing w:after="120"/>
      </w:pPr>
      <w:r>
        <w:rPr>
          <w:sz w:val="22"/>
          <w:szCs w:val="22"/>
        </w:rPr>
        <w:t xml:space="preserve">Display text for the vessel-type code of the vessel receiving the catch.</w:t>
      </w:r>
    </w:p>
    <w:p>
      <w:pPr>
        <w:pStyle w:val="Heading2"/>
      </w:pPr>
      <w:r>
        <w:t xml:space="preserve">Receiving vessel nationality (code) — Mottakende fartøynasj. (kode)</w:t>
      </w:r>
    </w:p>
    <w:p>
      <w:pPr>
        <w:pStyle w:val="Normal"/>
        <w:spacing w:after="120"/>
      </w:pPr>
      <w:r>
        <w:rPr>
          <w:sz w:val="22"/>
          <w:szCs w:val="22"/>
        </w:rPr>
        <w:t xml:space="preserve">Nationality (flag state) of the vessel receiving the catch, given as a 3-letter country code (ISO-3166).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ABW</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ARUBA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AFG</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AFGHANISTAN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AGO</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ANGOLA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AIA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ANGUILLA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ALB</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ALBANIA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AND</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ANDORRA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ANT</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NETHERLANDS ANTILLES</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ARE</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UNITED ARAB EMIRATES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ARG</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ARGENTINA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ARM</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ARMENIA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ASM</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AMERICAN SAMOA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ATA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ANTARCTICA</w:t>
            </w:r>
          </w:p>
        </w:tc>
      </w:tr>
    </w:tbl>
    <w:p>
      <w:pPr>
        <w:spacing w:after="160"/>
      </w:pPr>
      <w:r>
        <w:rPr>
          <w:i/>
          <w:iCs/>
          <w:color w:val="666666"/>
          <w:sz w:val="22"/>
          <w:szCs w:val="22"/>
        </w:rPr>
        <w:t xml:space="preserve">(Extract — 12 codes are listed in the source document.)</w:t>
      </w:r>
    </w:p>
    <w:p>
      <w:pPr>
        <w:pStyle w:val="Heading2"/>
      </w:pPr>
      <w:r>
        <w:t xml:space="preserve">Receiving vessel nationality — display text</w:t>
      </w:r>
    </w:p>
    <w:p>
      <w:pPr>
        <w:pStyle w:val="Normal"/>
        <w:spacing w:after="120"/>
      </w:pPr>
      <w:r>
        <w:rPr>
          <w:sz w:val="22"/>
          <w:szCs w:val="22"/>
        </w:rPr>
        <w:t xml:space="preserve">Display text for the nationality of the vessel receiving the catch.</w:t>
      </w:r>
    </w:p>
    <w:p>
      <w:pPr>
        <w:pStyle w:val="Heading2"/>
      </w:pPr>
      <w:r>
        <w:t xml:space="preserve">Fisher ID (Fisker ID)</w:t>
      </w:r>
    </w:p>
    <w:p>
      <w:pPr>
        <w:pStyle w:val="Normal"/>
        <w:spacing w:after="120"/>
      </w:pPr>
      <w:r>
        <w:rPr>
          <w:sz w:val="22"/>
          <w:szCs w:val="22"/>
        </w:rPr>
        <w:t xml:space="preserve">Identity number of the person landing/fishing. May be a personal identity number, an organisation number, or the sales organisation’s internal customer number. The field is not completely filled in. Historically, the field has not been quality-assured; i.e. no check has been made of whether incoming personal/organisation identity numbers are valid. Where a number is not provided, the field is filled with 0. During 2013, a check was introduced of whether the number provided is a valid identity number, by computing the check digit. The number is not checked against the register of fishers (fiskarmanntalet). In addition, a requirement was introduced that the identity number must always be specified for Norwegian operators. If a personal identity number or an internal customer number at the sales organisation has been provided, this will have been deleted in the dataset.</w:t>
      </w:r>
    </w:p>
    <w:p>
      <w:pPr>
        <w:pStyle w:val="Heading2"/>
      </w:pPr>
      <w:r>
        <w:t xml:space="preserve">Fisher municipality (code) — Fiskerkommune (kode)</w:t>
      </w:r>
    </w:p>
    <w:p>
      <w:pPr>
        <w:pStyle w:val="Normal"/>
        <w:spacing w:after="120"/>
      </w:pPr>
      <w:r>
        <w:rPr>
          <w:sz w:val="22"/>
          <w:szCs w:val="22"/>
        </w:rPr>
        <w:t xml:space="preserve">Tax-municipality number of the person landing/fishing, given with SSB’s municipality codes for Norwegian municipalities or the Directorate’s country codes for foreign / not specified. This field is NOT used for municipal statistics. For statistics on vessel municipality, use the field Vessel Municipality (code). The field is not completely filled in for all years. During 2013, use of the Directorate’s country codes for foreign locations was discontinued, and the field will then be NULL for non-Norwegians. For information on nationality, see the field Fisher Nationality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HALDEN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SARPSBORG (before 1992)</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FREDRIKSTAD (before 1994)</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MOSS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SARPSBORG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FREDRIKSTAD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HVALER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0113</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BORGE (before 1994)</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0114</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VARTEIG (before 1992)</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0115</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SKJEBERG (before 1992)</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0118</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AREMARK</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0119</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MARKER</w:t>
            </w:r>
          </w:p>
        </w:tc>
      </w:tr>
    </w:tbl>
    <w:p>
      <w:pPr>
        <w:spacing w:after="160"/>
      </w:pPr>
      <w:r>
        <w:rPr>
          <w:i/>
          <w:iCs/>
          <w:color w:val="666666"/>
          <w:sz w:val="22"/>
          <w:szCs w:val="22"/>
        </w:rPr>
        <w:t xml:space="preserve">(Extract — 12 codes are listed in the source document.)</w:t>
      </w:r>
    </w:p>
    <w:p>
      <w:pPr>
        <w:pStyle w:val="Heading2"/>
      </w:pPr>
      <w:r>
        <w:t xml:space="preserve">Fisher municipality — display text (Fiskerkommune)</w:t>
      </w:r>
    </w:p>
    <w:p>
      <w:pPr>
        <w:pStyle w:val="Normal"/>
        <w:spacing w:after="120"/>
      </w:pPr>
      <w:r>
        <w:rPr>
          <w:sz w:val="22"/>
          <w:szCs w:val="22"/>
        </w:rPr>
        <w:t xml:space="preserve">Name of the tax municipality of the person landing/fishing.</w:t>
      </w:r>
    </w:p>
    <w:p>
      <w:pPr>
        <w:pStyle w:val="Heading2"/>
      </w:pPr>
      <w:r>
        <w:t xml:space="preserve">Fisher nationality (code) — Fiskernasjonalitet (kode)</w:t>
      </w:r>
    </w:p>
    <w:p>
      <w:pPr>
        <w:pStyle w:val="Normal"/>
        <w:spacing w:after="120"/>
      </w:pPr>
      <w:r>
        <w:rPr>
          <w:sz w:val="22"/>
          <w:szCs w:val="22"/>
        </w:rPr>
        <w:t xml:space="preserve">Nationality of the person landing/fishing, given as a 3-letter country code (ISO-3166).</w:t>
      </w:r>
    </w:p>
    <w:p>
      <w:pPr>
        <w:pStyle w:val="ListParagraph"/>
        <w:numPr>
          <w:ilvl w:val="0"/>
          <w:numId w:val="2"/>
        </w:numPr>
      </w:pPr>
      <w:r>
        <w:rPr>
          <w:sz w:val="22"/>
          <w:szCs w:val="22"/>
        </w:rPr>
        <w:t xml:space="preserve">2000–2004: Not completely filled in — some omissions for foreign vessels at one sales organisation.</w:t>
      </w:r>
    </w:p>
    <w:p>
      <w:pPr>
        <w:pStyle w:val="ListParagraph"/>
        <w:numPr>
          <w:ilvl w:val="0"/>
          <w:numId w:val="2"/>
        </w:numPr>
      </w:pPr>
      <w:r>
        <w:rPr>
          <w:sz w:val="22"/>
          <w:szCs w:val="22"/>
        </w:rPr>
        <w:t xml:space="preserve">2010: A few omissions for Norwegian vessels at one sales organisation.</w:t>
      </w:r>
    </w:p>
    <w:p>
      <w:pPr>
        <w:pStyle w:val="ListParagraph"/>
        <w:numPr>
          <w:ilvl w:val="0"/>
          <w:numId w:val="2"/>
        </w:numPr>
      </w:pPr>
      <w:r>
        <w:rPr>
          <w:sz w:val="22"/>
          <w:szCs w:val="22"/>
        </w:rPr>
        <w:t xml:space="preserve">2011 onwards: Completely filled in from 2011 onwards.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ABW</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ARUBA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AFG</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AFGHANISTAN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AGO</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ANGOLA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AIA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ANGUILLA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ALB</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ALBANIA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AND</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ANDORRA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ANT</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NETHERLANDS ANTILLES</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ARE</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UNITED ARAB EMIRATES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ARG</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ARGENTINA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ARM</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ARMENIA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ASM</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AMERICAN SAMOA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ATA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ANTARCTICA</w:t>
            </w:r>
          </w:p>
        </w:tc>
      </w:tr>
    </w:tbl>
    <w:p>
      <w:pPr>
        <w:spacing w:after="160"/>
      </w:pPr>
      <w:r>
        <w:rPr>
          <w:i/>
          <w:iCs/>
          <w:color w:val="666666"/>
          <w:sz w:val="22"/>
          <w:szCs w:val="22"/>
        </w:rPr>
        <w:t xml:space="preserve">(Extract — 12 codes are listed in the source document.)</w:t>
      </w:r>
    </w:p>
    <w:p>
      <w:pPr>
        <w:pStyle w:val="Heading2"/>
      </w:pPr>
      <w:r>
        <w:t xml:space="preserve">Fisher nationality — display text (Fiskernasjonalitet)</w:t>
      </w:r>
    </w:p>
    <w:p>
      <w:pPr>
        <w:pStyle w:val="Normal"/>
        <w:spacing w:after="120"/>
      </w:pPr>
      <w:r>
        <w:rPr>
          <w:sz w:val="22"/>
          <w:szCs w:val="22"/>
        </w:rPr>
        <w:t xml:space="preserve">Display text for the nationality of the person landing/fishing.</w:t>
      </w:r>
    </w:p>
    <w:p>
      <w:pPr>
        <w:pStyle w:val="Heading2"/>
      </w:pPr>
      <w:r>
        <w:t xml:space="preserve">Vessel ID (Fartøy ID)</w:t>
      </w:r>
    </w:p>
    <w:p>
      <w:pPr>
        <w:pStyle w:val="Normal"/>
        <w:spacing w:after="120"/>
      </w:pPr>
      <w:r>
        <w:rPr>
          <w:sz w:val="22"/>
          <w:szCs w:val="22"/>
        </w:rPr>
        <w:t xml:space="preserve">The Directorate of Fisheries’ internal primary key for the base unit “vessel”. The number consists of 10 characters: the first 4 are the year in which the vessel was first registered in the vessel register, followed by a 6-digit running number. Generated automatically on first-time registration. The information is complete.</w:t>
      </w:r>
    </w:p>
    <w:p>
      <w:pPr>
        <w:pStyle w:val="Heading2"/>
      </w:pPr>
      <w:r>
        <w:t xml:space="preserve">Registration mark on note (Registreringsmerke (seddel))</w:t>
      </w:r>
    </w:p>
    <w:p>
      <w:pPr>
        <w:pStyle w:val="Normal"/>
        <w:spacing w:after="120"/>
      </w:pPr>
      <w:r>
        <w:rPr>
          <w:sz w:val="22"/>
          <w:szCs w:val="22"/>
        </w:rPr>
        <w:t xml:space="preserve">The registration mark of the vessel that has fished. For Norwegian fishing vessels, the vessel’s registration mark in the vessel register is given. It consists of a maximum of 8 characters. Up to and including 2017, characters 1–2 give the county code, 3–6 a running number, and 7–8 a municipality code. From 2018 onwards, the “county code” and “municipality code” in the registration mark do not necessarily match the vessel’s home port. In connection with the regional reform, vessels were allowed to retain a registration mark referring to their former vessel county and municipality. In subsequent events leading to a new registration mark, the vessel must receive a mark with county and municipality letters reflecting its current home port. From 2018, a new field — municipality number — has been introduced in the vessel register indicating where the vessel is based.</w:t>
      </w:r>
    </w:p>
    <w:p>
      <w:pPr>
        <w:pStyle w:val="Normal"/>
        <w:spacing w:after="120"/>
      </w:pPr>
      <w:r>
        <w:rPr>
          <w:sz w:val="22"/>
          <w:szCs w:val="22"/>
        </w:rPr>
        <w:t xml:space="preserve">Other types of registration marks for Norwegian non-fishing vessels have varying structures. Known forms of constructed marks include:</w:t>
      </w:r>
    </w:p>
    <w:p>
      <w:pPr>
        <w:pStyle w:val="ListParagraph"/>
        <w:numPr>
          <w:ilvl w:val="0"/>
          <w:numId w:val="2"/>
        </w:numPr>
      </w:pPr>
      <w:r>
        <w:rPr>
          <w:sz w:val="22"/>
          <w:szCs w:val="22"/>
        </w:rPr>
        <w:t xml:space="preserve">Unregistered Norwegian vessels such as recreational vessels and beach-seine vessels: ZZ-municipality code-ZZ, where municipality code = fisher’s municipality.</w:t>
      </w:r>
    </w:p>
    <w:p>
      <w:pPr>
        <w:pStyle w:val="ListParagraph"/>
        <w:numPr>
          <w:ilvl w:val="0"/>
          <w:numId w:val="2"/>
        </w:numPr>
      </w:pPr>
      <w:r>
        <w:rPr>
          <w:sz w:val="22"/>
          <w:szCs w:val="22"/>
        </w:rPr>
        <w:t xml:space="preserve">Youth quota: County letter–Year–UK. This means there is a single common mark for everyone fishing under such a quota within a county.</w:t>
      </w:r>
    </w:p>
    <w:p>
      <w:pPr>
        <w:pStyle w:val="ListParagraph"/>
        <w:numPr>
          <w:ilvl w:val="0"/>
          <w:numId w:val="2"/>
        </w:numPr>
      </w:pPr>
      <w:r>
        <w:rPr>
          <w:sz w:val="22"/>
          <w:szCs w:val="22"/>
        </w:rPr>
        <w:t xml:space="preserve">Research vessels: County letter–9300–Municipality letter. In some cases, individual research vessels may have their own marks, particularly those belonging to research institutions.</w:t>
      </w:r>
    </w:p>
    <w:p>
      <w:pPr>
        <w:pStyle w:val="ListParagraph"/>
        <w:numPr>
          <w:ilvl w:val="0"/>
          <w:numId w:val="2"/>
        </w:numPr>
      </w:pPr>
      <w:r>
        <w:rPr>
          <w:sz w:val="22"/>
          <w:szCs w:val="22"/>
        </w:rPr>
        <w:t xml:space="preserve">Kelp trawlers: County letter–8xxx–Municipality letter, from 2011 onwards.</w:t>
      </w:r>
    </w:p>
    <w:p>
      <w:pPr>
        <w:pStyle w:val="ListParagraph"/>
        <w:numPr>
          <w:ilvl w:val="0"/>
          <w:numId w:val="2"/>
        </w:numPr>
      </w:pPr>
      <w:r>
        <w:rPr>
          <w:sz w:val="22"/>
          <w:szCs w:val="22"/>
        </w:rPr>
        <w:t xml:space="preserve">Recreational vessels: From 2013 onwards, marks from the register of recreational craft are also used.</w:t>
      </w:r>
    </w:p>
    <w:p>
      <w:pPr>
        <w:pStyle w:val="Normal"/>
        <w:spacing w:after="120"/>
      </w:pPr>
      <w:r>
        <w:rPr>
          <w:sz w:val="22"/>
          <w:szCs w:val="22"/>
        </w:rPr>
        <w:t xml:space="preserve">Registration marks for foreign vessels have various structures, but here they are given without spaces or hyphens. Invalid registration marks may occur. Historically, there has been no continuous check against the vessel register. When linking with the vessel register by date, a certain proportion of drop-outs must therefore be expected, especially for earlier years. During 2013, automatic checking against the vessel register was introduced for Norwegian fishing vessels. Vessels that then fall outside the valid period are marked with code 13 in the vessel-type field. From the same time, the requirement to use constructed marks was lifted; from that point, vessels without a real registration mark may be recorded as blank (NULL). Here, these have been recoded to ZZ9990ZZ since the field is mandatory.</w:t>
      </w:r>
    </w:p>
    <w:p>
      <w:pPr>
        <w:pStyle w:val="Heading2"/>
      </w:pPr>
      <w:r>
        <w:t xml:space="preserve">Radio call sign on note (Radiokallesignal (seddel))</w:t>
      </w:r>
    </w:p>
    <w:p>
      <w:pPr>
        <w:pStyle w:val="Normal"/>
        <w:spacing w:after="120"/>
      </w:pPr>
      <w:r>
        <w:rPr>
          <w:sz w:val="22"/>
          <w:szCs w:val="22"/>
        </w:rPr>
        <w:t xml:space="preserve">The vessel’s call sign / MMSI number. Either the call sign issued by the Norwegian Maritime Authority or the MMSI number (Maritime Mobile Service Identity) issued by Telenor Coastal Radio when a VHF licence is taken out. For foreign vessels, an equivalent number issued by the home country is used. Not completely filled in. Not all vessels have a call sign. Invalid call signs may also occur. During 2013, automatic checking against the vessel register was introduced for Norwegian fishing vessels. Vessels without a call sign in the register may still have a valid call sign filled in on the sales note.</w:t>
      </w:r>
    </w:p>
    <w:p>
      <w:pPr>
        <w:pStyle w:val="Heading2"/>
      </w:pPr>
      <w:r>
        <w:t xml:space="preserve">Vessel name (Fartøynavn)</w:t>
      </w:r>
    </w:p>
    <w:p>
      <w:pPr>
        <w:pStyle w:val="Normal"/>
        <w:spacing w:after="120"/>
      </w:pPr>
      <w:r>
        <w:rPr>
          <w:sz w:val="22"/>
          <w:szCs w:val="22"/>
        </w:rPr>
        <w:t xml:space="preserve">The vessel register must contain information on the name of each vessel — see § 13 of the Commercial Authorisation Regulations. The vessel’s name is provided by the vessel owner. For vessels also entered in the Norwegian Ordinary Ship Register (NOR), separate rules on vessel naming apply under Regulation no. 754 of 27 June 2002, § 4, see also the Maritime Code § 7. The information is provided by the industry operator. The field is filled in for all rows but may contain errors.</w:t>
      </w:r>
    </w:p>
    <w:p>
      <w:pPr>
        <w:pStyle w:val="Heading2"/>
      </w:pPr>
      <w:r>
        <w:t xml:space="preserve">Vessel type (code) — Fartøytype (kode)</w:t>
      </w:r>
    </w:p>
    <w:p>
      <w:pPr>
        <w:pStyle w:val="Normal"/>
        <w:spacing w:after="120"/>
      </w:pPr>
      <w:r>
        <w:rPr>
          <w:sz w:val="22"/>
          <w:szCs w:val="22"/>
        </w:rPr>
        <w:t xml:space="preserve">Vessel type (vessel role) gives the code for the role/capacity in which the vessel acts when landing a catch. The same vessel may have different roles on different documents. Not completely filled in; code 00 used for ‘not specified’. The field was first introduced in the course of 2004, but in the first years it was only partially used by some sales organisations. More complete information in more recent years; from 2010 onwards, the share without a value is below 0.5 % of total live weight. During 2013, automatic testing was introduced ensuring complete completion at all sales 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Fishing vessel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Transport vessel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Well boat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Hired vessel (replacement vessel)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Buyer vessel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Joint-fishing vessel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07</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Pair-trawl team</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08</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Research vessel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09</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School vessel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Beach-seine vessel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Kelp trawler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Recreational vessel</w:t>
            </w:r>
          </w:p>
        </w:tc>
      </w:tr>
    </w:tbl>
    <w:p>
      <w:pPr>
        <w:spacing w:after="160"/>
      </w:pPr>
      <w:r>
        <w:rPr>
          <w:i/>
          <w:iCs/>
          <w:color w:val="666666"/>
          <w:sz w:val="22"/>
          <w:szCs w:val="22"/>
        </w:rPr>
        <w:t xml:space="preserve">(Extract — 12 codes are listed in the source document.)</w:t>
      </w:r>
    </w:p>
    <w:p>
      <w:pPr>
        <w:pStyle w:val="Heading2"/>
      </w:pPr>
      <w:r>
        <w:t xml:space="preserve">Vessel type — display text (Fartøytype)</w:t>
      </w:r>
    </w:p>
    <w:p>
      <w:pPr>
        <w:pStyle w:val="Normal"/>
        <w:spacing w:after="120"/>
      </w:pPr>
      <w:r>
        <w:rPr>
          <w:sz w:val="22"/>
          <w:szCs w:val="22"/>
        </w:rPr>
        <w:t xml:space="preserve">Bokmål descriptive display text for the vessel-type code.</w:t>
      </w:r>
    </w:p>
    <w:p>
      <w:pPr>
        <w:pStyle w:val="Heading2"/>
      </w:pPr>
      <w:r>
        <w:t xml:space="preserve">Quota vessel reg. mark (Kvotefartøy reg.merke)</w:t>
      </w:r>
    </w:p>
    <w:p>
      <w:pPr>
        <w:pStyle w:val="Normal"/>
        <w:spacing w:after="120"/>
      </w:pPr>
      <w:r>
        <w:rPr>
          <w:sz w:val="22"/>
          <w:szCs w:val="22"/>
        </w:rPr>
        <w:t xml:space="preserve">Sales notes contain two vessel identifications in registration-mark format. The Registration Mark (note) field covers vessels actively engaged in fishing. In some cases the catch should not be deducted from the quota of the vessel listed in Registration Mark (note). In such cases this field is used. It is used primarily in connection with hired-vessel and joint-fishing arrangements. Not completely filled in, especially for earlier years. During 2013, automatic testing was introduced ensuring that the field is always filled in in connection with hired-vessel and joint-fishing arrangements.</w:t>
      </w:r>
    </w:p>
    <w:p>
      <w:pPr>
        <w:pStyle w:val="Heading2"/>
      </w:pPr>
      <w:r>
        <w:t xml:space="preserve">Crew (Besetning)</w:t>
      </w:r>
    </w:p>
    <w:p>
      <w:pPr>
        <w:pStyle w:val="Normal"/>
        <w:spacing w:after="120"/>
      </w:pPr>
      <w:r>
        <w:rPr>
          <w:sz w:val="22"/>
          <w:szCs w:val="22"/>
        </w:rPr>
        <w:t xml:space="preserve">Indicates the number of persons who have been on board the vessel during fishing. Not completely filled in.</w:t>
      </w:r>
    </w:p>
    <w:p>
      <w:pPr>
        <w:pStyle w:val="Heading2"/>
      </w:pPr>
      <w:r>
        <w:t xml:space="preserve">Vessel municipality (code) — Fartøykommune (kode)</w:t>
      </w:r>
    </w:p>
    <w:p>
      <w:pPr>
        <w:pStyle w:val="Normal"/>
        <w:spacing w:after="120"/>
      </w:pPr>
      <w:r>
        <w:rPr>
          <w:sz w:val="22"/>
          <w:szCs w:val="22"/>
        </w:rPr>
        <w:t xml:space="preserve">Up to and including 2017, the municipality code is derived from the county letters and municipality letters in the vessel’s registration mark. From 2018 onwards, the “county code” and “municipality code” in the registration mark do not necessarily match where the vessel is based. In connection with the regional reform, vessels were allowed to retain a registration mark referring to their former vessel county and municipality. In subsequent events that normally lead to a new registration mark, the vessel must receive a mark with county and municipality letters reflecting its current home port. From 2018 onwards, a new field — municipality number — has been introduced in the vessel register indicating where the vessel is based.</w:t>
      </w:r>
    </w:p>
    <w:p>
      <w:pPr>
        <w:pStyle w:val="Heading2"/>
      </w:pPr>
      <w:r>
        <w:t xml:space="preserve">Vessel municipality — display text (Fartøykommune)</w:t>
      </w:r>
    </w:p>
    <w:p>
      <w:pPr>
        <w:pStyle w:val="Normal"/>
        <w:spacing w:after="120"/>
      </w:pPr>
      <w:r>
        <w:rPr>
          <w:sz w:val="22"/>
          <w:szCs w:val="22"/>
        </w:rPr>
        <w:t xml:space="preserve">Name of the municipality in which the vessel is based.</w:t>
      </w:r>
    </w:p>
    <w:p>
      <w:pPr>
        <w:pStyle w:val="Heading2"/>
      </w:pPr>
      <w:r>
        <w:t xml:space="preserve">Vessel county (code) — Fartøyfylke (kode)</w:t>
      </w:r>
    </w:p>
    <w:p>
      <w:pPr>
        <w:pStyle w:val="Normal"/>
        <w:spacing w:after="120"/>
      </w:pPr>
      <w:r>
        <w:rPr>
          <w:sz w:val="22"/>
          <w:szCs w:val="22"/>
        </w:rPr>
        <w:t xml:space="preserve">Up to and including 2017, the county code is derived from the county letters in the vessel’s registration mark. From 2018, the same regional-reform caveats apply as noted above. The county code is the first two digits of the 4-digit municipality number.</w:t>
      </w:r>
    </w:p>
    <w:p>
      <w:pPr>
        <w:pStyle w:val="Heading2"/>
      </w:pPr>
      <w:r>
        <w:t xml:space="preserve">Vessel county — display text (Fartøyfylke)</w:t>
      </w:r>
    </w:p>
    <w:p>
      <w:pPr>
        <w:pStyle w:val="Normal"/>
        <w:spacing w:after="120"/>
      </w:pPr>
      <w:r>
        <w:rPr>
          <w:sz w:val="22"/>
          <w:szCs w:val="22"/>
        </w:rPr>
        <w:t xml:space="preserve">Name of the county in which the vessel is based.</w:t>
      </w:r>
    </w:p>
    <w:p>
      <w:pPr>
        <w:pStyle w:val="Heading2"/>
      </w:pPr>
      <w:r>
        <w:t xml:space="preserve">Vessel nationality (code) — Fartøynasjonalitet (kode)</w:t>
      </w:r>
    </w:p>
    <w:p>
      <w:pPr>
        <w:pStyle w:val="Normal"/>
        <w:spacing w:after="120"/>
      </w:pPr>
      <w:r>
        <w:rPr>
          <w:sz w:val="22"/>
          <w:szCs w:val="22"/>
        </w:rPr>
        <w:t xml:space="preserve">Vessel nationality (flag state), given as a 3-letter country code (ISO-3166). The information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ABW</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ARUBA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AFG</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AFGHANISTAN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AGO</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ANGOLA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AIA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ANGUILLA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ALB</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ALBANIA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AND</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ANDORRA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ANT</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NETHERLANDS ANTILLES</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ARE</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UNITED ARAB EMIRATES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ARG</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ARGENTINA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ARM</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ARMENIA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ASM</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AMERICAN SAMOA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ATA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ANTARCTICA</w:t>
            </w:r>
          </w:p>
        </w:tc>
      </w:tr>
    </w:tbl>
    <w:p>
      <w:pPr>
        <w:spacing w:after="160"/>
      </w:pPr>
      <w:r>
        <w:rPr>
          <w:i/>
          <w:iCs/>
          <w:color w:val="666666"/>
          <w:sz w:val="22"/>
          <w:szCs w:val="22"/>
        </w:rPr>
        <w:t xml:space="preserve">(Extract — 12 codes are listed in the source document.)</w:t>
      </w:r>
    </w:p>
    <w:p>
      <w:pPr>
        <w:pStyle w:val="Heading2"/>
      </w:pPr>
      <w:r>
        <w:t xml:space="preserve">Vessel nationality — display text (Fartøynasjonalitet)</w:t>
      </w:r>
    </w:p>
    <w:p>
      <w:pPr>
        <w:pStyle w:val="Normal"/>
        <w:spacing w:after="120"/>
      </w:pPr>
      <w:r>
        <w:rPr>
          <w:sz w:val="22"/>
          <w:szCs w:val="22"/>
        </w:rPr>
        <w:t xml:space="preserve">Name of the nation in which the vessel is based.</w:t>
      </w:r>
    </w:p>
    <w:p>
      <w:pPr>
        <w:pStyle w:val="Heading2"/>
      </w:pPr>
      <w:r>
        <w:t xml:space="preserve">Vessel nationality group (Fartøynasjonalitet gruppe)</w:t>
      </w:r>
    </w:p>
    <w:p>
      <w:pPr>
        <w:pStyle w:val="Normal"/>
        <w:spacing w:after="120"/>
      </w:pPr>
      <w:r>
        <w:rPr>
          <w:sz w:val="22"/>
          <w:szCs w:val="22"/>
        </w:rPr>
        <w:t xml:space="preserve">Grouping of vessel nationality — Norwegian or foreign vessels.</w:t>
      </w:r>
    </w:p>
    <w:p>
      <w:pPr>
        <w:pStyle w:val="Heading2"/>
      </w:pPr>
      <w:r>
        <w:t xml:space="preserve">Greatest length (Største lengde)</w:t>
      </w:r>
    </w:p>
    <w:p>
      <w:pPr>
        <w:pStyle w:val="Normal"/>
        <w:spacing w:after="120"/>
      </w:pPr>
      <w:r>
        <w:rPr>
          <w:sz w:val="22"/>
          <w:szCs w:val="22"/>
        </w:rPr>
        <w:t xml:space="preserve">The vessel register must include information on the vessel’s greatest length — see § 13 of the Commercial Authorisation Regulations. Greatest length is the length in metres measured from the foremost point of the hull to the aftmost point, cf. Regulation no. 1694 of 18 December 2009 on the measurement of ships, § 2 letter l. The information is provided by the industry operator. The field is filled in for all rows but may contain errors. For vessels that have been in the register for a long time and for which no measurement certificate / identity certificate has been issued, it may be unclear whether the recognition length or the greatest length is recorded.</w:t>
      </w:r>
    </w:p>
    <w:p>
      <w:pPr>
        <w:pStyle w:val="Heading2"/>
      </w:pPr>
      <w:r>
        <w:t xml:space="preserve">Length group (code) — Lengdegruppe (kode)</w:t>
      </w:r>
    </w:p>
    <w:p>
      <w:pPr>
        <w:pStyle w:val="Normal"/>
        <w:spacing w:after="120"/>
      </w:pPr>
      <w:r>
        <w:rPr>
          <w:sz w:val="22"/>
          <w:szCs w:val="22"/>
        </w:rPr>
        <w:t xml:space="preserve">Length groups derived from the vessel’s greatest length. Classification according to the Finnmark model.</w:t>
      </w:r>
    </w:p>
    <w:p>
      <w:pPr>
        <w:pStyle w:val="Heading2"/>
      </w:pPr>
      <w:r>
        <w:t xml:space="preserve">Length group — display text (Lengdegruppe)</w:t>
      </w:r>
    </w:p>
    <w:p>
      <w:pPr>
        <w:pStyle w:val="Normal"/>
        <w:spacing w:after="120"/>
      </w:pPr>
      <w:r>
        <w:rPr>
          <w:sz w:val="22"/>
          <w:szCs w:val="22"/>
        </w:rPr>
        <w:t xml:space="preserve">Display text for the length group.</w:t>
      </w:r>
    </w:p>
    <w:p>
      <w:pPr>
        <w:pStyle w:val="Heading2"/>
      </w:pPr>
      <w:r>
        <w:t xml:space="preserve">Gross tonnage 1969 (Bruttotonnasje 1969)</w:t>
      </w:r>
    </w:p>
    <w:p>
      <w:pPr>
        <w:pStyle w:val="Normal"/>
        <w:spacing w:after="120"/>
      </w:pPr>
      <w:r>
        <w:rPr>
          <w:sz w:val="22"/>
          <w:szCs w:val="22"/>
        </w:rPr>
        <w:t xml:space="preserve">The vessel register must include information on vessels’ gross tonnage — see § 13 of the Commercial Authorisation Regulations. In this variable, “Gross tonnage 1969”, the gross tonnage of vessels with length (L) ≥ 24 metres is recorded, measured and calculated in accordance with the International Convention on Tonnage Measurement of Ships, 1969 (the London Convention 1969).</w:t>
      </w:r>
    </w:p>
    <w:p>
      <w:pPr>
        <w:pStyle w:val="Normal"/>
        <w:spacing w:after="120"/>
      </w:pPr>
      <w:r>
        <w:rPr>
          <w:sz w:val="22"/>
          <w:szCs w:val="22"/>
        </w:rPr>
        <w:t xml:space="preserve">Up to 1982, the earlier electronic vessel register recorded the vessel’s net tonnage in this variable. Rules for calculating a vessel’s gross tonnage have changed over time. Under Regulation no. 1044 of 14 June 1982, gross tonnage after 18 July 1982 was to be calculated according to the 1969 Convention’s measurement rules. From 18 July 1994 the 1969 Convention took full effect for any vessel covered by the Convention. Measurement-liable vessels with L ≥ 24 metres were to be re-measured by that date.</w:t>
      </w:r>
    </w:p>
    <w:p>
      <w:pPr>
        <w:pStyle w:val="Normal"/>
        <w:spacing w:after="120"/>
      </w:pPr>
      <w:r>
        <w:rPr>
          <w:sz w:val="22"/>
          <w:szCs w:val="22"/>
        </w:rPr>
        <w:t xml:space="preserve">The fisheries authorities had rules for regulating access to fishing based on each vessel’s gross tonnage. There could be a large difference between tonnage calculated under earlier rules and the 1969 Convention, especially for vessels with a shelter deck. The fisheries authorities therefore had to register gross tonnage in such a way that it was clear which calculation method was used. From 1982 there are therefore two variables in the vessel register containing information on gross tonnage.</w:t>
      </w:r>
    </w:p>
    <w:p>
      <w:pPr>
        <w:pStyle w:val="Normal"/>
        <w:spacing w:after="120"/>
      </w:pPr>
      <w:r>
        <w:rPr>
          <w:sz w:val="22"/>
          <w:szCs w:val="22"/>
        </w:rPr>
        <w:t xml:space="preserve">Gross tonnage is given here in accordance with the vessel’s measurement certificate, and is thus only given for vessels measured by the Maritime Authority. Reference is made to Act no. 9 of 16 February 2007 on ship safety (§ 10) and Regulation no. 1694 of 18 December 2009 on the measurement of ships. The information is provided by the industry operator. Not filled in for all rows and may contain errors.</w:t>
      </w:r>
    </w:p>
    <w:p>
      <w:pPr>
        <w:pStyle w:val="Heading2"/>
      </w:pPr>
      <w:r>
        <w:t xml:space="preserve">Gross tonnage — other (Bruttotonnasje annen)</w:t>
      </w:r>
    </w:p>
    <w:p>
      <w:pPr>
        <w:pStyle w:val="Normal"/>
        <w:spacing w:after="120"/>
      </w:pPr>
      <w:r>
        <w:rPr>
          <w:sz w:val="22"/>
          <w:szCs w:val="22"/>
        </w:rPr>
        <w:t xml:space="preserve">In this variable, gross tonnage measured under rules other than the 1969 London Convention is recorded, for vessels under 24 metres (L). This may be a Norwegian Domestic Measurement Certificate (1982), an International Measurement Certificate (1947), or a measurement certificate under earlier rules. It may also be gross tonnage for vessels under 15 metres in an Identity Certificate issued after recognition measurement, where gross tonnage is equivalent as follows: 15 m ≈ 25 GT, 12.5 m ≈ 20 GT, 11.5 m ≈ 15 GT, 10 m ≈ 10 GT, 8 m ≈ 4 GT. Identity certificates are no longer issued — the arrangement was terminated on 1 January 2010. The information is provided by the industry operator. Not filled in for all rows and may contain errors.</w:t>
      </w:r>
    </w:p>
    <w:p>
      <w:pPr>
        <w:pStyle w:val="Heading2"/>
      </w:pPr>
      <w:r>
        <w:t xml:space="preserve">Year built (Byggeår)</w:t>
      </w:r>
    </w:p>
    <w:p>
      <w:pPr>
        <w:pStyle w:val="Normal"/>
        <w:spacing w:after="120"/>
      </w:pPr>
      <w:r>
        <w:rPr>
          <w:sz w:val="22"/>
          <w:szCs w:val="22"/>
        </w:rPr>
        <w:t xml:space="preserve">Year when the hull was built. The information is not complete, but information about year built exists for most vessels.</w:t>
      </w:r>
    </w:p>
    <w:p>
      <w:pPr>
        <w:pStyle w:val="Heading2"/>
      </w:pPr>
      <w:r>
        <w:t xml:space="preserve">Year of rebuild (Ombyggingsår)</w:t>
      </w:r>
    </w:p>
    <w:p>
      <w:pPr>
        <w:pStyle w:val="Normal"/>
        <w:spacing w:after="120"/>
      </w:pPr>
      <w:r>
        <w:rPr>
          <w:sz w:val="22"/>
          <w:szCs w:val="22"/>
        </w:rPr>
        <w:t xml:space="preserve">Year when the vessel was last rebuilt. There is uncertainty as to whether vessel owners always provide the required information about rebuilding.</w:t>
      </w:r>
    </w:p>
    <w:p>
      <w:pPr>
        <w:pStyle w:val="Heading2"/>
      </w:pPr>
      <w:r>
        <w:t xml:space="preserve">Engine power (Motorkraft)</w:t>
      </w:r>
    </w:p>
    <w:p>
      <w:pPr>
        <w:pStyle w:val="Normal"/>
        <w:spacing w:after="120"/>
      </w:pPr>
      <w:r>
        <w:rPr>
          <w:sz w:val="22"/>
          <w:szCs w:val="22"/>
        </w:rPr>
        <w:t xml:space="preserve">Engine power given in horsepower (HP). Conversion formula: kW = HP / 1.36. The information is not complete, but exists for most vessels. There is also uncertainty as to whether vessel owners always provide the required information about a new engine and the resulting change in horsepower.</w:t>
      </w:r>
    </w:p>
    <w:p>
      <w:pPr>
        <w:pStyle w:val="Heading2"/>
      </w:pPr>
      <w:r>
        <w:t xml:space="preserve">Engine year built (Motorbyggeår)</w:t>
      </w:r>
    </w:p>
    <w:p>
      <w:pPr>
        <w:pStyle w:val="Normal"/>
        <w:spacing w:after="120"/>
      </w:pPr>
      <w:r>
        <w:rPr>
          <w:sz w:val="22"/>
          <w:szCs w:val="22"/>
        </w:rPr>
        <w:t xml:space="preserve">Year when the engine was built. Not complete, but exists for most vessels. There is also uncertainty as to whether vessel owners always report a new engine and the resulting change in build year.</w:t>
      </w:r>
    </w:p>
    <w:p>
      <w:pPr>
        <w:pStyle w:val="Heading2"/>
      </w:pPr>
      <w:r>
        <w:t xml:space="preserve">Catch year (Fangsår)</w:t>
      </w:r>
    </w:p>
    <w:p>
      <w:pPr>
        <w:pStyle w:val="Normal"/>
        <w:spacing w:after="120"/>
      </w:pPr>
      <w:r>
        <w:rPr>
          <w:sz w:val="22"/>
          <w:szCs w:val="22"/>
        </w:rPr>
        <w:t xml:space="preserve">The year in which the catch was taken. Catches taken in different catch years must be recorded on separate notes. The information is complete.</w:t>
      </w:r>
    </w:p>
    <w:p>
      <w:pPr>
        <w:pStyle w:val="Heading2"/>
      </w:pPr>
      <w:r>
        <w:t xml:space="preserve">Last catch date (Siste fangstdato)</w:t>
      </w:r>
    </w:p>
    <w:p>
      <w:pPr>
        <w:pStyle w:val="Normal"/>
        <w:spacing w:after="120"/>
      </w:pPr>
      <w:r>
        <w:rPr>
          <w:sz w:val="22"/>
          <w:szCs w:val="22"/>
        </w:rPr>
        <w:t xml:space="preserve">The last catch date is the last day the fishing vessel takes catch on board. The field was first introduced during 2004 but did not have sufficient content to be usable for 2004 data. If the field is invalid or not specified, the date has automatically been set equal to the landing date, or to 31 December of the catch year if the landing date is in the following year. During 2013, automatic checks were introduced ensuring complete completion at all sales organisations.</w:t>
      </w:r>
    </w:p>
    <w:p>
      <w:pPr>
        <w:pStyle w:val="Heading2"/>
      </w:pPr>
      <w:r>
        <w:t xml:space="preserve">Quota type (code) — Kvotetype (kode)</w:t>
      </w:r>
    </w:p>
    <w:p>
      <w:pPr>
        <w:pStyle w:val="Normal"/>
        <w:spacing w:after="120"/>
      </w:pPr>
      <w:r>
        <w:rPr>
          <w:sz w:val="22"/>
          <w:szCs w:val="22"/>
        </w:rPr>
        <w:t xml:space="preserve">Code for the type of quota fished against. Not completely filled in. Before 2005 the gaps are so large that the information cannot be used for general statistics. There are also substantial gaps in the years 2005–2008. Not fully quality-assured by the Directorate of Fisheries. The code list has been considerably expanded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Ordinary quota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Research quota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School quota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Other country’s quota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Youth quota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Recreational fishing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07</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Ordinary quota with delivery conditions</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08</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District quota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09</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Bait quota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Ordinary quota, sale to tourist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King crab quota in the quota area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Bonus quota, fresh</w:t>
            </w:r>
          </w:p>
        </w:tc>
      </w:tr>
    </w:tbl>
    <w:p>
      <w:pPr>
        <w:spacing w:after="160"/>
      </w:pPr>
      <w:r>
        <w:rPr>
          <w:i/>
          <w:iCs/>
          <w:color w:val="666666"/>
          <w:sz w:val="22"/>
          <w:szCs w:val="22"/>
        </w:rPr>
        <w:t xml:space="preserve">(Extract — 12 codes are listed in the source document.)</w:t>
      </w:r>
    </w:p>
    <w:p>
      <w:pPr>
        <w:pStyle w:val="Heading2"/>
      </w:pPr>
      <w:r>
        <w:t xml:space="preserve">Quota type — display text (Kvotetype)</w:t>
      </w:r>
    </w:p>
    <w:p>
      <w:pPr>
        <w:pStyle w:val="Normal"/>
        <w:spacing w:after="120"/>
      </w:pPr>
      <w:r>
        <w:rPr>
          <w:sz w:val="22"/>
          <w:szCs w:val="22"/>
        </w:rPr>
        <w:t xml:space="preserve">Display text for the quota-type code.</w:t>
      </w:r>
    </w:p>
    <w:p>
      <w:pPr>
        <w:pStyle w:val="Heading2"/>
      </w:pPr>
      <w:r>
        <w:t xml:space="preserve">Gear (code) — Redskap (kode)</w:t>
      </w:r>
    </w:p>
    <w:p>
      <w:pPr>
        <w:pStyle w:val="Normal"/>
        <w:spacing w:after="120"/>
      </w:pPr>
      <w:r>
        <w:rPr>
          <w:sz w:val="22"/>
          <w:szCs w:val="22"/>
        </w:rPr>
        <w:t xml:space="preserve">Code identifying the fishing gear used. If several different types of gear are used on the same trip, the requirement is that the most important gear must be specified. The fact that all catch on a note is recorded under a single gear can lead to some cases of illogical combinations of species and gear. To clear up such illogical combinations, an automatic correction of gear is made for certain species:</w:t>
      </w:r>
    </w:p>
    <w:p>
      <w:pPr>
        <w:pStyle w:val="ListParagraph"/>
        <w:numPr>
          <w:ilvl w:val="0"/>
          <w:numId w:val="3"/>
        </w:numPr>
      </w:pPr>
      <w:r>
        <w:rPr>
          <w:sz w:val="22"/>
          <w:szCs w:val="22"/>
        </w:rPr>
        <w:t xml:space="preserve">Shrimp — for any gear code other than 55-Shrimp trawl, 58-Double trawl or 59-Triple trawl, the gear is changed to 55-Shrimp trawl.</w:t>
      </w:r>
    </w:p>
    <w:p>
      <w:pPr>
        <w:pStyle w:val="ListParagraph"/>
        <w:numPr>
          <w:ilvl w:val="0"/>
          <w:numId w:val="3"/>
        </w:numPr>
      </w:pPr>
      <w:r>
        <w:rPr>
          <w:sz w:val="22"/>
          <w:szCs w:val="22"/>
        </w:rPr>
        <w:t xml:space="preserve">Crab (except king crab) — for any gear code other than 42-Pots, the gear is changed to 42-Pots.</w:t>
      </w:r>
    </w:p>
    <w:p>
      <w:pPr>
        <w:pStyle w:val="ListParagraph"/>
        <w:numPr>
          <w:ilvl w:val="0"/>
          <w:numId w:val="3"/>
        </w:numPr>
      </w:pPr>
      <w:r>
        <w:rPr>
          <w:sz w:val="22"/>
          <w:szCs w:val="22"/>
        </w:rPr>
        <w:t xml:space="preserve">King crab — for any gear code other than 42-Pots, 50-Undefined trawl or 51-Bottom trawl, the gear is changed to 42-Pots.</w:t>
      </w:r>
    </w:p>
    <w:p>
      <w:pPr>
        <w:pStyle w:val="ListParagraph"/>
        <w:numPr>
          <w:ilvl w:val="0"/>
          <w:numId w:val="3"/>
        </w:numPr>
      </w:pPr>
      <w:r>
        <w:rPr>
          <w:sz w:val="22"/>
          <w:szCs w:val="22"/>
        </w:rPr>
        <w:t xml:space="preserve">Lobster — for any gear code other than 42-Pots, the gear is changed to 42-Pots.</w:t>
      </w:r>
    </w:p>
    <w:p>
      <w:pPr>
        <w:pStyle w:val="ListParagraph"/>
        <w:numPr>
          <w:ilvl w:val="0"/>
          <w:numId w:val="3"/>
        </w:numPr>
      </w:pPr>
      <w:r>
        <w:rPr>
          <w:sz w:val="22"/>
          <w:szCs w:val="22"/>
        </w:rPr>
        <w:t xml:space="preserve">Norway lobster — if the gear is 50-Undefined trawl, 51-Bottom trawl, 52-Bottom trawl pair, 53-Pelagic trawl, 54-Pelagic trawl pair, 58-Double trawl or 59-Triple trawl, the gear is changed to 57-Nephrops trawl. Thereafter, for any gear other than 40-Undefined pots/traps, 41-Fyke nets, 42-Pots, 55-Shrimp trawl, 56-Beam trawl, 57-Nephrops trawl, the gear is changed to 42-Pots.</w:t>
      </w:r>
    </w:p>
    <w:p>
      <w:pPr>
        <w:pStyle w:val="ListParagraph"/>
        <w:numPr>
          <w:ilvl w:val="0"/>
          <w:numId w:val="3"/>
        </w:numPr>
      </w:pPr>
      <w:r>
        <w:rPr>
          <w:sz w:val="22"/>
          <w:szCs w:val="22"/>
        </w:rPr>
        <w:t xml:space="preserve">Shellfish — for any gear other than 80-Other, 81-Shell dredge, the gear is changed to 80-Other.</w:t>
      </w:r>
    </w:p>
    <w:p>
      <w:pPr>
        <w:pStyle w:val="ListParagraph"/>
        <w:numPr>
          <w:ilvl w:val="0"/>
          <w:numId w:val="3"/>
        </w:numPr>
      </w:pPr>
      <w:r>
        <w:rPr>
          <w:sz w:val="22"/>
          <w:szCs w:val="22"/>
        </w:rPr>
        <w:t xml:space="preserve">Eel — for any gear other than 41-Fyke nets, the gear is changed to 41-Fyke nets.</w:t>
      </w:r>
    </w:p>
    <w:p>
      <w:pPr>
        <w:pStyle w:val="ListParagraph"/>
        <w:numPr>
          <w:ilvl w:val="0"/>
          <w:numId w:val="3"/>
        </w:numPr>
      </w:pPr>
      <w:r>
        <w:rPr>
          <w:sz w:val="22"/>
          <w:szCs w:val="22"/>
        </w:rPr>
        <w:t xml:space="preserve">Unspecified gear code 99-Unspecified is changed to 80-Other.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Undefined seine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Purse seine / ring net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12</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Beach seine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Purse seine with light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Beach seine with light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Undefined net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Drift net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Set net (gill net)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Undefined hook gear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31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Drifting longline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32</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Other longlines</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33</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Hand line / jigging</w:t>
            </w:r>
          </w:p>
        </w:tc>
      </w:tr>
    </w:tbl>
    <w:p>
      <w:pPr>
        <w:spacing w:after="160"/>
      </w:pPr>
      <w:r>
        <w:rPr>
          <w:i/>
          <w:iCs/>
          <w:color w:val="666666"/>
          <w:sz w:val="22"/>
          <w:szCs w:val="22"/>
        </w:rPr>
        <w:t xml:space="preserve">(Extract — 12 codes are listed in the source document.)</w:t>
      </w:r>
    </w:p>
    <w:p>
      <w:pPr>
        <w:pStyle w:val="Heading2"/>
      </w:pPr>
      <w:r>
        <w:t xml:space="preserve">Gear — display text (Redskap)</w:t>
      </w:r>
    </w:p>
    <w:p>
      <w:pPr>
        <w:pStyle w:val="Normal"/>
        <w:spacing w:after="120"/>
      </w:pPr>
      <w:r>
        <w:rPr>
          <w:sz w:val="22"/>
          <w:szCs w:val="22"/>
        </w:rPr>
        <w:t xml:space="preserve">Display text for the gear code.</w:t>
      </w:r>
    </w:p>
    <w:p>
      <w:pPr>
        <w:pStyle w:val="Heading2"/>
      </w:pPr>
      <w:r>
        <w:t xml:space="preserve">Gear group (code) — Redskap – gruppe (kode)</w:t>
      </w:r>
    </w:p>
    <w:p>
      <w:pPr>
        <w:pStyle w:val="Normal"/>
        <w:spacing w:after="120"/>
      </w:pPr>
      <w:r>
        <w:rPr>
          <w:sz w:val="22"/>
          <w:szCs w:val="22"/>
        </w:rPr>
        <w:t xml:space="preserve">Code for the grouping of fishing gear used.</w:t>
      </w:r>
    </w:p>
    <w:p>
      <w:pPr>
        <w:pStyle w:val="Heading2"/>
      </w:pPr>
      <w:r>
        <w:t xml:space="preserve">Gear group — display text (Redskap – gruppe)</w:t>
      </w:r>
    </w:p>
    <w:p>
      <w:pPr>
        <w:pStyle w:val="Normal"/>
        <w:spacing w:after="120"/>
      </w:pPr>
      <w:r>
        <w:rPr>
          <w:sz w:val="22"/>
          <w:szCs w:val="22"/>
        </w:rPr>
        <w:t xml:space="preserve">Display text for the gear-group code.</w:t>
      </w:r>
    </w:p>
    <w:p>
      <w:pPr>
        <w:pStyle w:val="Heading2"/>
      </w:pPr>
      <w:r>
        <w:t xml:space="preserve">Gear main group (code) — Redskap - hovedgruppe (kode)</w:t>
      </w:r>
    </w:p>
    <w:p>
      <w:pPr>
        <w:pStyle w:val="Normal"/>
        <w:spacing w:after="120"/>
      </w:pPr>
      <w:r>
        <w:rPr>
          <w:sz w:val="22"/>
          <w:szCs w:val="22"/>
        </w:rPr>
        <w:t xml:space="preserve">Code for the main group of gear.</w:t>
      </w:r>
    </w:p>
    <w:p>
      <w:pPr>
        <w:pStyle w:val="Heading2"/>
      </w:pPr>
      <w:r>
        <w:t xml:space="preserve">Gear main group — display text (Redskap - hovedgruppe)</w:t>
      </w:r>
    </w:p>
    <w:p>
      <w:pPr>
        <w:pStyle w:val="Normal"/>
        <w:spacing w:after="120"/>
      </w:pPr>
      <w:r>
        <w:rPr>
          <w:sz w:val="22"/>
          <w:szCs w:val="22"/>
        </w:rPr>
        <w:t xml:space="preserve">Display text for the gear main-group code.</w:t>
      </w:r>
    </w:p>
    <w:p>
      <w:pPr>
        <w:pStyle w:val="Heading2"/>
      </w:pPr>
      <w:r>
        <w:t xml:space="preserve">Catch area (code) — Fangstfelt (kode)</w:t>
      </w:r>
    </w:p>
    <w:p>
      <w:pPr>
        <w:pStyle w:val="Normal"/>
        <w:spacing w:after="120"/>
      </w:pPr>
      <w:r>
        <w:rPr>
          <w:sz w:val="22"/>
          <w:szCs w:val="22"/>
        </w:rPr>
        <w:t xml:space="preserve">Catch area (5 digits). Composed of: 1st digit, coast/ocean code; 2nd–3rd digits, main area; 4th–5th digits, location. Defines the most important catch area on the trip. If fishing has taken place in several different main areas on the same trip, the most important main area must be specified. Catches taken in different zones must, however, be recorded on separate notes. For cod trawlers and shrimp trawlers, in the years before 2017 the Directorate carried out quality assurance and further detailing at area level using information from the catch logbook. This is done internally and only for quality-assured years. From 2018, such correction at the individual note level has not been carried out. A few cases with catch area 99999 are used for unspecified catch area.</w:t>
      </w:r>
    </w:p>
    <w:p>
      <w:pPr>
        <w:pStyle w:val="Heading2"/>
      </w:pPr>
      <w:r>
        <w:t xml:space="preserve">Coast/ocean (code) — Kyst/hav (kode)</w:t>
      </w:r>
    </w:p>
    <w:p>
      <w:pPr>
        <w:pStyle w:val="Normal"/>
        <w:spacing w:after="120"/>
      </w:pPr>
      <w:r>
        <w:rPr>
          <w:sz w:val="22"/>
          <w:szCs w:val="22"/>
        </w:rPr>
        <w:t xml:space="preserve">The coast/ocean code defines whether the catch was taken inside or outside the twelve-mile limit (8 = inside / 0 = outside the 12-mile limit). Completely filled in. A few cases with coast/ocean code 9 are used for unspecified catch area.</w:t>
      </w:r>
    </w:p>
    <w:p>
      <w:pPr>
        <w:pStyle w:val="Heading2"/>
      </w:pPr>
      <w:r>
        <w:t xml:space="preserve">Main area (code) — Hovedområde (kode)</w:t>
      </w:r>
    </w:p>
    <w:p>
      <w:pPr>
        <w:pStyle w:val="Normal"/>
        <w:spacing w:after="120"/>
      </w:pPr>
      <w:r>
        <w:rPr>
          <w:sz w:val="22"/>
          <w:szCs w:val="22"/>
        </w:rPr>
        <w:t xml:space="preserve">Main area, two digits. If fishing has taken place in several different main areas on the same trip, the most important main area must be specified. Catches taken in different zones must be recorded on separate notes. As above, for cod and shrimp trawlers, before 2017 the Directorate carried out further quality assurance using the catch logbook; from 2018 onwards, such corrections at the individual note level have not been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Vestfjorden (Lofoten)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Kaninbanken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02</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Murmansk coast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03</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East Finnmark</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04</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West Finnmark</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05</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Røstbanken to Malangsgrunnen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06</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Helgelandsbanken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07</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Storegga–Frøyabanken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08</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Eigersundbanken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09</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Skagerrak</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Skolpenbanken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Gåsebanken</w:t>
            </w:r>
          </w:p>
        </w:tc>
      </w:tr>
    </w:tbl>
    <w:p>
      <w:pPr>
        <w:spacing w:after="160"/>
      </w:pPr>
      <w:r>
        <w:rPr>
          <w:i/>
          <w:iCs/>
          <w:color w:val="666666"/>
          <w:sz w:val="22"/>
          <w:szCs w:val="22"/>
        </w:rPr>
        <w:t xml:space="preserve">(Extract — 12 codes are listed in the source document.)</w:t>
      </w:r>
    </w:p>
    <w:p>
      <w:pPr>
        <w:pStyle w:val="Heading2"/>
      </w:pPr>
      <w:r>
        <w:t xml:space="preserve">Main area — display text (Hovedområde)</w:t>
      </w:r>
    </w:p>
    <w:p>
      <w:pPr>
        <w:pStyle w:val="Normal"/>
        <w:spacing w:after="120"/>
      </w:pPr>
      <w:r>
        <w:rPr>
          <w:sz w:val="22"/>
          <w:szCs w:val="22"/>
        </w:rPr>
        <w:t xml:space="preserve">Name of the main area.</w:t>
      </w:r>
    </w:p>
    <w:p>
      <w:pPr>
        <w:pStyle w:val="Heading2"/>
      </w:pPr>
      <w:r>
        <w:t xml:space="preserve">Lon (main area)</w:t>
      </w:r>
    </w:p>
    <w:p>
      <w:pPr>
        <w:pStyle w:val="Normal"/>
        <w:spacing w:after="120"/>
      </w:pPr>
      <w:r>
        <w:rPr>
          <w:sz w:val="22"/>
          <w:szCs w:val="22"/>
        </w:rPr>
        <w:t xml:space="preserve">Longitude of the centre point of the main area, given in decimal degrees WGS-84.</w:t>
      </w:r>
    </w:p>
    <w:p>
      <w:pPr>
        <w:pStyle w:val="Heading2"/>
      </w:pPr>
      <w:r>
        <w:t xml:space="preserve">Lat (main area)</w:t>
      </w:r>
    </w:p>
    <w:p>
      <w:pPr>
        <w:pStyle w:val="Normal"/>
        <w:spacing w:after="120"/>
      </w:pPr>
      <w:r>
        <w:rPr>
          <w:sz w:val="22"/>
          <w:szCs w:val="22"/>
        </w:rPr>
        <w:t xml:space="preserve">Latitude of the centre point of the main area, given in decimal degrees WGS-84.</w:t>
      </w:r>
    </w:p>
    <w:p>
      <w:pPr>
        <w:pStyle w:val="Heading2"/>
      </w:pPr>
      <w:r>
        <w:t xml:space="preserve">Location (code) — Lokasjon (kode)</w:t>
      </w:r>
    </w:p>
    <w:p>
      <w:pPr>
        <w:pStyle w:val="Normal"/>
        <w:spacing w:after="120"/>
      </w:pPr>
      <w:r>
        <w:rPr>
          <w:sz w:val="22"/>
          <w:szCs w:val="22"/>
        </w:rPr>
        <w:t xml:space="preserve">Location, two digits. Contains a numbering of rectangles within the main area. The content of this field is of variable quality and must be used with caution. The content may have somewhat better quality for the pelagic sector and for catch taken with conventional gear (gill nets, longlines, Danish seine, fyke nets, pots and jigging), for fishing operations that do not range across very large areas on the same trip.</w:t>
      </w:r>
    </w:p>
    <w:p>
      <w:pPr>
        <w:pStyle w:val="Heading2"/>
      </w:pPr>
      <w:r>
        <w:t xml:space="preserve">Lon (location)</w:t>
      </w:r>
    </w:p>
    <w:p>
      <w:pPr>
        <w:pStyle w:val="Normal"/>
        <w:spacing w:after="120"/>
      </w:pPr>
      <w:r>
        <w:rPr>
          <w:sz w:val="22"/>
          <w:szCs w:val="22"/>
        </w:rPr>
        <w:t xml:space="preserve">Longitude of the centre point of the location, given in decimal degrees WGS-84.</w:t>
      </w:r>
    </w:p>
    <w:p>
      <w:pPr>
        <w:pStyle w:val="Heading2"/>
      </w:pPr>
      <w:r>
        <w:t xml:space="preserve">Lat (location)</w:t>
      </w:r>
    </w:p>
    <w:p>
      <w:pPr>
        <w:pStyle w:val="Normal"/>
        <w:spacing w:after="120"/>
      </w:pPr>
      <w:r>
        <w:rPr>
          <w:sz w:val="22"/>
          <w:szCs w:val="22"/>
        </w:rPr>
        <w:t xml:space="preserve">Latitude of the centre point of the location, given in decimal degrees WGS-84.</w:t>
      </w:r>
    </w:p>
    <w:p>
      <w:pPr>
        <w:pStyle w:val="Heading2"/>
      </w:pPr>
      <w:r>
        <w:t xml:space="preserve">Zone (code) — Sone (kode)</w:t>
      </w:r>
    </w:p>
    <w:p>
      <w:pPr>
        <w:pStyle w:val="Normal"/>
        <w:spacing w:after="120"/>
      </w:pPr>
      <w:r>
        <w:rPr>
          <w:sz w:val="22"/>
          <w:szCs w:val="22"/>
        </w:rPr>
        <w:t xml:space="preserve">The economic zone, protection zone, etc. in which the fishing operation took place. The field was introduced in 2004 but not fully put into use until 2005. It should not be used for years before 2005.</w:t>
      </w:r>
    </w:p>
    <w:p>
      <w:pPr>
        <w:pStyle w:val="ListParagraph"/>
        <w:numPr>
          <w:ilvl w:val="0"/>
          <w:numId w:val="2"/>
        </w:numPr>
      </w:pPr>
      <w:r>
        <w:rPr>
          <w:sz w:val="22"/>
          <w:szCs w:val="22"/>
        </w:rPr>
        <w:t xml:space="preserve">2000–2004: Very incomplete — should not be used for general statistics.</w:t>
      </w:r>
    </w:p>
    <w:p>
      <w:pPr>
        <w:pStyle w:val="ListParagraph"/>
        <w:numPr>
          <w:ilvl w:val="0"/>
          <w:numId w:val="2"/>
        </w:numPr>
      </w:pPr>
      <w:r>
        <w:rPr>
          <w:sz w:val="22"/>
          <w:szCs w:val="22"/>
        </w:rPr>
        <w:t xml:space="preserve">2005–2007: Not completely filled in.</w:t>
      </w:r>
    </w:p>
    <w:p>
      <w:pPr>
        <w:pStyle w:val="ListParagraph"/>
        <w:numPr>
          <w:ilvl w:val="0"/>
          <w:numId w:val="2"/>
        </w:numPr>
      </w:pPr>
      <w:r>
        <w:rPr>
          <w:sz w:val="22"/>
          <w:szCs w:val="22"/>
        </w:rPr>
        <w:t xml:space="preserve">2008 onwards: Completely filled in from 2008.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CAN</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Canadian economic zone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FRO</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Faroese economic zone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GRL</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Greenlandic economic zone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ISL</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Icelandic economic zone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NOR</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Norwegian economic zone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RUS</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Russian economic zone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USA</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US economic zone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XAA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The adjacent area in the Barents Sea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XBS</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The Loophole (Smutthullet)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XCA</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The CCAMLR area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XEU</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EU zone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XJM</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Fishery zone around Jan Mayen</w:t>
            </w:r>
          </w:p>
        </w:tc>
      </w:tr>
    </w:tbl>
    <w:p>
      <w:pPr>
        <w:spacing w:after="160"/>
      </w:pPr>
      <w:r>
        <w:rPr>
          <w:i/>
          <w:iCs/>
          <w:color w:val="666666"/>
          <w:sz w:val="22"/>
          <w:szCs w:val="22"/>
        </w:rPr>
        <w:t xml:space="preserve">(Extract — 12 codes are listed in the source document.)</w:t>
      </w:r>
    </w:p>
    <w:p>
      <w:pPr>
        <w:pStyle w:val="Heading2"/>
      </w:pPr>
      <w:r>
        <w:t xml:space="preserve">Zone — display text (Sone)</w:t>
      </w:r>
    </w:p>
    <w:p>
      <w:pPr>
        <w:pStyle w:val="Normal"/>
        <w:spacing w:after="120"/>
      </w:pPr>
      <w:r>
        <w:rPr>
          <w:sz w:val="22"/>
          <w:szCs w:val="22"/>
        </w:rPr>
        <w:t xml:space="preserve">Name of economic zone.</w:t>
      </w:r>
    </w:p>
    <w:p>
      <w:pPr>
        <w:pStyle w:val="Heading2"/>
      </w:pPr>
      <w:r>
        <w:t xml:space="preserve">Area grouping (code) — Områdegruppering (kode)</w:t>
      </w:r>
    </w:p>
    <w:p>
      <w:pPr>
        <w:pStyle w:val="Normal"/>
        <w:spacing w:after="120"/>
      </w:pPr>
      <w:r>
        <w:rPr>
          <w:sz w:val="22"/>
          <w:szCs w:val="22"/>
        </w:rPr>
        <w:t xml:space="preserve">This variable contains the code for ICES area or NAFO area. The code includes the FAO area prefix so that ICES areas (27) can be distinguished from NAFO areas (21). Up to and including 2004, the variable contains codes for ICES areas in force up to 2010. The existing ICES area classification, established in 2010, is included in the dataset back to 2005. The breakdown into existing ICES areas depends on information about the economic zone. In the underlying data, zone did not become a mandatory variable until 2008. To enable statistics for the new ICES areas, zone information has been retrospectively registered as well as possible back to 2005. Notes that lack a zone, or that have an invalid combination of catch area and zone, will not be assigned a code for area grouping.</w:t>
      </w:r>
    </w:p>
    <w:p>
      <w:pPr>
        <w:pStyle w:val="Heading2"/>
      </w:pPr>
      <w:r>
        <w:t xml:space="preserve">Area grouping — display text (Områdegruppering)</w:t>
      </w:r>
    </w:p>
    <w:p>
      <w:pPr>
        <w:pStyle w:val="Normal"/>
        <w:spacing w:after="120"/>
      </w:pPr>
      <w:r>
        <w:rPr>
          <w:sz w:val="22"/>
          <w:szCs w:val="22"/>
        </w:rPr>
        <w:t xml:space="preserve">This variable contains the display text for the ICES area or NAFO area code. Notes that lack a zone, or that have an invalid combination of catch area and zone, will not be assigned an area grouping.</w:t>
      </w:r>
    </w:p>
    <w:p>
      <w:pPr>
        <w:pStyle w:val="Heading2"/>
      </w:pPr>
      <w:r>
        <w:t xml:space="preserve">Main area FAO (code) — Hovedområde FAO (kode)</w:t>
      </w:r>
    </w:p>
    <w:p>
      <w:pPr>
        <w:pStyle w:val="Normal"/>
        <w:spacing w:after="120"/>
      </w:pPr>
      <w:r>
        <w:rPr>
          <w:sz w:val="22"/>
          <w:szCs w:val="22"/>
        </w:rPr>
        <w:t xml:space="preserve">International catch region (FAO area). For example, the North-East Atlantic (ICES advisory area) is given as 27 and the North-West Atlantic (NAFO advisory area) as 21. Not completely filled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Africa, inland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North America, inland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South America, inland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Asia, inland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Europe, inland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Oceania, inland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07</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Russia and former Soviet states</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08</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Antarctic, inland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18</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Arctic Sea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North-West Atlantic</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27</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North-East Atlantic</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31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Western Central Atlantic</w:t>
            </w:r>
          </w:p>
        </w:tc>
      </w:tr>
    </w:tbl>
    <w:p>
      <w:pPr>
        <w:spacing w:after="160"/>
      </w:pPr>
      <w:r>
        <w:rPr>
          <w:i/>
          <w:iCs/>
          <w:color w:val="666666"/>
          <w:sz w:val="22"/>
          <w:szCs w:val="22"/>
        </w:rPr>
        <w:t xml:space="preserve">(Extract — 12 codes are listed in the source document.)</w:t>
      </w:r>
    </w:p>
    <w:p>
      <w:pPr>
        <w:pStyle w:val="Heading2"/>
      </w:pPr>
      <w:r>
        <w:t xml:space="preserve">Main area FAO — display text</w:t>
      </w:r>
    </w:p>
    <w:p>
      <w:pPr>
        <w:pStyle w:val="Normal"/>
        <w:spacing w:after="120"/>
      </w:pPr>
      <w:r>
        <w:rPr>
          <w:sz w:val="22"/>
          <w:szCs w:val="22"/>
        </w:rPr>
        <w:t xml:space="preserve">Name of FAO main area.</w:t>
      </w:r>
    </w:p>
    <w:p>
      <w:pPr>
        <w:pStyle w:val="Heading2"/>
      </w:pPr>
      <w:r>
        <w:t xml:space="preserve">North/south of 62° N (Nord/sør for 62 grader nord)</w:t>
      </w:r>
    </w:p>
    <w:p>
      <w:pPr>
        <w:pStyle w:val="Normal"/>
        <w:spacing w:after="120"/>
      </w:pPr>
      <w:r>
        <w:rPr>
          <w:sz w:val="22"/>
          <w:szCs w:val="22"/>
        </w:rPr>
        <w:t xml:space="preserve">Derived from ICES areas. North of 62° N: ICES Ia, Ib, IIa1, IIa2, IIb1, IIb2. South of 62° N: ICES IIIa, IVa, IVb, IVc.</w:t>
      </w:r>
    </w:p>
    <w:p>
      <w:pPr>
        <w:pStyle w:val="Heading2"/>
      </w:pPr>
      <w:r>
        <w:t xml:space="preserve">Catch logbook number (Fangstdagbok (nummer))</w:t>
      </w:r>
    </w:p>
    <w:p>
      <w:pPr>
        <w:pStyle w:val="Normal"/>
        <w:spacing w:after="120"/>
      </w:pPr>
      <w:r>
        <w:rPr>
          <w:sz w:val="22"/>
          <w:szCs w:val="22"/>
        </w:rPr>
        <w:t xml:space="preserve">Catch logbook number — the number printed on the physical logbook. Not completely filled in. After the transition to electronic catch logbooks, the field for these vessels is filled in with 99999 or a similar standard number, as there is no logbook number for an electronic logbook.</w:t>
      </w:r>
    </w:p>
    <w:p>
      <w:pPr>
        <w:pStyle w:val="Heading2"/>
      </w:pPr>
      <w:r>
        <w:t xml:space="preserve">Catch logbook trip number (Fangstdagbok (turnummer))</w:t>
      </w:r>
    </w:p>
    <w:p>
      <w:pPr>
        <w:pStyle w:val="Normal"/>
        <w:spacing w:after="120"/>
      </w:pPr>
      <w:r>
        <w:rPr>
          <w:sz w:val="22"/>
          <w:szCs w:val="22"/>
        </w:rPr>
        <w:t xml:space="preserve">The trip number from the catch logbook. Not completely filled in. The electronic catch logbook does not contain the concept of a trip number. It is therefore not possible to link a sales note to the electronic catch logbook using this field.</w:t>
      </w:r>
    </w:p>
    <w:p>
      <w:pPr>
        <w:pStyle w:val="Heading2"/>
      </w:pPr>
      <w:r>
        <w:t xml:space="preserve">Landing date (Landingsdato)</w:t>
      </w:r>
    </w:p>
    <w:p>
      <w:pPr>
        <w:pStyle w:val="Normal"/>
        <w:spacing w:after="120"/>
      </w:pPr>
      <w:r>
        <w:rPr>
          <w:sz w:val="22"/>
          <w:szCs w:val="22"/>
        </w:rPr>
        <w:t xml:space="preserve">Landing date — the day the landing is completed. The information is complete. In some cases it may contain the sales date instead of the actual landing date. NB: the landing year may differ from the catch year.</w:t>
      </w:r>
    </w:p>
    <w:p>
      <w:pPr>
        <w:pStyle w:val="Heading2"/>
      </w:pPr>
      <w:r>
        <w:t xml:space="preserve">Landing time (Landingsklokkeslett)</w:t>
      </w:r>
    </w:p>
    <w:p>
      <w:pPr>
        <w:pStyle w:val="Normal"/>
        <w:spacing w:after="120"/>
      </w:pPr>
      <w:r>
        <w:rPr>
          <w:sz w:val="22"/>
          <w:szCs w:val="22"/>
        </w:rPr>
        <w:t xml:space="preserve">Local-time clock time when landing was completed (hours, minutes).</w:t>
      </w:r>
    </w:p>
    <w:p>
      <w:pPr>
        <w:pStyle w:val="Heading2"/>
      </w:pPr>
      <w:r>
        <w:t xml:space="preserve">Landing month (code) — Landingsmåned (kode)</w:t>
      </w:r>
    </w:p>
    <w:p>
      <w:pPr>
        <w:pStyle w:val="Normal"/>
        <w:spacing w:after="120"/>
      </w:pPr>
      <w:r>
        <w:rPr>
          <w:sz w:val="22"/>
          <w:szCs w:val="22"/>
        </w:rPr>
        <w:t xml:space="preserve">Landing month given as a number.</w:t>
      </w:r>
    </w:p>
    <w:p>
      <w:pPr>
        <w:pStyle w:val="Heading2"/>
      </w:pPr>
      <w:r>
        <w:t xml:space="preserve">Landing month — display text (Landingsmåned)</w:t>
      </w:r>
    </w:p>
    <w:p>
      <w:pPr>
        <w:pStyle w:val="Normal"/>
        <w:spacing w:after="120"/>
      </w:pPr>
      <w:r>
        <w:rPr>
          <w:sz w:val="22"/>
          <w:szCs w:val="22"/>
        </w:rPr>
        <w:t xml:space="preserve">Name of the landing month.</w:t>
      </w:r>
    </w:p>
    <w:p>
      <w:pPr>
        <w:pStyle w:val="Heading2"/>
      </w:pPr>
      <w:r>
        <w:t xml:space="preserve">Landing timestamp (Landingstidspunkt)</w:t>
      </w:r>
    </w:p>
    <w:p>
      <w:pPr>
        <w:pStyle w:val="Normal"/>
        <w:spacing w:after="120"/>
      </w:pPr>
      <w:r>
        <w:rPr>
          <w:sz w:val="22"/>
          <w:szCs w:val="22"/>
        </w:rPr>
        <w:t xml:space="preserve">Landing date and time combined.</w:t>
      </w:r>
    </w:p>
    <w:p>
      <w:pPr>
        <w:pStyle w:val="Heading2"/>
      </w:pPr>
      <w:r>
        <w:t xml:space="preserve">Partial landing (signal) — Dellanding (signal)</w:t>
      </w:r>
    </w:p>
    <w:p>
      <w:pPr>
        <w:pStyle w:val="Normal"/>
        <w:spacing w:after="120"/>
      </w:pPr>
      <w:r>
        <w:rPr>
          <w:sz w:val="22"/>
          <w:szCs w:val="22"/>
        </w:rPr>
        <w:t xml:space="preserve">Code indicating whether the fishing trip is covered by one or more sales notes. 0 = no partial delivery (there is only one sales note for this trip); 1 = partial delivery (there are at least two sales notes for this trip). Uncertain quality.</w:t>
      </w:r>
    </w:p>
    <w:p>
      <w:pPr>
        <w:pStyle w:val="Heading2"/>
      </w:pPr>
      <w:r>
        <w:t xml:space="preserve">Next receiving facility (Neste mottaksstasjon)</w:t>
      </w:r>
    </w:p>
    <w:p>
      <w:pPr>
        <w:pStyle w:val="Normal"/>
        <w:spacing w:after="120"/>
      </w:pPr>
      <w:r>
        <w:rPr>
          <w:sz w:val="22"/>
          <w:szCs w:val="22"/>
        </w:rPr>
        <w:t xml:space="preserve">Used in the case of partial delivery; code indicating the physical facility that is the next landing place. Given as the Norwegian Food Safety Authority’s approval number. Uncertain quality.</w:t>
      </w:r>
    </w:p>
    <w:p>
      <w:pPr>
        <w:pStyle w:val="Heading2"/>
      </w:pPr>
      <w:r>
        <w:t xml:space="preserve">Previous receiving facility (Forrige mottakstasjon)</w:t>
      </w:r>
    </w:p>
    <w:p>
      <w:pPr>
        <w:pStyle w:val="Normal"/>
        <w:spacing w:after="120"/>
      </w:pPr>
      <w:r>
        <w:rPr>
          <w:sz w:val="22"/>
          <w:szCs w:val="22"/>
        </w:rPr>
        <w:t xml:space="preserve">Used in the case of partial delivery; code indicating the physical facility that was the previous landing place. Given as the Norwegian Food Safety Authority’s approval number. Uncertain quality.</w:t>
      </w:r>
    </w:p>
    <w:p>
      <w:pPr>
        <w:pStyle w:val="Heading2"/>
      </w:pPr>
      <w:r>
        <w:t xml:space="preserve">Line number (Linjenummer)</w:t>
      </w:r>
    </w:p>
    <w:p>
      <w:pPr>
        <w:pStyle w:val="Normal"/>
        <w:spacing w:after="120"/>
      </w:pPr>
      <w:r>
        <w:rPr>
          <w:sz w:val="22"/>
          <w:szCs w:val="22"/>
        </w:rPr>
        <w:t xml:space="preserve">Line-item number in the document. The information is complete.</w:t>
      </w:r>
    </w:p>
    <w:p>
      <w:pPr>
        <w:pStyle w:val="Heading2"/>
      </w:pPr>
      <w:r>
        <w:t xml:space="preserve">Species — FDIR (code) — Art - FDIR (kode)</w:t>
      </w:r>
    </w:p>
    <w:p>
      <w:pPr>
        <w:pStyle w:val="Normal"/>
        <w:spacing w:after="120"/>
      </w:pPr>
      <w:r>
        <w:rPr>
          <w:sz w:val="22"/>
          <w:szCs w:val="22"/>
        </w:rPr>
        <w:t xml:space="preserve">Code for species in the Directorate of Fisheries’ code list. The information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Lamprey (Niøye)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Pike (Gjedde)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Other freshwater bream</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Carp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Tench</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Crucian carp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0107</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Roach</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0108</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Burbot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0109</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Perch</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Pike-perch / zander</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0112</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Sturgeon, unspecified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0113</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Allis shad</w:t>
            </w:r>
          </w:p>
        </w:tc>
      </w:tr>
    </w:tbl>
    <w:p>
      <w:pPr>
        <w:spacing w:after="160"/>
      </w:pPr>
      <w:r>
        <w:rPr>
          <w:i/>
          <w:iCs/>
          <w:color w:val="666666"/>
          <w:sz w:val="22"/>
          <w:szCs w:val="22"/>
        </w:rPr>
        <w:t xml:space="preserve">(Extract — 12 codes are listed in the source document.)</w:t>
      </w:r>
    </w:p>
    <w:p>
      <w:pPr>
        <w:pStyle w:val="Heading2"/>
      </w:pPr>
      <w:r>
        <w:t xml:space="preserve">Species — FDIR — display text (Art - FDIR)</w:t>
      </w:r>
    </w:p>
    <w:p>
      <w:pPr>
        <w:pStyle w:val="Normal"/>
        <w:spacing w:after="120"/>
      </w:pPr>
      <w:r>
        <w:rPr>
          <w:sz w:val="22"/>
          <w:szCs w:val="22"/>
        </w:rPr>
        <w:t xml:space="preserve">Species name in accordance with the Directorate of Fisheries’ code list.</w:t>
      </w:r>
    </w:p>
    <w:p>
      <w:pPr>
        <w:pStyle w:val="Heading2"/>
      </w:pPr>
      <w:r>
        <w:t xml:space="preserve">Species (code) — Art (kode)</w:t>
      </w:r>
    </w:p>
    <w:p>
      <w:pPr>
        <w:pStyle w:val="Normal"/>
        <w:spacing w:after="120"/>
      </w:pPr>
      <w:r>
        <w:rPr>
          <w:sz w:val="22"/>
          <w:szCs w:val="22"/>
        </w:rPr>
        <w:t xml:space="preserve">This is a consolidation of species from the Directorate of Fisheries’ code list. Most species in the code list are also present at this level, but some have been combined and shown as a group. The background for introducing this level is that some species in the code list are used differently by different fish sales organisations.</w:t>
      </w:r>
    </w:p>
    <w:p>
      <w:pPr>
        <w:pStyle w:val="Heading2"/>
      </w:pPr>
      <w:r>
        <w:t xml:space="preserve">Species — display text (Art)</w:t>
      </w:r>
    </w:p>
    <w:p>
      <w:pPr>
        <w:pStyle w:val="Normal"/>
        <w:spacing w:after="120"/>
      </w:pPr>
      <w:r>
        <w:rPr>
          <w:sz w:val="22"/>
          <w:szCs w:val="22"/>
        </w:rPr>
        <w:t xml:space="preserve">Display text for the consolidated species code, as described above.</w:t>
      </w:r>
    </w:p>
    <w:p>
      <w:pPr>
        <w:pStyle w:val="Heading2"/>
      </w:pPr>
      <w:r>
        <w:t xml:space="preserve">Species group (code) — Art - gruppe (kode)</w:t>
      </w:r>
    </w:p>
    <w:p>
      <w:pPr>
        <w:pStyle w:val="Normal"/>
        <w:spacing w:after="120"/>
      </w:pPr>
      <w:r>
        <w:rPr>
          <w:sz w:val="22"/>
          <w:szCs w:val="22"/>
        </w:rPr>
        <w:t xml:space="preserve">Code for groups of species.</w:t>
      </w:r>
    </w:p>
    <w:p>
      <w:pPr>
        <w:pStyle w:val="Heading2"/>
      </w:pPr>
      <w:r>
        <w:t xml:space="preserve">Species group — display text (Art - gruppe)</w:t>
      </w:r>
    </w:p>
    <w:p>
      <w:pPr>
        <w:pStyle w:val="Normal"/>
        <w:spacing w:after="120"/>
      </w:pPr>
      <w:r>
        <w:rPr>
          <w:sz w:val="22"/>
          <w:szCs w:val="22"/>
        </w:rPr>
        <w:t xml:space="preserve">Display text for the species-group code.</w:t>
      </w:r>
    </w:p>
    <w:p>
      <w:pPr>
        <w:pStyle w:val="Heading2"/>
      </w:pPr>
      <w:r>
        <w:t xml:space="preserve">Species main group (code) — Art - hovedgruppe (kode)</w:t>
      </w:r>
    </w:p>
    <w:p>
      <w:pPr>
        <w:pStyle w:val="Normal"/>
        <w:spacing w:after="120"/>
      </w:pPr>
      <w:r>
        <w:rPr>
          <w:sz w:val="22"/>
          <w:szCs w:val="22"/>
        </w:rPr>
        <w:t xml:space="preserve">Code for main group of species.</w:t>
      </w:r>
    </w:p>
    <w:p>
      <w:pPr>
        <w:pStyle w:val="Heading2"/>
      </w:pPr>
      <w:r>
        <w:t xml:space="preserve">Species main group — display text (Art - hovedgruppe)</w:t>
      </w:r>
    </w:p>
    <w:p>
      <w:pPr>
        <w:pStyle w:val="Normal"/>
        <w:spacing w:after="120"/>
      </w:pPr>
      <w:r>
        <w:rPr>
          <w:sz w:val="22"/>
          <w:szCs w:val="22"/>
        </w:rPr>
        <w:t xml:space="preserve">Name of the main group of species.</w:t>
      </w:r>
    </w:p>
    <w:p>
      <w:pPr>
        <w:pStyle w:val="Heading2"/>
      </w:pPr>
      <w:r>
        <w:t xml:space="preserve">Species FAO (code) — Art FAO (kode)</w:t>
      </w:r>
    </w:p>
    <w:p>
      <w:pPr>
        <w:pStyle w:val="Normal"/>
        <w:spacing w:after="120"/>
      </w:pPr>
      <w:r>
        <w:rPr>
          <w:sz w:val="22"/>
          <w:szCs w:val="22"/>
        </w:rPr>
        <w:t xml:space="preserve">Species codes taken from the FAO code list (Food and Agriculture Organization of the United Nations).</w:t>
      </w:r>
    </w:p>
    <w:p>
      <w:pPr>
        <w:pStyle w:val="Heading2"/>
      </w:pPr>
      <w:r>
        <w:t xml:space="preserve">Species FAO — display text (Art FAO)</w:t>
      </w:r>
    </w:p>
    <w:p>
      <w:pPr>
        <w:pStyle w:val="Normal"/>
        <w:spacing w:after="120"/>
      </w:pPr>
      <w:r>
        <w:rPr>
          <w:sz w:val="22"/>
          <w:szCs w:val="22"/>
        </w:rPr>
        <w:t xml:space="preserve">Species name in accordance with the FAO code list.</w:t>
      </w:r>
    </w:p>
    <w:p>
      <w:pPr>
        <w:pStyle w:val="Heading2"/>
      </w:pPr>
      <w:r>
        <w:t xml:space="preserve">Product state (code) — Produkttilstand (kode)</w:t>
      </w:r>
    </w:p>
    <w:p>
      <w:pPr>
        <w:pStyle w:val="Normal"/>
        <w:spacing w:after="120"/>
      </w:pPr>
      <w:r>
        <w:rPr>
          <w:sz w:val="22"/>
          <w:szCs w:val="22"/>
        </w:rPr>
        <w:t xml:space="preserve">Code for product state. This refers to the state of the fish as it is when landed and indicates whether the fish is whole, or the degree of change from whole raw fish. Product state also includes the various by-products of the fish that are landed. The information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Live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110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Round (whole)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Headed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112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Round with roe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115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Wet state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210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Gutted with head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Gutted without head, round cut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212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Gutted without head, without ear-bone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213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Gutted without head, without tail</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214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Gutted without head, straight cut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215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Gutted without head, without belly</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216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Gutted with head and without tail</w:t>
            </w:r>
          </w:p>
        </w:tc>
      </w:tr>
    </w:tbl>
    <w:p>
      <w:pPr>
        <w:spacing w:after="160"/>
      </w:pPr>
      <w:r>
        <w:rPr>
          <w:i/>
          <w:iCs/>
          <w:color w:val="666666"/>
          <w:sz w:val="22"/>
          <w:szCs w:val="22"/>
        </w:rPr>
        <w:t xml:space="preserve">(Extract — 12 codes are listed in the source document.)</w:t>
      </w:r>
    </w:p>
    <w:p>
      <w:pPr>
        <w:pStyle w:val="Heading2"/>
      </w:pPr>
      <w:r>
        <w:t xml:space="preserve">Product state — display text (Produkttilstand)</w:t>
      </w:r>
    </w:p>
    <w:p>
      <w:pPr>
        <w:pStyle w:val="Normal"/>
        <w:spacing w:after="120"/>
      </w:pPr>
      <w:r>
        <w:rPr>
          <w:sz w:val="22"/>
          <w:szCs w:val="22"/>
        </w:rPr>
        <w:t xml:space="preserve">Display text for product state.</w:t>
      </w:r>
    </w:p>
    <w:p>
      <w:pPr>
        <w:pStyle w:val="Heading2"/>
      </w:pPr>
      <w:r>
        <w:t xml:space="preserve">Preservation method (code) — Konserveringsmåte (kode)</w:t>
      </w:r>
    </w:p>
    <w:p>
      <w:pPr>
        <w:pStyle w:val="Normal"/>
        <w:spacing w:after="120"/>
      </w:pPr>
      <w:r>
        <w:rPr>
          <w:sz w:val="22"/>
          <w:szCs w:val="22"/>
        </w:rPr>
        <w:t xml:space="preserve">Code for preservation method. Indicates how the fish is preserved at the time of landing/delivery — e.g. fresh, frozen, dried, salted, etc. Relatively large shares are recorded as unspecified. One large sales organisation used essentially only the code for ‘unspecified’ for many years. Quality has improved in more recent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Unspecified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Ensiled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02</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Fresh / unpreserved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03</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Fresh, brine-boiled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04</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Fresh, sea-boiled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05</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Frozen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06</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Frozen, brine-boiled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07</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Frozen, sea-boiled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08</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Cured / gravlax</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09</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Iced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RFW (refrigerated fresh water)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RSW (refrigerated sea water)</w:t>
            </w:r>
          </w:p>
        </w:tc>
      </w:tr>
    </w:tbl>
    <w:p>
      <w:pPr>
        <w:spacing w:after="160"/>
      </w:pPr>
      <w:r>
        <w:rPr>
          <w:i/>
          <w:iCs/>
          <w:color w:val="666666"/>
          <w:sz w:val="22"/>
          <w:szCs w:val="22"/>
        </w:rPr>
        <w:t xml:space="preserve">(Extract — 12 codes are listed in the source document.)</w:t>
      </w:r>
    </w:p>
    <w:p>
      <w:pPr>
        <w:pStyle w:val="Heading2"/>
      </w:pPr>
      <w:r>
        <w:t xml:space="preserve">Preservation method — display text (Konserveringsmåte)</w:t>
      </w:r>
    </w:p>
    <w:p>
      <w:pPr>
        <w:pStyle w:val="Normal"/>
        <w:spacing w:after="120"/>
      </w:pPr>
      <w:r>
        <w:rPr>
          <w:sz w:val="22"/>
          <w:szCs w:val="22"/>
        </w:rPr>
        <w:t xml:space="preserve">Display text for preservation method.</w:t>
      </w:r>
    </w:p>
    <w:p>
      <w:pPr>
        <w:pStyle w:val="Heading2"/>
      </w:pPr>
      <w:r>
        <w:t xml:space="preserve">Landing method (code) — Landingsmåte (kode)</w:t>
      </w:r>
    </w:p>
    <w:p>
      <w:pPr>
        <w:pStyle w:val="Normal"/>
        <w:spacing w:after="120"/>
      </w:pPr>
      <w:r>
        <w:rPr>
          <w:sz w:val="22"/>
          <w:szCs w:val="22"/>
        </w:rPr>
        <w:t xml:space="preserve">Code for delivery/landing method. Indicates how the fish is stored at the time of landing/delivery — e.g. whether it is in boxes, packaged, delivered in tank, in a pen,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In pen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In sea-cage, force-fed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Tank / lorry</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Tub / container</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Container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Collection vessel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From sea-cage, without feeding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Bulk</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Tank / boat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Boxes / barrels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Well boat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Kvase (live-fish vessel)</w:t>
            </w:r>
          </w:p>
        </w:tc>
      </w:tr>
    </w:tbl>
    <w:p>
      <w:pPr>
        <w:spacing w:after="160"/>
      </w:pPr>
      <w:r>
        <w:rPr>
          <w:i/>
          <w:iCs/>
          <w:color w:val="666666"/>
          <w:sz w:val="22"/>
          <w:szCs w:val="22"/>
        </w:rPr>
        <w:t xml:space="preserve">(Extract — 12 codes are listed in the source document.)</w:t>
      </w:r>
    </w:p>
    <w:p>
      <w:pPr>
        <w:pStyle w:val="Heading2"/>
      </w:pPr>
      <w:r>
        <w:t xml:space="preserve">Landing method — display text (Landingsmåte)</w:t>
      </w:r>
    </w:p>
    <w:p>
      <w:pPr>
        <w:pStyle w:val="Normal"/>
        <w:spacing w:after="120"/>
      </w:pPr>
      <w:r>
        <w:rPr>
          <w:sz w:val="22"/>
          <w:szCs w:val="22"/>
        </w:rPr>
        <w:t xml:space="preserve">Display text for landing method.</w:t>
      </w:r>
    </w:p>
    <w:p>
      <w:pPr>
        <w:pStyle w:val="Heading2"/>
      </w:pPr>
      <w:r>
        <w:t xml:space="preserve">Quality (code) — Kvalitet (kode)</w:t>
      </w:r>
    </w:p>
    <w:p>
      <w:pPr>
        <w:pStyle w:val="Normal"/>
        <w:spacing w:after="120"/>
      </w:pPr>
      <w:r>
        <w:rPr>
          <w:sz w:val="22"/>
          <w:szCs w:val="22"/>
        </w:rPr>
        <w:t xml:space="preserve">Code for quality. An assessment and classification of the fish based on buyers’ local assessments within each sales-organisation district. The definition of quality is not standardised. Codes must be adapted to each sales organisation’s quality concept. In different sales-organisation regions, different terms are traditionally used for the same quality grade. This variable is not used for the pelagic sector — only the code for ‘unspecified’ is used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Extra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Prima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12</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Superior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Blank</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30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Sekunda</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32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Africa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Frost-damaged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34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Yellow</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Production roe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36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Broken crab</w:t>
            </w:r>
          </w:p>
        </w:tc>
      </w:tr>
    </w:tbl>
    <w:p>
      <w:pPr>
        <w:spacing w:after="160"/>
      </w:pPr>
      <w:r>
        <w:rPr>
          <w:i/>
          <w:iCs/>
          <w:color w:val="666666"/>
          <w:sz w:val="22"/>
          <w:szCs w:val="22"/>
        </w:rPr>
        <w:t xml:space="preserve">(Extract — 12 codes are listed in the source document.)</w:t>
      </w:r>
    </w:p>
    <w:p>
      <w:pPr>
        <w:pStyle w:val="Heading2"/>
      </w:pPr>
      <w:r>
        <w:t xml:space="preserve">Quality — display text (Kvalitet)</w:t>
      </w:r>
    </w:p>
    <w:p>
      <w:pPr>
        <w:pStyle w:val="Normal"/>
        <w:spacing w:after="120"/>
      </w:pPr>
      <w:r>
        <w:rPr>
          <w:sz w:val="22"/>
          <w:szCs w:val="22"/>
        </w:rPr>
        <w:t xml:space="preserve">Display text for quality.</w:t>
      </w:r>
    </w:p>
    <w:p>
      <w:pPr>
        <w:pStyle w:val="Heading2"/>
      </w:pPr>
      <w:r>
        <w:t xml:space="preserve">Size grouping (code) — Størrelsesgruppering (kode)</w:t>
      </w:r>
    </w:p>
    <w:p>
      <w:pPr>
        <w:pStyle w:val="Normal"/>
        <w:spacing w:after="120"/>
      </w:pPr>
      <w:r>
        <w:rPr>
          <w:sz w:val="22"/>
          <w:szCs w:val="22"/>
        </w:rPr>
        <w:t xml:space="preserve">Code for size/grade. Indicates the size sorting used in the commercial market. The code consists of 7 digits: the first digit gives the code for the size-registration method; the next three digits give the lower limit for the size; and the last three digits give the upper limit. Possible registration methods are given in the code table. There is no harmonisation in the use of this field. Each sales organisation has its own size groupings, and these may further vary by product type and between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Pieces per kg method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Millimetre method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Unspecified size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4</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Hectogram method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Mixed (from in mm, to in hg)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6</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Mixed (from in hg, to in mm)</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7</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Gram method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8</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Metre method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9</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Kilogram method</w:t>
            </w:r>
          </w:p>
        </w:tc>
      </w:tr>
    </w:tbl>
    <w:p/>
    <w:p>
      <w:pPr>
        <w:pStyle w:val="Heading2"/>
      </w:pPr>
      <w:r>
        <w:t xml:space="preserve">Use / application (code) — Anvendelse (kode)</w:t>
      </w:r>
    </w:p>
    <w:p>
      <w:pPr>
        <w:pStyle w:val="Normal"/>
        <w:spacing w:after="120"/>
      </w:pPr>
      <w:r>
        <w:rPr>
          <w:sz w:val="22"/>
          <w:szCs w:val="22"/>
        </w:rPr>
        <w:t xml:space="preserve">Code indicating the intended use of the product (intended application) at the time of sale. No subsequent update is made in relation to actual use, even if this turns out to differ from the intended use. Quality is somewhat poor at the detail level. It should primarily be used to distinguish between consumption / non-consumption using grouping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Code</w:t>
            </w:r>
          </w:p>
        </w:tc>
        <w:tc>
          <w:tcPr>
            <w:tcW w:type="dxa" w:w="75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b/>
                <w:bCs/>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090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Aquaculture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091</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Delousing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Fresh (consumption)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110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Fresh, export (incl. icing)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Fresh, domestic (incl. icing)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112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Fresh, cleaning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120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Fresh fillet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130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Fresh, bait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200</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Freezing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210</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Round-freezing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211</w:t>
            </w:r>
          </w:p>
        </w:tc>
        <w:tc>
          <w:tcPr>
            <w:tcW w:type="dxa" w:w="7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0"/>
                <w:szCs w:val="20"/>
              </w:rPr>
              <w:t xml:space="preserve">Freezing, consumption, export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Courier New" w:cs="Courier New" w:eastAsia="Courier New" w:hAnsi="Courier New"/>
                <w:sz w:val="20"/>
                <w:szCs w:val="20"/>
              </w:rPr>
              <w:t xml:space="preserve">212</w:t>
            </w:r>
          </w:p>
        </w:tc>
        <w:tc>
          <w:tcPr>
            <w:tcW w:type="dxa" w:w="75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sz w:val="20"/>
                <w:szCs w:val="20"/>
              </w:rPr>
              <w:t xml:space="preserve">Freezing, consumption, domestic</w:t>
            </w:r>
          </w:p>
        </w:tc>
      </w:tr>
    </w:tbl>
    <w:p>
      <w:pPr>
        <w:spacing w:after="160"/>
      </w:pPr>
      <w:r>
        <w:rPr>
          <w:i/>
          <w:iCs/>
          <w:color w:val="666666"/>
          <w:sz w:val="22"/>
          <w:szCs w:val="22"/>
        </w:rPr>
        <w:t xml:space="preserve">(Extract — 12 codes are listed in the source document.)</w:t>
      </w:r>
    </w:p>
    <w:p>
      <w:pPr>
        <w:pStyle w:val="Heading2"/>
      </w:pPr>
      <w:r>
        <w:t xml:space="preserve">Use / application — display text (Anvendelse)</w:t>
      </w:r>
    </w:p>
    <w:p>
      <w:pPr>
        <w:pStyle w:val="Normal"/>
        <w:spacing w:after="120"/>
      </w:pPr>
      <w:r>
        <w:rPr>
          <w:sz w:val="22"/>
          <w:szCs w:val="22"/>
        </w:rPr>
        <w:t xml:space="preserve">Display text / detailed description for the intended-use code of the catch/product.</w:t>
      </w:r>
    </w:p>
    <w:p>
      <w:pPr>
        <w:pStyle w:val="Heading2"/>
      </w:pPr>
      <w:r>
        <w:t xml:space="preserve">Use / application main group (code) — Anvendelse hovedgruppe (kode)</w:t>
      </w:r>
    </w:p>
    <w:p>
      <w:pPr>
        <w:pStyle w:val="Normal"/>
        <w:spacing w:after="120"/>
      </w:pPr>
      <w:r>
        <w:rPr>
          <w:sz w:val="22"/>
          <w:szCs w:val="22"/>
        </w:rPr>
        <w:t xml:space="preserve">Code for the grouping of intended use of the catch/product.</w:t>
      </w:r>
    </w:p>
    <w:p>
      <w:pPr>
        <w:pStyle w:val="Heading2"/>
      </w:pPr>
      <w:r>
        <w:t xml:space="preserve">Use / application main group — display text (Anvendelse hovedgruppe)</w:t>
      </w:r>
    </w:p>
    <w:p>
      <w:pPr>
        <w:pStyle w:val="Normal"/>
        <w:spacing w:after="120"/>
      </w:pPr>
      <w:r>
        <w:rPr>
          <w:sz w:val="22"/>
          <w:szCs w:val="22"/>
        </w:rPr>
        <w:t xml:space="preserve">Display text / description for the main-group code for intended use.</w:t>
      </w:r>
    </w:p>
    <w:p>
      <w:pPr>
        <w:pStyle w:val="Heading2"/>
      </w:pPr>
      <w:r>
        <w:t xml:space="preserve">Number of pieces (Antall stykk)</w:t>
      </w:r>
    </w:p>
    <w:p>
      <w:pPr>
        <w:pStyle w:val="Normal"/>
        <w:spacing w:after="120"/>
      </w:pPr>
      <w:r>
        <w:rPr>
          <w:sz w:val="22"/>
          <w:szCs w:val="22"/>
        </w:rPr>
        <w:t xml:space="preserve">Number of fish delivered. For some fisheries the number of pieces must be specified on the note. Not complete information. Varying quality over time.</w:t>
      </w:r>
    </w:p>
    <w:p>
      <w:pPr>
        <w:pStyle w:val="Heading2"/>
      </w:pPr>
      <w:r>
        <w:t xml:space="preserve">Gross weight (Bruttovekt)</w:t>
      </w:r>
    </w:p>
    <w:p>
      <w:pPr>
        <w:pStyle w:val="Normal"/>
        <w:spacing w:after="120"/>
      </w:pPr>
      <w:r>
        <w:rPr>
          <w:sz w:val="22"/>
          <w:szCs w:val="22"/>
        </w:rPr>
        <w:t xml:space="preserve">Gross weight in kg shows the total weight of fish with water, packaging and pallets. Introduced in 2004 but not fully used in the first years. Quality also somewhat uncertain in later years. In 2013, an automatic check was introduced ensuring technically correct completion of the field (i.e. it must have a value greater than or equal to the product weight on the same line item).</w:t>
      </w:r>
    </w:p>
    <w:p>
      <w:pPr>
        <w:pStyle w:val="Heading2"/>
      </w:pPr>
      <w:r>
        <w:t xml:space="preserve">Product weight (Produktvekt)</w:t>
      </w:r>
    </w:p>
    <w:p>
      <w:pPr>
        <w:pStyle w:val="Normal"/>
        <w:spacing w:after="120"/>
      </w:pPr>
      <w:r>
        <w:rPr>
          <w:sz w:val="22"/>
          <w:szCs w:val="22"/>
        </w:rPr>
        <w:t xml:space="preserve">Quantity in net product weight in kg. The information is complete.</w:t>
      </w:r>
    </w:p>
    <w:p>
      <w:pPr>
        <w:pStyle w:val="Heading2"/>
      </w:pPr>
      <w:r>
        <w:t xml:space="preserve">Product weight over quota (Produktvekt over kvote)</w:t>
      </w:r>
    </w:p>
    <w:p>
      <w:pPr>
        <w:pStyle w:val="Normal"/>
        <w:spacing w:after="120"/>
      </w:pPr>
      <w:r>
        <w:rPr>
          <w:sz w:val="22"/>
          <w:szCs w:val="22"/>
        </w:rPr>
        <w:t xml:space="preserve">Quantity over quota in kg product weight. Calculated as part of the sales organisations’ control activities. This also covers quantities ruled unlawful by the fisheries authorities. The value of quantity over quota is to be confiscated. (The quantity in this field is not to change the content of the Product Weight field.) Not completely filled in.</w:t>
      </w:r>
    </w:p>
    <w:p>
      <w:pPr>
        <w:pStyle w:val="Heading2"/>
      </w:pPr>
      <w:r>
        <w:t xml:space="preserve">Live weight over quota (Rundvekt over kvote)</w:t>
      </w:r>
    </w:p>
    <w:p>
      <w:pPr>
        <w:pStyle w:val="Normal"/>
        <w:spacing w:after="120"/>
      </w:pPr>
      <w:r>
        <w:rPr>
          <w:sz w:val="22"/>
          <w:szCs w:val="22"/>
        </w:rPr>
        <w:t xml:space="preserve">Quantity over quota in live weight. Product weight over quota × applicable conversion factor. Not completely filled in.</w:t>
      </w:r>
    </w:p>
    <w:p>
      <w:pPr>
        <w:pStyle w:val="Heading2"/>
      </w:pPr>
      <w:r>
        <w:t xml:space="preserve">Live weight (Rundvekt)</w:t>
      </w:r>
    </w:p>
    <w:p>
      <w:pPr>
        <w:pStyle w:val="Normal"/>
        <w:spacing w:after="120"/>
      </w:pPr>
      <w:r>
        <w:rPr>
          <w:sz w:val="22"/>
          <w:szCs w:val="22"/>
        </w:rPr>
        <w:t xml:space="preserve">Live weight in kg, also referred to as the fish’s live weight. Calculated as Product Weight × applicable conversion factor. Will be 0 for by-products.</w:t>
      </w:r>
    </w:p>
    <w:p>
      <w:pPr>
        <w:pStyle w:val="Heading2"/>
      </w:pPr>
      <w:r>
        <w:t xml:space="preserve">Unit price for buyer (Enhetspris for kjøper)</w:t>
      </w:r>
    </w:p>
    <w:p>
      <w:pPr>
        <w:pStyle w:val="Normal"/>
        <w:spacing w:after="120"/>
      </w:pPr>
      <w:r>
        <w:rPr>
          <w:sz w:val="22"/>
          <w:szCs w:val="22"/>
        </w:rPr>
        <w:t xml:space="preserve">The buyer’s price per unit of measure — the price the buyer pays for the goods. Will be 0 on all landing notes. There may also be sales notes with price 0. Not complete for all sales organisations back in time. Data for the last 12 months (rolling) is defined as sensitive information and is not included in the dataset.</w:t>
      </w:r>
    </w:p>
    <w:p>
      <w:pPr>
        <w:pStyle w:val="Heading2"/>
      </w:pPr>
      <w:r>
        <w:t xml:space="preserve">Amount for buyer (Beløp for kjøper)</w:t>
      </w:r>
    </w:p>
    <w:p>
      <w:pPr>
        <w:pStyle w:val="Normal"/>
        <w:spacing w:after="120"/>
      </w:pPr>
      <w:r>
        <w:rPr>
          <w:sz w:val="22"/>
          <w:szCs w:val="22"/>
        </w:rPr>
        <w:t xml:space="preserve">Line-item amount for the buyer — what the buyer has paid for the given quantity of fish. The amount is a product of the product-weight quantity and the buyer’s unit price. VAT is not to be deducted. Will be 0 on all landing notes. There may also be sales notes with value 0. Not complete for all sales organisations back in time. Data for the last 12 months (rolling) is sensitive and is not included in the dataset.</w:t>
      </w:r>
    </w:p>
    <w:p>
      <w:pPr>
        <w:pStyle w:val="Heading2"/>
      </w:pPr>
      <w:r>
        <w:t xml:space="preserve">Unit price for fisher (Enhetspris for fisker)</w:t>
      </w:r>
    </w:p>
    <w:p>
      <w:pPr>
        <w:pStyle w:val="Normal"/>
        <w:spacing w:after="120"/>
      </w:pPr>
      <w:r>
        <w:rPr>
          <w:sz w:val="22"/>
          <w:szCs w:val="22"/>
        </w:rPr>
        <w:t xml:space="preserve">The fisher’s price per unit of measure — the price the fisher receives for the goods, before sales-organisation fees are deducted. The price to the fisher will normally equal the price the buyer must pay. Exceptions are when a price equalisation is made between fishers, and when landings take place abroad, where the fisher may be required to bear a larger share of the offloading costs than in Norwegian conditions. Will be 0 on all landing notes. There may also be sales notes with price 0. Data for the last 12 months (rolling) is sensitive and is not included in the dataset.</w:t>
      </w:r>
    </w:p>
    <w:p>
      <w:pPr>
        <w:pStyle w:val="Heading2"/>
      </w:pPr>
      <w:r>
        <w:t xml:space="preserve">Amount for fisher (Beløp for fisker)</w:t>
      </w:r>
    </w:p>
    <w:p>
      <w:pPr>
        <w:pStyle w:val="Normal"/>
        <w:spacing w:after="120"/>
      </w:pPr>
      <w:r>
        <w:rPr>
          <w:sz w:val="22"/>
          <w:szCs w:val="22"/>
        </w:rPr>
        <w:t xml:space="preserve">Line-item amount for the fisher — what the fisher receives for the given quantity of fish landed. The amount is to appear as a product of the product-weight quantity and the fisher’s unit price. VAT is not to be deducted. Will be 0 on all landing notes. There may also be sales notes with value 0. Data for the last 12 months (rolling) is sensitive and is not included in the dataset.</w:t>
      </w:r>
    </w:p>
    <w:p>
      <w:pPr>
        <w:pStyle w:val="Heading2"/>
      </w:pPr>
      <w:r>
        <w:t xml:space="preserve">Support amount (Støttebeløp)</w:t>
      </w:r>
    </w:p>
    <w:p>
      <w:pPr>
        <w:pStyle w:val="Normal"/>
        <w:spacing w:after="120"/>
      </w:pPr>
      <w:r>
        <w:rPr>
          <w:sz w:val="22"/>
          <w:szCs w:val="22"/>
        </w:rPr>
        <w:t xml:space="preserve">Support amount in NOK paid to the fisher. To be specified in NOK excluding VAT per line item. (The amount in this field is not to change the content of the fields Unit Price for Fisher or Amount for Fisher.) Data for the last 12 months (rolling) is sensitive and is not included in the dataset.</w:t>
      </w:r>
    </w:p>
    <w:p>
      <w:pPr>
        <w:pStyle w:val="Heading2"/>
      </w:pPr>
      <w:r>
        <w:t xml:space="preserve">Sales-organisation fee (Lagsavgift)</w:t>
      </w:r>
    </w:p>
    <w:p>
      <w:pPr>
        <w:pStyle w:val="Normal"/>
        <w:spacing w:after="120"/>
      </w:pPr>
      <w:r>
        <w:rPr>
          <w:sz w:val="22"/>
          <w:szCs w:val="22"/>
        </w:rPr>
        <w:t xml:space="preserve">The fee (in NOK) the fisher must pay to the sales organisation. The fee is set by each sales organisation and may vary by product within a sales organisation. Data for the last 12 months (rolling) is sensitive and is not included in the dataset. The information is complete.</w:t>
      </w:r>
    </w:p>
    <w:p>
      <w:pPr>
        <w:pStyle w:val="Heading2"/>
      </w:pPr>
      <w:r>
        <w:t xml:space="preserve">Confiscated catch value (Inndradd fangstverdi)</w:t>
      </w:r>
    </w:p>
    <w:p>
      <w:pPr>
        <w:pStyle w:val="Normal"/>
        <w:spacing w:after="120"/>
      </w:pPr>
      <w:r>
        <w:rPr>
          <w:sz w:val="22"/>
          <w:szCs w:val="22"/>
        </w:rPr>
        <w:t xml:space="preserve">Confiscated catch value in NOK — the value of the catch withheld from the fisher on the basis of a case decision concerning a breach of the Marine Resources Act. (The amount in this field is not to change the content of the fields Unit Price for Fisher or Amount for Fisher.) Data for the last 12 months (rolling) is sensitive and is not included in the dataset. Not completely filled in.</w:t>
      </w:r>
    </w:p>
    <w:p>
      <w:pPr>
        <w:pStyle w:val="Heading2"/>
      </w:pPr>
      <w:r>
        <w:t xml:space="preserve">After-payment (Etterbetaling)</w:t>
      </w:r>
    </w:p>
    <w:p>
      <w:pPr>
        <w:pStyle w:val="Normal"/>
        <w:spacing w:after="120"/>
      </w:pPr>
      <w:r>
        <w:rPr>
          <w:sz w:val="22"/>
          <w:szCs w:val="22"/>
        </w:rPr>
        <w:t xml:space="preserve">After-paid catch value in NOK. Amount paid to the fisher by the sales organisation on the basis of commercial relations between fisher and sales organisation. (The amount in this field is not to change the content of the fields Unit Price for Fisher or Amount for Fisher.) Data for the last 12 months (rolling) is sensitive and is not included in the dataset.</w:t>
      </w:r>
    </w:p>
    <w:p>
      <w:pPr>
        <w:pStyle w:val="Heading2"/>
      </w:pPr>
      <w:r>
        <w:t xml:space="preserve">Catch value (Fangstverdi)</w:t>
      </w:r>
    </w:p>
    <w:p>
      <w:pPr>
        <w:pStyle w:val="Normal"/>
        <w:spacing w:after="120"/>
      </w:pPr>
      <w:r>
        <w:rPr>
          <w:sz w:val="22"/>
          <w:szCs w:val="22"/>
        </w:rPr>
        <w:t xml:space="preserve">From 2018 onwards, catch value has been given a new definition. This was done because we consider that it will give a better picture of value creation in the fishery, and because the new definition is more in line with value concepts used in other contexts.</w:t>
      </w:r>
    </w:p>
    <w:p>
      <w:pPr>
        <w:pStyle w:val="ListParagraph"/>
        <w:numPr>
          <w:ilvl w:val="0"/>
          <w:numId w:val="2"/>
        </w:numPr>
      </w:pPr>
      <w:r>
        <w:rPr>
          <w:sz w:val="22"/>
          <w:szCs w:val="22"/>
        </w:rPr>
        <w:t xml:space="preserve">Definition 2018 onwards: Amount for Fisher + After-payment.</w:t>
      </w:r>
    </w:p>
    <w:p>
      <w:pPr>
        <w:pStyle w:val="ListParagraph"/>
        <w:numPr>
          <w:ilvl w:val="0"/>
          <w:numId w:val="2"/>
        </w:numPr>
      </w:pPr>
      <w:r>
        <w:rPr>
          <w:sz w:val="22"/>
          <w:szCs w:val="22"/>
        </w:rPr>
        <w:t xml:space="preserve">Definition 2000–2017 (paid-out value): Amount for Fisher + Support Amount − Sales-organisation Fee − Confiscated Catch Value + After-payment.</w:t>
      </w:r>
    </w:p>
    <w:p>
      <w:pPr>
        <w:pStyle w:val="Normal"/>
        <w:spacing w:after="120"/>
      </w:pPr>
      <w:r>
        <w:rPr>
          <w:sz w:val="22"/>
          <w:szCs w:val="22"/>
        </w:rPr>
        <w:t xml:space="preserve">Catch value will be 0 on all landing notes. There may also be sales notes with value 0. Data for the last 12 months (rolling) is sensitive and is not included in the dataset.</w:t>
      </w:r>
    </w:p>
    <w:p>
      <w:pPr>
        <w:pStyle w:val="Heading2"/>
      </w:pPr>
      <w:r>
        <w:t xml:space="preserve">Update timestamp (Oppdateringstidspunkt)</w:t>
      </w:r>
    </w:p>
    <w:p>
      <w:pPr>
        <w:pStyle w:val="Normal"/>
        <w:spacing w:after="120"/>
      </w:pPr>
      <w:r>
        <w:rPr>
          <w:sz w:val="22"/>
          <w:szCs w:val="22"/>
        </w:rPr>
        <w:t xml:space="preserve">Time of last update of data. Date and time.</w:t>
      </w:r>
    </w:p>
    <w:p/>
    <w:p>
      <w:pPr>
        <w:pBdr>
          <w:top w:val="single" w:color="BBBBBB" w:sz="4"/>
        </w:pBdr>
        <w:spacing w:before="400"/>
      </w:pPr>
      <w:r>
        <w:rPr>
          <w:i/>
          <w:iCs/>
          <w:color w:val="666666"/>
          <w:sz w:val="22"/>
          <w:szCs w:val="22"/>
        </w:rPr>
        <w:t xml:space="preserve">End of document. English translation of “Samansette driftsdata for fangst (setel) og fartøy”, Norwegian Directorate of Fisheries (Fiskeridirektoratet). In case of ambiguity, the original Norwegian text takes precedence.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Combined Operational Data for Catch and Vessels · English translation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Normal">
    <w:name w:val="Normal"/>
    <w:basedOn w:val="Normal"/>
    <w:qFormat/>
    <w:pPr>
      <w:spacing w:after="120"/>
      <w:jc w:val="both"/>
    </w:pPr>
    <w:rPr>
      <w:rFonts w:ascii="Arial" w:cs="Arial" w:eastAsia="Arial" w:hAnsi="Arial"/>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2026-05-11T17:29:00.083Z</dcterms:created>
  <dcterms:modified xsi:type="dcterms:W3CDTF">2026-05-11T17:29:00.099Z</dcterms:modified>
</cp:coreProperties>
</file>

<file path=docProps/custom.xml><?xml version="1.0" encoding="utf-8"?>
<Properties xmlns="http://schemas.openxmlformats.org/officeDocument/2006/custom-properties" xmlns:vt="http://schemas.openxmlformats.org/officeDocument/2006/docPropsVTypes"/>
</file>