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Helen Foster, held 8 June 2026 at our offices.</w:t>
      </w:r>
    </w:p>
    <w:p>
      <w:r>
        <w:t>Helen confirmed there have been no changes to her circumstances or objectives since last year's review and remains comfortable with a moderate approach to risk.</w:t>
      </w:r>
    </w:p>
    <w:p>
      <w:r>
        <w:t>She would like to move £8,000 from her Holloway cash account into her Stocks &amp; Shares ISA to use this year's allowance.</w:t>
      </w:r>
    </w:p>
    <w:p>
      <w:r>
        <w:t>We agreed she would move £8,000 from the cash account into the Stocks &amp; Shares ISA. No investments are being sold to do this.</w:t>
      </w:r>
    </w:p>
    <w:p>
      <w:r>
        <w:t>Helen has no income requirement from the portfolio.</w:t>
      </w:r>
    </w:p>
    <w:p>
      <w:r>
        <w:t>Next steps: prepare the advice report covering the ISA top-up.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