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George Ashworth, held 20 May 2026.</w:t>
      </w:r>
    </w:p>
    <w:p>
      <w:r>
        <w:t>George confirmed his circumstances and objectives are unchanged and remains comfortable with a moderate approach to risk.</w:t>
      </w:r>
    </w:p>
    <w:p>
      <w:r>
        <w:t>George mentioned he recalled his Stocks &amp; Shares ISA being around £42,000 the last time he checked his statement, though that was some months ago.</w:t>
      </w:r>
    </w:p>
    <w:p>
      <w:r>
        <w:t>He would like to move £6,000 from his Holloway cash account into the ISA to use this year's allowance.</w:t>
      </w:r>
    </w:p>
    <w:p>
      <w:r>
        <w:t>We agreed he would move £6,000 from the cash account into the Stocks &amp; Shares ISA. No investments are being sold.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