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Ian and Priya Walsh, held 30 April 2026.</w:t>
      </w:r>
    </w:p>
    <w:p>
      <w:r>
        <w:t>Both confirmed their circumstances and objectives are unchanged since the last review and remain comfortable with a balanced approach to risk.</w:t>
      </w:r>
    </w:p>
    <w:p>
      <w:r>
        <w:t>We reviewed their Stocks &amp; Shares ISAs and their jointly-held General Investment Account on the Holloway platform.</w:t>
      </w:r>
    </w:p>
    <w:p>
      <w:r>
        <w:t>Neither has any income requirement from the portfolio at present.</w:t>
      </w:r>
    </w:p>
    <w:p>
      <w:r>
        <w:t>We agreed no changes are needed at this time and will review again next year.</w:t>
      </w:r>
    </w:p>
    <w:p>
      <w:r>
        <w:t>Next steps: prepare the annual review report confirming no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