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ISAs (Ian and Priya) and the joint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No changes; continue as invested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Joint clients, individual ISAs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5 (balanced)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