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Nora Whitfield, held 12 May 2026.</w:t>
      </w:r>
    </w:p>
    <w:p>
      <w:r>
        <w:t>Nora confirmed her circumstances and objectives are unchanged and remains comfortable with a moderate approach to risk.</w:t>
      </w:r>
    </w:p>
    <w:p>
      <w:r>
        <w:t>Nora believed she still had cash on deposit in her Holloway cash account and asked for £5,000 of it to be moved into her Stocks &amp; Shares ISA.</w:t>
      </w:r>
    </w:p>
    <w:p>
      <w:r>
        <w:t>We agreed to look into the cash account, and if the funds are available, move £5,000 from it into the Stocks &amp; Shares ISA.</w:t>
      </w:r>
    </w:p>
    <w:p>
      <w:r>
        <w:t>Nora has no income requirement from the portfolio.</w:t>
      </w:r>
    </w:p>
    <w:p>
      <w:r>
        <w:t>Next steps: prepare the advice report covering the ISA top-up and check the status of the cash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