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Owen Pratt, held 12 May 2026.</w:t>
      </w:r>
    </w:p>
    <w:p>
      <w:r>
        <w:t>Owen confirmed his circumstances and objectives are unchanged and remains comfortable with a moderate approach to risk.</w:t>
      </w:r>
    </w:p>
    <w:p>
      <w:r>
        <w:t>We reviewed his Stocks &amp; Shares ISA and his Brightwell SIPP; the SIPP's current value was not available on our system, so we could not confirm it during the meeting.</w:t>
      </w:r>
    </w:p>
    <w:p>
      <w:r>
        <w:t>Owen would like to add £4,000 from savings held outside the portfolio into his Stocks &amp; Shares ISA to use this year's allowance.</w:t>
      </w:r>
    </w:p>
    <w:p>
      <w:r>
        <w:t>We agreed he would pay £4,000 into the Stocks &amp; Shares ISA. No investments are being sold.</w:t>
      </w:r>
    </w:p>
    <w:p>
      <w:r>
        <w:t>Owen has no income requirement from the portfolio.</w:t>
      </w:r>
    </w:p>
    <w:p>
      <w:r>
        <w:t>Next steps: prepare the advice report covering the ISA top-up and confirm the SIPP's current value.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