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Annual review meeting with Diane Carter, held 14 May 2026.</w:t>
      </w:r>
    </w:p>
    <w:p>
      <w:r>
        <w:t>Diane confirmed her circumstances and objectives are unchanged and remains comfortable with a moderate approach to risk.</w:t>
      </w:r>
    </w:p>
    <w:p>
      <w:r>
        <w:t>We agreed to sell £10,000 of Diane's General Investment Account and use the proceeds to top up her Stocks &amp; Shares ISA for the new tax year.</w:t>
      </w:r>
    </w:p>
    <w:p>
      <w:r>
        <w:t>Diane has no income requirement from the portfolio.</w:t>
      </w:r>
    </w:p>
    <w:p>
      <w:r>
        <w:t>Next steps: prepare the advice report covering the disposal and ISA top-up.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