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Report Requirement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Adviser</w:t>
            </w:r>
          </w:p>
        </w:tc>
        <w:tc>
          <w:tcPr>
            <w:tcW w:type="dxa" w:w="4320"/>
          </w:tcPr>
          <w:p>
            <w:r>
              <w:t>Daniel Reeves</w:t>
            </w:r>
          </w:p>
        </w:tc>
      </w:tr>
      <w:tr>
        <w:tc>
          <w:tcPr>
            <w:tcW w:type="dxa" w:w="4320"/>
          </w:tcPr>
          <w:p>
            <w:r>
              <w:t>Accounts covered</w:t>
            </w:r>
          </w:p>
        </w:tc>
        <w:tc>
          <w:tcPr>
            <w:tcW w:type="dxa" w:w="4320"/>
          </w:tcPr>
          <w:p>
            <w:r>
              <w:t>Holloway Stocks &amp; Shares ISA</w:t>
            </w:r>
          </w:p>
        </w:tc>
      </w:tr>
      <w:tr>
        <w:tc>
          <w:tcPr>
            <w:tcW w:type="dxa" w:w="4320"/>
          </w:tcPr>
          <w:p>
            <w:r>
              <w:t>Investment amount</w:t>
            </w:r>
          </w:p>
        </w:tc>
        <w:tc>
          <w:tcPr>
            <w:tcW w:type="dxa" w:w="4320"/>
          </w:tcPr>
          <w:p>
            <w:r>
              <w:t>GBP 12,000</w:t>
            </w:r>
          </w:p>
        </w:tc>
      </w:tr>
      <w:tr>
        <w:tc>
          <w:tcPr>
            <w:tcW w:type="dxa" w:w="4320"/>
          </w:tcPr>
          <w:p>
            <w:r>
              <w:t>Source of funds</w:t>
            </w:r>
          </w:p>
        </w:tc>
        <w:tc>
          <w:tcPr>
            <w:tcW w:type="dxa" w:w="4320"/>
          </w:tcPr>
          <w:p>
            <w:r>
              <w:t>Cash held on deposit in the Holloway cash account</w:t>
            </w:r>
          </w:p>
        </w:tc>
      </w:tr>
      <w:tr>
        <w:tc>
          <w:tcPr>
            <w:tcW w:type="dxa" w:w="4320"/>
          </w:tcPr>
          <w:p>
            <w:r>
              <w:t>Selling existing investments?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Product recommended</w:t>
            </w:r>
          </w:p>
        </w:tc>
        <w:tc>
          <w:tcPr>
            <w:tcW w:type="dxa" w:w="4320"/>
          </w:tcPr>
          <w:p>
            <w:r>
              <w:t>Top up of existing Stocks &amp; Shares ISA</w:t>
            </w:r>
          </w:p>
        </w:tc>
      </w:tr>
      <w:tr>
        <w:tc>
          <w:tcPr>
            <w:tcW w:type="dxa" w:w="4320"/>
          </w:tcPr>
          <w:p>
            <w:r>
              <w:t>Held in single or joint name?</w:t>
            </w:r>
          </w:p>
        </w:tc>
        <w:tc>
          <w:tcPr>
            <w:tcW w:type="dxa" w:w="4320"/>
          </w:tcPr>
          <w:p>
            <w:r>
              <w:t>Single</w:t>
            </w:r>
          </w:p>
        </w:tc>
      </w:tr>
      <w:tr>
        <w:tc>
          <w:tcPr>
            <w:tcW w:type="dxa" w:w="4320"/>
          </w:tcPr>
          <w:p>
            <w:r>
              <w:t>Agreed risk profile</w:t>
            </w:r>
          </w:p>
        </w:tc>
        <w:tc>
          <w:tcPr>
            <w:tcW w:type="dxa" w:w="4320"/>
          </w:tcPr>
          <w:p>
            <w:r>
              <w:t>4 (moderate)</w:t>
            </w:r>
          </w:p>
        </w:tc>
      </w:tr>
      <w:tr>
        <w:tc>
          <w:tcPr>
            <w:tcW w:type="dxa" w:w="4320"/>
          </w:tcPr>
          <w:p>
            <w:r>
              <w:t>Initial charge</w:t>
            </w:r>
          </w:p>
        </w:tc>
        <w:tc>
          <w:tcPr>
            <w:tcW w:type="dxa" w:w="4320"/>
          </w:tcPr>
          <w:p>
            <w:r>
              <w:t>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