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Planning meeting with Trevor Higgs, held 10 May 2026.</w:t>
      </w:r>
    </w:p>
    <w:p>
      <w:r>
        <w:t>Trevor recently received £40,000 from a matured investment held elsewhere, which is now sitting in his current account.</w:t>
      </w:r>
    </w:p>
    <w:p>
      <w:r>
        <w:t>Some of this money is already committed to repaying a personal loan, though Trevor could not say exactly how much that repayment would be.</w:t>
      </w:r>
    </w:p>
    <w:p>
      <w:r>
        <w:t>Trevor would like the remainder invested into his Stocks &amp; Shares ISA for the new tax year.</w:t>
      </w:r>
    </w:p>
    <w:p>
      <w:r>
        <w:t>Trevor has no income requirement from the portfolio.</w:t>
      </w:r>
    </w:p>
    <w:p>
      <w:r>
        <w:t>Next steps: prepare the advice report once the loan repayment amount is confirmed.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