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review meeting with Sandra Doyle, held 11 May 2026.</w:t>
      </w:r>
    </w:p>
    <w:p>
      <w:r>
        <w:t>Sandra confirmed her circumstances and objectives are unchanged and remains comfortable with a cautious approach to risk.</w:t>
      </w:r>
    </w:p>
    <w:p>
      <w:r>
        <w:t>We agreed to fully encash the Meridian offshore bond, as it no longer suits her plans.</w:t>
      </w:r>
    </w:p>
    <w:p>
      <w:r>
        <w:t>We also agreed to switch the funds held within her Stocks &amp; Shares ISA to a more cautious fund range; this stays within the ISA wrapper.</w:t>
      </w:r>
    </w:p>
    <w:p>
      <w:r>
        <w:t>Sandra has no income requirement from the portfolio.</w:t>
      </w:r>
    </w:p>
    <w:p>
      <w:r>
        <w:t>Next steps: prepare the advice report covering the bond encashment and the ISA fund switch.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