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Patricia Nolan, held 9 May 2026.</w:t>
      </w:r>
    </w:p>
    <w:p>
      <w:r>
        <w:t>Patricia confirmed her circumstances and objectives are unchanged and remains comfortable with a moderate approach to risk.</w:t>
      </w:r>
    </w:p>
    <w:p>
      <w:r>
        <w:t>Patricia would like to add £3,000 from savings held outside the portfolio into her Stocks &amp; Shares ISA to use this year's allowance.</w:t>
      </w:r>
    </w:p>
    <w:p>
      <w:r>
        <w:t>We agreed she would pay £3,000 into the Stocks &amp; Shares ISA. No investments are being sold.</w:t>
      </w:r>
    </w:p>
    <w:p>
      <w:r>
        <w:t>Patricia has no income requirement from the portfolio.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