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Annual review meeting with Klaus Under, held 13 May 2026.</w:t>
      </w:r>
    </w:p>
    <w:p>
      <w:r>
        <w:t>Klaus confirmed his circumstances and objectives are unchanged and remains comfortable with a moderate approach to risk.</w:t>
      </w:r>
    </w:p>
    <w:p>
      <w:r>
        <w:t>We reviewed his Stocks &amp; Shares ISA and his General Investment Account, which is held in euros rather than sterling.</w:t>
      </w:r>
    </w:p>
    <w:p>
      <w:r>
        <w:t>Klaus would like to add £6,000 from savings held outside the portfolio into his Stocks &amp; Shares ISA to use this year's allowance.</w:t>
      </w:r>
    </w:p>
    <w:p>
      <w:r>
        <w:t>We agreed he would pay £6,000 into the Stocks &amp; Shares ISA. No investments are being sold.</w:t>
      </w:r>
    </w:p>
    <w:p>
      <w:r>
        <w:t>Klaus has no income requirement from the portfolio.</w:t>
      </w:r>
    </w:p>
    <w:p>
      <w:r>
        <w:t>Next steps: prepare the advice report covering the ISA top-up.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