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Rosalind Ferris, held 15 May 2026.</w:t>
      </w:r>
    </w:p>
    <w:p>
      <w:r>
        <w:t>Rosalind confirmed her circumstances and objectives are unchanged and remains comfortable with a moderate approach to risk.</w:t>
      </w:r>
    </w:p>
    <w:p>
      <w:r>
        <w:t>Rosalind would like to move £5,000 from her Holloway cash account into her Stocks &amp; Shares ISA to use this year's allowance.</w:t>
      </w:r>
    </w:p>
    <w:p>
      <w:r>
        <w:t>We agreed she would move £5,000 from the cash account into the Stocks &amp; Shares ISA. No investments are being sold.</w:t>
      </w:r>
    </w:p>
    <w:p>
      <w:r>
        <w:t>The adviser will confirm the initial charge once the paperwork is finalised.</w:t>
      </w:r>
    </w:p>
    <w:p>
      <w:r>
        <w:t>Rosalind has no income requirement from the portfolio.</w:t>
      </w:r>
    </w:p>
    <w:p>
      <w:r>
        <w:t>Next steps: prepare the advice report covering the ISA top-up and confirm the initial charge.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