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Douglas Kerr, held 16 May 2026.</w:t>
      </w:r>
    </w:p>
    <w:p>
      <w:r>
        <w:t>Douglas confirmed his circumstances and objectives are unchanged and remains comfortable with a moderate approach to risk.</w:t>
      </w:r>
    </w:p>
    <w:p>
      <w:r>
        <w:t>Douglas would like to move £4,000 from his Holloway cash account into his Stocks &amp; Shares ISA.</w:t>
      </w:r>
    </w:p>
    <w:p>
      <w:r>
        <w:t>We agreed he would move £4,000 from the cash account into the Stocks &amp; Shares ISA. No investments are being sold.</w:t>
      </w:r>
    </w:p>
    <w:p>
      <w:r>
        <w:t>Douglas has no income requirement from the portfolio.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