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Yvonne Pascoe, held 18 May 2026.</w:t>
      </w:r>
    </w:p>
    <w:p>
      <w:r>
        <w:t>Yvonne confirmed her circumstances and objectives are unchanged and remains comfortable with a moderate approach to risk.</w:t>
      </w:r>
    </w:p>
    <w:p>
      <w:r>
        <w:t>We discussed her Stocks &amp; Shares ISA, which she is happy to leave as it is.</w:t>
      </w:r>
    </w:p>
    <w:p>
      <w:r>
        <w:t>Yvonne also asked about her other account on the Holloway platform; she was not sure of its current value.</w:t>
      </w:r>
    </w:p>
    <w:p>
      <w:r>
        <w:t>We agreed to confirm the value of that account and report back to her.</w:t>
      </w:r>
    </w:p>
    <w:p>
      <w:r>
        <w:t>Yvonne has no income requirement from the portfolio.</w:t>
      </w:r>
    </w:p>
    <w:p>
      <w:r>
        <w:t>Next steps: confirm the value of Yvonne's other Holloway account and prepare the annual review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