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General Investment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Not applicable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No changes; continue as invested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