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Bernard Otieno, held 19 May 2026.</w:t>
      </w:r>
    </w:p>
    <w:p>
      <w:r>
        <w:t>Bernard confirmed his circumstances and objectives are unchanged and remains comfortable with a moderate approach to risk.</w:t>
      </w:r>
    </w:p>
    <w:p>
      <w:r>
        <w:t>We reviewed his Stocks &amp; Shares ISA and his two General Investment Accounts on the Holloway platform; all are to be left as they are.</w:t>
      </w:r>
    </w:p>
    <w:p>
      <w:r>
        <w:t>Bernard mentioned he still has an old paper share certificate relating to one of his General Investment Accounts on Holloway, but could not recall which one.</w:t>
      </w:r>
    </w:p>
    <w:p>
      <w:r>
        <w:t>We agreed to leave this for now and revisit if it becomes relevant.</w:t>
      </w:r>
    </w:p>
    <w:p>
      <w:r>
        <w:t>Bernard has no income requirement from the portfolio.</w:t>
      </w:r>
    </w:p>
    <w:p>
      <w:r>
        <w:t>Next steps: prepare the annual review report confirming no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