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Felicity Marsh, held 22 May 2026.</w:t>
      </w:r>
    </w:p>
    <w:p>
      <w:r>
        <w:t>Felicity confirmed her circumstances and objectives are unchanged and remains comfortable with a moderate approach to risk.</w:t>
      </w:r>
    </w:p>
    <w:p>
      <w:r>
        <w:t>Felicity would like to move £6,000 from her Holloway cash account into her Stocks &amp; Shares ISA.</w:t>
      </w:r>
    </w:p>
    <w:p>
      <w:r>
        <w:t>We agreed she would move £6,000 from the cash account into the Stocks &amp; Shares ISA. No investments are being sold.</w:t>
      </w:r>
    </w:p>
    <w:p>
      <w:r>
        <w:t>Felicity has no income requirement from the portfolio.</w:t>
      </w:r>
    </w:p>
    <w:p>
      <w:r>
        <w:t>Next steps: confirm which accounts this report should cover and prepare the advice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