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20. Proces i architektura hurtowni danych, wielowymiarowy model danych.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Hurtownia danych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swojego rodzaju baza danych, mająca służyć wspomaganiu procesu podejmowania decyzji, która jest: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Zorientowana na temat – oznacza to, że zbierane dane dotyczą konkretnego tematu np. sprzedaży, a nie działań np. zbierania zamówień.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Nieulotna – oznacza to,  że dane raz umieszczone w hurtowni, zazwyczaj pozostają niezmienione. Każdy użytkownik bazy danych ma pewność, że zapytanie zawsze zwróci taki sam wynik, niezależnie od tego jak często są wykonywane.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Zintegrowana – oznacza to, że dane są jednolite, np. daty przechowywane są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zawsze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tym samym formacie, znaki kodowane są w ten sam sposób.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Zróżnicowana czasowo – oznacza to, że gromadzone są dane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historyczne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Prawie wszystkie zapytania kierowane do hurtowni danych wymagają prześledzenia jakiegoś odcinka czasu.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Architektura hurtowni danych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hurtownia danych pobiera dane z zewnętrznych źródeł danych. Zanim dane znajdą się w hurtowni muszą zostać pobrane, ulec transformacji, zostać zintegrowane i odwzorowane, a w końcu załadowane do hurtowni. Poza ładowaniem początkowym, dokonywane są ładowania przyrostowe w celu odświeżania hurtowni.  Do ekstrakcji, transformacji i ładowania służy narzędzie ETL, które może być częścią hurtowni bądź też narzędziem zewnętrznym. Należy zdawać sobie sprawę z tego, że dane do hurtowni mogą być pobierane z wielu różnych źródeł.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2899322</wp:posOffset>
            </wp:positionH>
            <wp:positionV relativeFrom="paragraph">
              <wp:posOffset>70485</wp:posOffset>
            </wp:positionV>
            <wp:extent cx="2861398" cy="3162300"/>
            <wp:effectExtent b="0" l="0" r="0" t="0"/>
            <wp:wrapSquare wrapText="bothSides" distB="0" distT="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1398" cy="316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Hurtowni danych towarzyszy mocno rozbudowane repozytorium metadanych, w którym znajdują się wszystkie informacje z poziomu pojęciowego (opis zawartości, opis procesu integracji pojęciowej itp.), logicznego (nazwy tabel i kolumn, typ danych, rodzaje związków między tabelami itd.) i fizycznego (definicja fizycznego rozmieszczania danych i ich przepływu, informacja o lokalizacji fragmentów), statystyki danych i uzycia oraz informacje administracyjne (zasady dostępu do danych, definicje użytkowników i ich grup, terminy wykonywania cyklicznych czynności).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Wielowymiarowy model danych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Schemat gwiazdy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pozwala przedstawić dane w postaci wielowymiarowego modelu danych. 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Centrum schematu gwiazdy tworzy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tabela faktów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czyli tabela gromadząca informacje o temacie wokół którego skupia się hurtowania. Faktów dotyczy większość zapytań zadawanych w hurtowni danych. Tabela faktów jest znormalizowana, jej klucz główny stanowią klucze obce pochodzące z pozostałych tabel, natomiast kolumny niekluczowe, czyli tzw.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miary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muszą być sumowalne. Patrząc od strony biznesowej w tabeli faktów gromadzone są informacje dotyczące tego, co firmie przynosi zysk.  Miary to w pewnym sensie wyznaczniki tego zysku, czyli liczba sprzedanych sztuk, cena. 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Tabelę faktów otaczają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tabele wymiarów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zawierające dane o wymiarach analizy, czyli o tym wg czego będziemy analizowali dane z tabeli faktów. Cechą charakterystyczną tabel wymiarów jest brak normalizacji. Np. w tabeli produkt znajdują się wszystkie potrzebne z punktu widzenia przyszłej analizy informacje o produkcie, łącznie z informacjami o kategorii produktu. Szczególnym wymiarem analizy jest wymiar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czasu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Wymiary często mają strukturę hierarchiczną np. produkt-kategoria, data-miesiąc-kwartał-rok, klient-miasto-kraj. 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3269855" cy="20152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9855" cy="201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Istnieją jeszcze inne modele jak:</w:t>
      </w:r>
    </w:p>
    <w:tbl>
      <w:tblPr>
        <w:tblStyle w:val="Table1"/>
        <w:tblW w:w="9072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05"/>
        <w:gridCol w:w="4667"/>
        <w:tblGridChange w:id="0">
          <w:tblGrid>
            <w:gridCol w:w="4405"/>
            <w:gridCol w:w="46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Schemat płatka śniegu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2799997" cy="2014116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997" cy="20141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Schemat konstelacyjny 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2989177" cy="1400024"/>
                  <wp:effectExtent b="0" l="0" r="0" t="0"/>
                  <wp:docPr descr="Obraz zawierający tekst, koperta, wizytówka&#10;&#10;Opis wygenerowany automatycznie" id="9" name="image1.png"/>
                  <a:graphic>
                    <a:graphicData uri="http://schemas.openxmlformats.org/drawingml/2006/picture">
                      <pic:pic>
                        <pic:nvPicPr>
                          <pic:cNvPr descr="Obraz zawierający tekst, koperta, wizytówka&#10;&#10;Opis wygenerowany automatycznie"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177" cy="14000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  <w:rsid w:val="00E03A03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Akapitzlist">
    <w:name w:val="List Paragraph"/>
    <w:basedOn w:val="Normalny"/>
    <w:uiPriority w:val="34"/>
    <w:qFormat w:val="1"/>
    <w:rsid w:val="00E03A03"/>
    <w:pPr>
      <w:ind w:left="720"/>
      <w:contextualSpacing w:val="1"/>
    </w:pPr>
  </w:style>
  <w:style w:type="table" w:styleId="Tabela-Siatka">
    <w:name w:val="Table Grid"/>
    <w:basedOn w:val="Standardowy"/>
    <w:uiPriority w:val="39"/>
    <w:rsid w:val="00E03A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eTgqfmKPTC7k6/Yes2dCQfBiNA==">AMUW2mXRHNF9YWUsRWM+vPR5jXLl35FYPx1Mm9TJTmOXISlBF6N3RHrzlWhO8Opnk8vWo4J5YfJrtwCdTTX4tL1FWzKH/PFrl+VlnABTiIZNdgNtO+4zuq4=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2022-12-29T09:58:00Z</dcterms:created>
  <dc:creator>Aleksandra Jaroch</dc:creator>
</cp:coreProperties>
</file>