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41" w:rightFromText="141" w:tblpX="0" w:tblpY="1210" w:topFromText="0" w:vertAnchor="page"/>
        <w:tblW w:w="9180" w:type="dxa"/>
        <w:jc w:val="left"/>
        <w:tblInd w:w="70" w:type="dxa"/>
        <w:tblBorders>
          <w:top w:val="threeDEngrave" w:sz="24" w:space="0" w:color="00000A"/>
          <w:left w:val="threeDEngrave" w:sz="24" w:space="0" w:color="00000A"/>
          <w:bottom w:val="threeDEmboss" w:sz="24" w:space="0" w:color="00000A"/>
          <w:right w:val="threeDEmboss" w:sz="24" w:space="0" w:color="00000A"/>
          <w:insideH w:val="threeDEmboss" w:sz="24" w:space="0" w:color="00000A"/>
          <w:insideV w:val="threeDEmboss" w:sz="24" w:space="0" w:color="00000A"/>
        </w:tblBorders>
        <w:tblCellMar>
          <w:top w:w="0" w:type="dxa"/>
          <w:left w:w="10" w:type="dxa"/>
          <w:bottom w:w="0" w:type="dxa"/>
          <w:right w:w="70" w:type="dxa"/>
        </w:tblCellMar>
        <w:tblLook w:val="0000" w:noVBand="0" w:noHBand="0" w:lastColumn="0" w:firstColumn="0" w:lastRow="0" w:firstRow="0"/>
      </w:tblPr>
      <w:tblGrid>
        <w:gridCol w:w="9180"/>
      </w:tblGrid>
      <w:tr>
        <w:trPr>
          <w:trHeight w:val="1013" w:hRule="atLeast"/>
          <w:cantSplit w:val="true"/>
        </w:trPr>
        <w:tc>
          <w:tcPr>
            <w:tcW w:w="9180" w:type="dxa"/>
            <w:tcBorders>
              <w:top w:val="threeDEngrave" w:sz="24" w:space="0" w:color="00000A"/>
              <w:left w:val="threeDEngrave" w:sz="24" w:space="0" w:color="00000A"/>
              <w:bottom w:val="threeDEmboss" w:sz="24" w:space="0" w:color="00000A"/>
              <w:right w:val="threeDEmboss" w:sz="24" w:space="0" w:color="00000A"/>
              <w:insideH w:val="threeDEmboss" w:sz="24" w:space="0" w:color="00000A"/>
              <w:insideV w:val="threeDEmboss" w:sz="24" w:space="0" w:color="00000A"/>
            </w:tcBorders>
            <w:shd w:color="auto" w:fill="auto" w:val="pct10"/>
            <w:tcMar>
              <w:left w:w="10" w:type="dxa"/>
            </w:tcMar>
            <w:vAlign w:val="center"/>
          </w:tcPr>
          <w:p>
            <w:pPr>
              <w:pStyle w:val="Normal"/>
              <w:spacing w:before="0" w:after="0"/>
              <w:contextualSpacing/>
              <w:jc w:val="center"/>
              <w:rPr>
                <w:b/>
                <w:b/>
                <w:sz w:val="32"/>
                <w:szCs w:val="32"/>
              </w:rPr>
            </w:pPr>
            <w:r>
              <w:rPr>
                <w:b/>
                <w:sz w:val="32"/>
                <w:szCs w:val="32"/>
              </w:rPr>
              <w:t>Zákon o rozpočtové odpovědnosti</w:t>
            </w:r>
          </w:p>
          <w:p>
            <w:pPr>
              <w:pStyle w:val="Normal"/>
              <w:spacing w:before="0" w:after="0"/>
              <w:ind w:left="180" w:hanging="0"/>
              <w:contextualSpacing/>
              <w:jc w:val="center"/>
              <w:rPr>
                <w:i/>
                <w:i/>
                <w:iCs/>
              </w:rPr>
            </w:pPr>
            <w:r>
              <w:rPr>
                <w:i/>
                <w:iCs/>
              </w:rPr>
              <w:t xml:space="preserve">Akreditovaný vzdělávací program průběžného prezenčního vzdělávání. </w:t>
            </w:r>
          </w:p>
          <w:p>
            <w:pPr>
              <w:pStyle w:val="Normal"/>
              <w:spacing w:before="0" w:after="0"/>
              <w:ind w:left="180" w:hanging="0"/>
              <w:contextualSpacing/>
              <w:jc w:val="center"/>
              <w:rPr>
                <w:i/>
                <w:i/>
                <w:iCs/>
              </w:rPr>
            </w:pPr>
            <w:r>
              <w:rPr>
                <w:i/>
                <w:iCs/>
              </w:rPr>
              <w:t>Č. akreditace AK/</w:t>
            </w:r>
            <w:r>
              <w:rPr>
                <w:bCs/>
                <w:i/>
                <w:iCs/>
              </w:rPr>
              <w:t>PV</w:t>
            </w:r>
            <w:r>
              <w:rPr>
                <w:i/>
                <w:iCs/>
              </w:rPr>
              <w:t>-276/2009, AK/</w:t>
            </w:r>
            <w:r>
              <w:rPr>
                <w:bCs/>
                <w:i/>
                <w:iCs/>
              </w:rPr>
              <w:t>VE</w:t>
            </w:r>
            <w:r>
              <w:rPr>
                <w:i/>
                <w:iCs/>
              </w:rPr>
              <w:t>-161/2009</w:t>
            </w:r>
          </w:p>
        </w:tc>
      </w:tr>
      <w:tr>
        <w:trPr>
          <w:trHeight w:val="80" w:hRule="exact"/>
          <w:cantSplit w:val="true"/>
        </w:trPr>
        <w:tc>
          <w:tcPr>
            <w:tcW w:w="9180" w:type="dxa"/>
            <w:tcBorders>
              <w:top w:val="threeDEmboss" w:sz="24" w:space="0" w:color="00000A"/>
            </w:tcBorders>
            <w:shd w:color="auto" w:fill="auto" w:val="pct10"/>
          </w:tcPr>
          <w:p>
            <w:pPr>
              <w:pStyle w:val="Normal"/>
              <w:jc w:val="both"/>
              <w:rPr>
                <w:b/>
                <w:b/>
                <w:bCs/>
              </w:rPr>
            </w:pPr>
            <w:r>
              <w:rPr>
                <w:b/>
                <w:bCs/>
              </w:rPr>
              <w:t xml:space="preserve">Program </w:t>
            </w:r>
          </w:p>
          <w:p>
            <w:pPr>
              <w:pStyle w:val="Normal"/>
              <w:rPr/>
            </w:pPr>
            <w:r>
              <w:rPr/>
            </w:r>
          </w:p>
          <w:p>
            <w:pPr>
              <w:pStyle w:val="Normal"/>
              <w:rPr>
                <w:b/>
                <w:b/>
                <w:bCs/>
              </w:rPr>
            </w:pPr>
            <w:r>
              <w:rPr>
                <w:b/>
                <w:bCs/>
                <w:highlight w:val="lightGray"/>
              </w:rPr>
              <w:t>9:05 - 11:00</w:t>
            </w:r>
          </w:p>
          <w:p>
            <w:pPr>
              <w:pStyle w:val="NormalWeb"/>
              <w:shd w:val="clear" w:color="auto" w:fill="FFFFFF"/>
              <w:rPr>
                <w:sz w:val="22"/>
                <w:szCs w:val="22"/>
              </w:rPr>
            </w:pPr>
            <w:r>
              <w:rPr>
                <w:sz w:val="22"/>
                <w:szCs w:val="22"/>
              </w:rPr>
              <w:t>Část 1 Novela RS od r. 2013, novela č. 96/2012  a návrh další novely účinné od 1.1.2013</w:t>
            </w:r>
          </w:p>
          <w:p>
            <w:pPr>
              <w:pStyle w:val="NormalWeb"/>
              <w:shd w:val="clear" w:color="auto" w:fill="FFFFFF"/>
              <w:rPr>
                <w:sz w:val="22"/>
                <w:szCs w:val="22"/>
              </w:rPr>
            </w:pPr>
            <w:r>
              <w:rPr>
                <w:sz w:val="22"/>
                <w:szCs w:val="22"/>
              </w:rPr>
              <w:t xml:space="preserve"> </w:t>
            </w:r>
            <w:r>
              <w:rPr>
                <w:sz w:val="22"/>
                <w:szCs w:val="22"/>
              </w:rPr>
              <w:t xml:space="preserve">Část 2 Rozpočtová skladba komplexní aplikační příklady – příjmy  </w:t>
            </w:r>
          </w:p>
          <w:p>
            <w:pPr>
              <w:pStyle w:val="Normal"/>
              <w:rPr>
                <w:b/>
                <w:b/>
                <w:bCs/>
              </w:rPr>
            </w:pPr>
            <w:r>
              <w:rPr>
                <w:b/>
                <w:bCs/>
                <w:highlight w:val="lightGray"/>
              </w:rPr>
              <w:t>11:25 - 13:30</w:t>
            </w:r>
          </w:p>
          <w:p>
            <w:pPr>
              <w:pStyle w:val="Normal"/>
              <w:rPr/>
            </w:pPr>
            <w:r>
              <w:rPr/>
            </w:r>
          </w:p>
          <w:p>
            <w:pPr>
              <w:pStyle w:val="NormalWeb"/>
              <w:shd w:val="clear" w:color="auto" w:fill="FFFFFF"/>
              <w:rPr>
                <w:sz w:val="22"/>
                <w:szCs w:val="22"/>
              </w:rPr>
            </w:pPr>
            <w:r>
              <w:rPr>
                <w:sz w:val="22"/>
                <w:szCs w:val="22"/>
              </w:rPr>
              <w:t xml:space="preserve">Část 2 Rozpočtová skladba komplexní aplikační příklady – výdaje </w:t>
            </w:r>
          </w:p>
          <w:p>
            <w:pPr>
              <w:pStyle w:val="NormalWeb"/>
              <w:shd w:val="clear" w:color="auto" w:fill="FFFFFF"/>
              <w:rPr>
                <w:sz w:val="22"/>
                <w:szCs w:val="22"/>
              </w:rPr>
            </w:pPr>
            <w:r>
              <w:rPr>
                <w:sz w:val="22"/>
                <w:szCs w:val="22"/>
              </w:rPr>
              <w:t xml:space="preserve">Část 3 Rozpočet – příklady na financování  </w:t>
            </w:r>
          </w:p>
          <w:p>
            <w:pPr>
              <w:pStyle w:val="Normal"/>
              <w:rPr/>
            </w:pPr>
            <w:r>
              <w:rPr/>
            </w:r>
          </w:p>
          <w:p>
            <w:pPr>
              <w:pStyle w:val="Normal"/>
              <w:rPr/>
            </w:pPr>
            <w:r>
              <w:rPr>
                <w:b/>
                <w:bCs/>
                <w:highlight w:val="lightGray"/>
              </w:rPr>
              <w:t>13:30 - 14:00</w:t>
            </w:r>
          </w:p>
          <w:p>
            <w:pPr>
              <w:pStyle w:val="NormalWeb"/>
              <w:shd w:val="clear" w:color="auto" w:fill="FFFFFF"/>
              <w:rPr>
                <w:color w:val="000000"/>
                <w:sz w:val="22"/>
                <w:szCs w:val="22"/>
              </w:rPr>
            </w:pPr>
            <w:r>
              <w:rPr>
                <w:color w:val="000000"/>
                <w:sz w:val="22"/>
                <w:szCs w:val="22"/>
              </w:rPr>
              <w:t xml:space="preserve">Část 4   Diskuse, dotazy </w:t>
            </w:r>
          </w:p>
          <w:p>
            <w:pPr>
              <w:pStyle w:val="Normal"/>
              <w:numPr>
                <w:ilvl w:val="0"/>
                <w:numId w:val="0"/>
              </w:numPr>
              <w:outlineLvl w:val="0"/>
              <w:rPr>
                <w:b/>
                <w:b/>
              </w:rPr>
            </w:pPr>
            <w:r>
              <w:rPr>
                <w:b/>
              </w:rPr>
            </w:r>
          </w:p>
          <w:p>
            <w:pPr>
              <w:pStyle w:val="Normal"/>
              <w:numPr>
                <w:ilvl w:val="0"/>
                <w:numId w:val="0"/>
              </w:numPr>
              <w:outlineLvl w:val="0"/>
              <w:rPr>
                <w:b/>
                <w:b/>
              </w:rPr>
            </w:pPr>
            <w:r>
              <w:rPr>
                <w:b/>
              </w:rPr>
              <w:t>Lektor:    Ing. Ivana Schneiderová, auditor</w:t>
            </w:r>
            <w:r>
              <w:rPr>
                <w:bCs/>
              </w:rPr>
              <w:t>, č. osvědčení 1840</w:t>
            </w:r>
          </w:p>
          <w:p>
            <w:pPr>
              <w:pStyle w:val="Normal"/>
              <w:numPr>
                <w:ilvl w:val="0"/>
                <w:numId w:val="0"/>
              </w:numPr>
              <w:ind w:left="290" w:hanging="0"/>
              <w:outlineLvl w:val="0"/>
              <w:rPr>
                <w:bCs/>
              </w:rPr>
            </w:pPr>
            <w:r>
              <w:rPr>
                <w:bCs/>
              </w:rPr>
              <w:t xml:space="preserve">Kontakt na lektora: </w:t>
            </w:r>
          </w:p>
          <w:p>
            <w:pPr>
              <w:pStyle w:val="Normal"/>
              <w:numPr>
                <w:ilvl w:val="0"/>
                <w:numId w:val="0"/>
              </w:numPr>
              <w:ind w:left="290" w:hanging="0"/>
              <w:outlineLvl w:val="0"/>
              <w:rPr/>
            </w:pPr>
            <w:hyperlink r:id="rId2">
              <w:r>
                <w:rPr>
                  <w:rStyle w:val="InternetLink"/>
                  <w:bCs/>
                </w:rPr>
                <w:t>www.obecuctuje.cz</w:t>
              </w:r>
            </w:hyperlink>
            <w:r>
              <w:rPr>
                <w:bCs/>
              </w:rPr>
              <w:t xml:space="preserve"> - materiály ke stažení v elektronické podobě</w:t>
            </w:r>
          </w:p>
          <w:p>
            <w:pPr>
              <w:pStyle w:val="Normal"/>
              <w:numPr>
                <w:ilvl w:val="0"/>
                <w:numId w:val="0"/>
              </w:numPr>
              <w:ind w:left="290" w:hanging="0"/>
              <w:outlineLvl w:val="0"/>
              <w:rPr/>
            </w:pPr>
            <w:hyperlink r:id="rId3">
              <w:r>
                <w:rPr>
                  <w:rStyle w:val="InternetLink"/>
                  <w:bCs/>
                </w:rPr>
                <w:t>iva@obecuctuje.cz</w:t>
              </w:r>
            </w:hyperlink>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
              <w:rPr>
                <w:sz w:val="28"/>
                <w:szCs w:val="28"/>
              </w:rPr>
            </w:pPr>
            <w:r>
              <w:rPr>
                <w:sz w:val="28"/>
                <w:szCs w:val="28"/>
              </w:rPr>
              <w:t xml:space="preserve">Doporučený dokument ke stažení (pro vedení obce, ostatní zaměstnance, případně pro začínající účetní): </w:t>
            </w:r>
          </w:p>
          <w:p>
            <w:pPr>
              <w:pStyle w:val="Normal"/>
              <w:rPr/>
            </w:pPr>
            <w:r>
              <w:rPr>
                <w:u w:val="single"/>
              </w:rPr>
              <w:t>Rozpočtová skladba -  systém a přehled 2012</w:t>
            </w:r>
          </w:p>
          <w:p>
            <w:pPr>
              <w:pStyle w:val="Normal"/>
              <w:rPr/>
            </w:pPr>
            <w:r>
              <w:rPr/>
              <w:t>Dokumenty k rozpočtovému procesu: CD ke knize RS 2012, nakladatelství Obec účtuje a dokumenty ke stažení na www.obecuctuje.cz (kategorie – archiv)</w:t>
            </w:r>
          </w:p>
          <w:p>
            <w:pPr>
              <w:pStyle w:val="Normal"/>
              <w:rPr/>
            </w:pPr>
            <w:r>
              <w:rPr/>
            </w:r>
          </w:p>
          <w:p>
            <w:pPr>
              <w:pStyle w:val="Normal"/>
              <w:rPr/>
            </w:pPr>
            <w:r>
              <w:rPr/>
              <w:t xml:space="preserve">Publikace Rozpočtová skladba 2013 vyjde v lednu 2013, objednávky on line – </w:t>
            </w:r>
            <w:hyperlink r:id="rId4">
              <w:r>
                <w:rPr>
                  <w:rStyle w:val="InternetLink"/>
                </w:rPr>
                <w:t>www.obecuctuje.cz</w:t>
              </w:r>
            </w:hyperlink>
            <w:r>
              <w:rPr/>
              <w:t xml:space="preserve"> </w:t>
            </w:r>
          </w:p>
          <w:p>
            <w:pPr>
              <w:pStyle w:val="Normal"/>
              <w:jc w:val="center"/>
              <w:rPr/>
            </w:pPr>
            <w:r>
              <w:rPr/>
            </w:r>
          </w:p>
        </w:tc>
      </w:tr>
    </w:tbl>
    <w:p>
      <w:pPr>
        <w:pStyle w:val="Normal"/>
        <w:rPr/>
      </w:pPr>
      <w:r>
        <w:rPr/>
      </w:r>
    </w:p>
    <w:p>
      <w:pPr>
        <w:pStyle w:val="Normal"/>
        <w:rPr/>
      </w:pPr>
      <w:r>
        <w:rPr/>
        <w:t>Program</w:t>
      </w:r>
    </w:p>
    <w:p>
      <w:pPr>
        <w:pStyle w:val="Normal"/>
        <w:rPr/>
      </w:pPr>
      <w:r>
        <w:rPr/>
      </w:r>
    </w:p>
    <w:p>
      <w:pPr>
        <w:pStyle w:val="ListParagraph"/>
        <w:numPr>
          <w:ilvl w:val="0"/>
          <w:numId w:val="1"/>
        </w:numPr>
        <w:ind w:left="426" w:hanging="426"/>
        <w:rPr>
          <w:b/>
          <w:b/>
        </w:rPr>
      </w:pPr>
      <w:r>
        <w:rPr>
          <w:b/>
        </w:rPr>
        <w:t xml:space="preserve">část </w:t>
      </w:r>
    </w:p>
    <w:p>
      <w:pPr>
        <w:pStyle w:val="Normal"/>
        <w:spacing w:lineRule="auto" w:line="276"/>
        <w:ind w:left="1560" w:hanging="1560"/>
        <w:jc w:val="both"/>
        <w:rPr/>
      </w:pPr>
      <w:r>
        <w:rPr/>
      </w:r>
    </w:p>
    <w:p>
      <w:pPr>
        <w:pStyle w:val="Normal"/>
        <w:spacing w:lineRule="auto" w:line="276"/>
        <w:ind w:left="1560" w:hanging="1560"/>
        <w:jc w:val="both"/>
        <w:rPr/>
      </w:pPr>
      <w:r>
        <w:rPr/>
        <w:t xml:space="preserve">09:00 – 11:00 </w:t>
        <w:tab/>
        <w:t>Finanční hospodaření a rozpočtový proces ÚSC ve znění změny zákona č. 250/2000 Sb., o rozpočtových pravidlech územních rozpočtů (účinnost od 21. 2. 2017) - střednědobý výhled rozpočtu, rozpočet, pravidla rozpočtového provizoria, rozpočtová opatření, závěrečný účet. Rozpočet a střednědobý výhled rozpočtu PO. Nové zveřejňovací povinnosti ÚSC. Správní delikty.</w:t>
      </w:r>
    </w:p>
    <w:p>
      <w:pPr>
        <w:pStyle w:val="Normal"/>
        <w:spacing w:lineRule="auto" w:line="276"/>
        <w:ind w:left="1560" w:hanging="1560"/>
        <w:jc w:val="both"/>
        <w:rPr/>
      </w:pPr>
      <w:r>
        <w:rPr/>
      </w:r>
    </w:p>
    <w:p>
      <w:pPr>
        <w:pStyle w:val="Normal"/>
        <w:spacing w:lineRule="auto" w:line="276"/>
        <w:ind w:left="1560" w:hanging="1560"/>
        <w:jc w:val="both"/>
        <w:rPr/>
      </w:pPr>
      <w:r>
        <w:rPr/>
        <w:t>11:00 – 11:30</w:t>
        <w:tab/>
        <w:t>Přestávka</w:t>
        <w:tab/>
      </w:r>
    </w:p>
    <w:p>
      <w:pPr>
        <w:pStyle w:val="ListParagraph"/>
        <w:numPr>
          <w:ilvl w:val="0"/>
          <w:numId w:val="1"/>
        </w:numPr>
        <w:spacing w:lineRule="auto" w:line="276" w:beforeAutospacing="1" w:afterAutospacing="1"/>
        <w:ind w:left="426" w:hanging="426"/>
        <w:contextualSpacing/>
        <w:jc w:val="both"/>
        <w:rPr/>
      </w:pPr>
      <w:r>
        <w:rPr>
          <w:b/>
        </w:rPr>
        <w:t xml:space="preserve">část </w:t>
      </w:r>
    </w:p>
    <w:p>
      <w:pPr>
        <w:pStyle w:val="Normal"/>
        <w:spacing w:lineRule="auto" w:line="276" w:beforeAutospacing="1" w:afterAutospacing="1"/>
        <w:ind w:left="1560" w:hanging="1560"/>
        <w:jc w:val="both"/>
        <w:rPr/>
      </w:pPr>
      <w:r>
        <w:rPr/>
        <w:t>11:30 – 12:30</w:t>
        <w:tab/>
        <w:t>Zákon č. 23/2017 Sb., o pravidlech rozpočtové odpovědnosti (účinnost od 21. 2. 2017), vysvětlení nového pravidla pro povinné snižování dluhu ÚSC.</w:t>
      </w:r>
    </w:p>
    <w:p>
      <w:pPr>
        <w:pStyle w:val="ListParagraph"/>
        <w:numPr>
          <w:ilvl w:val="0"/>
          <w:numId w:val="1"/>
        </w:numPr>
        <w:spacing w:lineRule="auto" w:line="276" w:beforeAutospacing="1" w:afterAutospacing="1"/>
        <w:ind w:left="284" w:hanging="284"/>
        <w:contextualSpacing/>
        <w:jc w:val="both"/>
        <w:rPr>
          <w:b/>
          <w:b/>
        </w:rPr>
      </w:pPr>
      <w:r>
        <w:rPr>
          <w:b/>
        </w:rPr>
        <w:t>část</w:t>
      </w:r>
    </w:p>
    <w:p>
      <w:pPr>
        <w:pStyle w:val="Normal"/>
        <w:spacing w:lineRule="auto" w:line="276" w:beforeAutospacing="1" w:afterAutospacing="1"/>
        <w:ind w:left="1560" w:hanging="1560"/>
        <w:jc w:val="both"/>
        <w:rPr/>
      </w:pPr>
      <w:r>
        <w:rPr/>
        <w:t>12:30 – 14:00</w:t>
        <w:tab/>
        <w:t>Vysvětlení systému rozpočtové skladby (příjmy, výdaje, financování). Vysvětlení použití financování včetně jeho rozpočtování, vysvětlení významu a funkce položky 8115. Příklady použití položek tř. 8 financování.</w:t>
      </w:r>
    </w:p>
    <w:p>
      <w:pPr>
        <w:pStyle w:val="Normal"/>
        <w:spacing w:beforeAutospacing="1" w:afterAutospacing="1"/>
        <w:ind w:left="1560" w:hanging="1560"/>
        <w:jc w:val="both"/>
        <w:rPr/>
      </w:pPr>
      <w:r>
        <w:rPr/>
      </w:r>
    </w:p>
    <w:p>
      <w:pPr>
        <w:pStyle w:val="Normal"/>
        <w:numPr>
          <w:ilvl w:val="0"/>
          <w:numId w:val="0"/>
        </w:numPr>
        <w:spacing w:before="0" w:after="0"/>
        <w:contextualSpacing/>
        <w:outlineLvl w:val="0"/>
        <w:rPr>
          <w:b/>
          <w:b/>
        </w:rPr>
      </w:pPr>
      <w:r>
        <w:rPr>
          <w:b/>
        </w:rPr>
        <w:t xml:space="preserve">Lektor: </w:t>
      </w:r>
    </w:p>
    <w:p>
      <w:pPr>
        <w:pStyle w:val="Normal"/>
        <w:numPr>
          <w:ilvl w:val="0"/>
          <w:numId w:val="0"/>
        </w:numPr>
        <w:spacing w:before="0" w:after="0"/>
        <w:contextualSpacing/>
        <w:outlineLvl w:val="0"/>
        <w:rPr>
          <w:b/>
          <w:b/>
        </w:rPr>
      </w:pPr>
      <w:r>
        <w:rPr>
          <w:b/>
        </w:rPr>
        <w:t>Ing. Ivana Schneiderová, auditor</w:t>
      </w:r>
      <w:r>
        <w:rPr>
          <w:bCs/>
        </w:rPr>
        <w:t>, č. osvědčení 1840</w:t>
      </w:r>
    </w:p>
    <w:p>
      <w:pPr>
        <w:pStyle w:val="Normal"/>
        <w:numPr>
          <w:ilvl w:val="0"/>
          <w:numId w:val="0"/>
        </w:numPr>
        <w:spacing w:before="0" w:after="0"/>
        <w:contextualSpacing/>
        <w:outlineLvl w:val="0"/>
        <w:rPr>
          <w:b/>
          <w:b/>
          <w:bCs/>
        </w:rPr>
      </w:pPr>
      <w:r>
        <w:rPr>
          <w:b/>
          <w:bCs/>
        </w:rPr>
        <w:t xml:space="preserve">Ing. Martin Tocauer, asistent auditora </w:t>
      </w:r>
    </w:p>
    <w:p>
      <w:pPr>
        <w:pStyle w:val="Normal"/>
        <w:numPr>
          <w:ilvl w:val="0"/>
          <w:numId w:val="0"/>
        </w:numPr>
        <w:spacing w:before="0" w:after="0"/>
        <w:contextualSpacing/>
        <w:outlineLvl w:val="0"/>
        <w:rPr>
          <w:bCs/>
        </w:rPr>
      </w:pPr>
      <w:r>
        <w:rPr>
          <w:bCs/>
        </w:rPr>
        <w:t xml:space="preserve">Kontakt na lektora: </w:t>
      </w:r>
    </w:p>
    <w:p>
      <w:pPr>
        <w:pStyle w:val="Normal"/>
        <w:numPr>
          <w:ilvl w:val="0"/>
          <w:numId w:val="0"/>
        </w:numPr>
        <w:spacing w:before="0" w:after="0"/>
        <w:contextualSpacing/>
        <w:outlineLvl w:val="0"/>
        <w:rPr/>
      </w:pPr>
      <w:hyperlink r:id="rId5">
        <w:r>
          <w:rPr>
            <w:rStyle w:val="InternetLink"/>
            <w:bCs/>
          </w:rPr>
          <w:t>www.obecuctuje.cz</w:t>
        </w:r>
      </w:hyperlink>
      <w:r>
        <w:rPr>
          <w:bCs/>
        </w:rPr>
        <w:t xml:space="preserve"> - materiály ke stažení v elektronické podobě</w:t>
      </w:r>
    </w:p>
    <w:p>
      <w:pPr>
        <w:pStyle w:val="Normal"/>
        <w:numPr>
          <w:ilvl w:val="0"/>
          <w:numId w:val="0"/>
        </w:numPr>
        <w:spacing w:before="0" w:after="0"/>
        <w:contextualSpacing/>
        <w:outlineLvl w:val="0"/>
        <w:rPr/>
      </w:pPr>
      <w:hyperlink r:id="rId6">
        <w:r>
          <w:rPr>
            <w:rStyle w:val="InternetLink"/>
            <w:bCs/>
          </w:rPr>
          <w:t>iva@obecuctuje.cz</w:t>
        </w:r>
      </w:hyperlink>
      <w:r>
        <w:rPr>
          <w:bCs/>
        </w:rPr>
        <w:t>; martin.tocauer@gmail.com</w:t>
      </w:r>
    </w:p>
    <w:p>
      <w:pPr>
        <w:pStyle w:val="Normal"/>
        <w:spacing w:beforeAutospacing="1" w:afterAutospacing="1"/>
        <w:ind w:left="1560" w:hanging="1560"/>
        <w:jc w:val="both"/>
        <w:rPr/>
      </w:pPr>
      <w:r>
        <w:rPr/>
      </w:r>
    </w:p>
    <w:p>
      <w:pPr>
        <w:pStyle w:val="Normal"/>
        <w:spacing w:beforeAutospacing="1" w:afterAutospacing="1"/>
        <w:ind w:left="1560" w:hanging="1560"/>
        <w:jc w:val="both"/>
        <w:rPr/>
      </w:pPr>
      <w:r>
        <w:rPr/>
      </w:r>
    </w:p>
    <w:p>
      <w:pPr>
        <w:pStyle w:val="Normal"/>
        <w:spacing w:beforeAutospacing="1" w:afterAutospacing="1"/>
        <w:ind w:left="1560" w:hanging="1560"/>
        <w:jc w:val="both"/>
        <w:rPr/>
      </w:pPr>
      <w:r>
        <w:rPr/>
      </w:r>
    </w:p>
    <w:p>
      <w:pPr>
        <w:pStyle w:val="Normal"/>
        <w:spacing w:beforeAutospacing="1" w:afterAutospacing="1"/>
        <w:ind w:left="1560" w:hanging="1560"/>
        <w:jc w:val="both"/>
        <w:rPr/>
      </w:pPr>
      <w:r>
        <w:rPr/>
      </w:r>
    </w:p>
    <w:p>
      <w:pPr>
        <w:pStyle w:val="Normal"/>
        <w:spacing w:beforeAutospacing="1" w:afterAutospacing="1"/>
        <w:ind w:left="1560" w:hanging="1560"/>
        <w:jc w:val="both"/>
        <w:rPr/>
      </w:pPr>
      <w:r>
        <w:rPr/>
      </w:r>
    </w:p>
    <w:p>
      <w:pPr>
        <w:pStyle w:val="Normal"/>
        <w:spacing w:beforeAutospacing="1" w:afterAutospacing="1"/>
        <w:ind w:left="1560" w:hanging="1560"/>
        <w:jc w:val="both"/>
        <w:rPr/>
      </w:pPr>
      <w:r>
        <w:rPr/>
      </w:r>
    </w:p>
    <w:p>
      <w:pPr>
        <w:pStyle w:val="Normal"/>
        <w:spacing w:before="0" w:after="120"/>
        <w:jc w:val="both"/>
        <w:rPr>
          <w:b/>
          <w:b/>
        </w:rPr>
      </w:pPr>
      <w:bookmarkStart w:id="0" w:name="_GoBack"/>
      <w:bookmarkEnd w:id="0"/>
      <w:r>
        <w:rPr>
          <w:b/>
        </w:rPr>
        <w:t>Nová právní úprava</w:t>
      </w:r>
    </w:p>
    <w:p>
      <w:pPr>
        <w:pStyle w:val="ListParagraph"/>
        <w:numPr>
          <w:ilvl w:val="0"/>
          <w:numId w:val="5"/>
        </w:numPr>
        <w:spacing w:before="0" w:after="0"/>
        <w:ind w:left="284" w:hanging="284"/>
        <w:jc w:val="both"/>
        <w:rPr/>
      </w:pPr>
      <w:r>
        <w:rPr/>
        <w:t xml:space="preserve">zákon č. 23/2017 Sb., o pravidlech rozpočtové odpovědnosti </w:t>
      </w:r>
    </w:p>
    <w:p>
      <w:pPr>
        <w:pStyle w:val="ListParagraph"/>
        <w:numPr>
          <w:ilvl w:val="0"/>
          <w:numId w:val="5"/>
        </w:numPr>
        <w:ind w:left="284" w:hanging="284"/>
        <w:jc w:val="both"/>
        <w:rPr/>
      </w:pPr>
      <w:r>
        <w:rPr/>
        <w:t>zákon č. 24/2017 Sb., kterým se mění některé zákony v souvislosti s přijetím právní úpravy rozpočtové odpovědnosti – jedná se o změnu cca 20 zákonů, pro nás je velmi zásadní mj. změna zákona č. 250/2000 Sb., o rozpočtových pravidlech územních rozpočtů.</w:t>
      </w:r>
    </w:p>
    <w:p>
      <w:pPr>
        <w:pStyle w:val="Normal"/>
        <w:rPr>
          <w:b/>
          <w:b/>
          <w:u w:val="single"/>
        </w:rPr>
      </w:pPr>
      <w:r>
        <w:rPr>
          <w:b/>
          <w:u w:val="single"/>
        </w:rPr>
      </w:r>
    </w:p>
    <w:p>
      <w:pPr>
        <w:pStyle w:val="Normal"/>
        <w:spacing w:before="0" w:after="60"/>
        <w:rPr>
          <w:u w:val="single"/>
        </w:rPr>
      </w:pPr>
      <w:r>
        <w:rPr>
          <w:u w:val="single"/>
        </w:rPr>
        <w:t>Účinnost zákonů:</w:t>
      </w:r>
    </w:p>
    <w:p>
      <w:pPr>
        <w:pStyle w:val="Normal"/>
        <w:spacing w:before="0" w:after="60"/>
        <w:jc w:val="both"/>
        <w:rPr>
          <w:i/>
          <w:i/>
        </w:rPr>
      </w:pPr>
      <w:r>
        <w:rPr>
          <w:i/>
        </w:rPr>
        <w:t xml:space="preserve">Zákony byly vyhlášeny ve Sbírce zákonů 6. 2. 2017. V obou zákonech je sice uvedena účinnost dnem 1. ledna 2017, ale tady platí obecné pravidlo, že pokud je v zákoně stanoveno nabytí účinnost dnem, který předchází jeho vyhlášení ve sbírce zákonů, má se za to, jako by v zákoně nabytí účinnosti stanoveno nebylo vůbec. V takovém případě nabývá zákon účinnosti 15. dnem po jeho vyhlášení ve sbírce zákonů. Je to úplně stejná situace jako s novelou zákona č. 250/2000 Sb. z února 2015, u které také bylo stanoveno, že nabývá účinnosti dnem 1. ledna 2015. Taková stanovení účinnosti jsou absolutně neaplikovatelná. Oba zákony byly vyhlášeny ve Sbírce zákonů 6. 2. 2017, v účinnosti jsou tak ode dne </w:t>
      </w:r>
      <w:r>
        <w:rPr>
          <w:b/>
          <w:i/>
        </w:rPr>
        <w:t>21. 2. 2017</w:t>
      </w:r>
      <w:r>
        <w:rPr>
          <w:i/>
        </w:rPr>
        <w:t xml:space="preserve"> s výjimkou: </w:t>
      </w:r>
    </w:p>
    <w:p>
      <w:pPr>
        <w:pStyle w:val="ListParagraph"/>
        <w:numPr>
          <w:ilvl w:val="0"/>
          <w:numId w:val="5"/>
        </w:numPr>
        <w:ind w:left="284" w:hanging="284"/>
        <w:jc w:val="both"/>
        <w:rPr>
          <w:i/>
          <w:i/>
        </w:rPr>
      </w:pPr>
      <w:r>
        <w:rPr>
          <w:i/>
        </w:rPr>
        <w:t xml:space="preserve">§ 17 odst. 3 zákona č. 23/2017, který nabývá účinnosti dnem 1. 1. 2018 (pozastavování části daňových příjmů). </w:t>
      </w:r>
    </w:p>
    <w:p>
      <w:pPr>
        <w:pStyle w:val="ListParagraph"/>
        <w:numPr>
          <w:ilvl w:val="0"/>
          <w:numId w:val="5"/>
        </w:numPr>
        <w:ind w:left="284" w:hanging="284"/>
        <w:jc w:val="both"/>
        <w:rPr>
          <w:i/>
          <w:i/>
        </w:rPr>
      </w:pPr>
      <w:r>
        <w:rPr>
          <w:i/>
        </w:rPr>
        <w:t xml:space="preserve">Části dvanácté zákona č. 24/2017 Sb., která nabývá účinnosti dnem 1. 1. 2018 (změna zákona o rozpočtovém určení daní). </w:t>
      </w:r>
    </w:p>
    <w:p>
      <w:pPr>
        <w:pStyle w:val="Normal"/>
        <w:rPr>
          <w:b/>
          <w:b/>
          <w:u w:val="single"/>
        </w:rPr>
      </w:pPr>
      <w:r>
        <w:rPr>
          <w:b/>
          <w:u w:val="single"/>
        </w:rPr>
      </w:r>
    </w:p>
    <w:p>
      <w:pPr>
        <w:pStyle w:val="Normal"/>
        <w:jc w:val="both"/>
        <w:rPr>
          <w:b/>
          <w:b/>
        </w:rPr>
      </w:pPr>
      <w:r>
        <w:rPr>
          <w:b/>
        </w:rPr>
        <w:t xml:space="preserve">Hlavní změny zavedené novelou zákona č. 250/2000 Sb.: </w:t>
      </w:r>
    </w:p>
    <w:p>
      <w:pPr>
        <w:pStyle w:val="ListParagraph"/>
        <w:numPr>
          <w:ilvl w:val="0"/>
          <w:numId w:val="5"/>
        </w:numPr>
        <w:ind w:left="284" w:hanging="284"/>
        <w:jc w:val="both"/>
        <w:rPr>
          <w:b/>
          <w:b/>
        </w:rPr>
      </w:pPr>
      <w:r>
        <w:rPr/>
        <w:t>Nahrazení rozpočtového výhledu „střednědobým výhledem rozpočtu“.</w:t>
      </w:r>
    </w:p>
    <w:p>
      <w:pPr>
        <w:pStyle w:val="ListParagraph"/>
        <w:numPr>
          <w:ilvl w:val="0"/>
          <w:numId w:val="5"/>
        </w:numPr>
        <w:ind w:left="284" w:hanging="284"/>
        <w:jc w:val="both"/>
        <w:rPr>
          <w:b/>
          <w:b/>
        </w:rPr>
      </w:pPr>
      <w:r>
        <w:rPr/>
        <w:t>Nové zveřejňovací povinnosti.</w:t>
      </w:r>
    </w:p>
    <w:p>
      <w:pPr>
        <w:pStyle w:val="ListParagraph"/>
        <w:numPr>
          <w:ilvl w:val="0"/>
          <w:numId w:val="5"/>
        </w:numPr>
        <w:ind w:left="284" w:hanging="284"/>
        <w:jc w:val="both"/>
        <w:rPr>
          <w:b/>
          <w:b/>
        </w:rPr>
      </w:pPr>
      <w:r>
        <w:rPr/>
        <w:t xml:space="preserve">Rozšíření správních deliktů o nesplnění nových zveřejňovacích povinností. </w:t>
      </w:r>
    </w:p>
    <w:p>
      <w:pPr>
        <w:pStyle w:val="ListParagraph"/>
        <w:numPr>
          <w:ilvl w:val="0"/>
          <w:numId w:val="5"/>
        </w:numPr>
        <w:ind w:left="284" w:hanging="284"/>
        <w:jc w:val="both"/>
        <w:rPr>
          <w:b/>
          <w:b/>
        </w:rPr>
      </w:pPr>
      <w:r>
        <w:rPr/>
        <w:t xml:space="preserve">Povinnost příspěvkové organizace sestavit rozpočet a střednědobý výhled rozpočtu (plány výnosů a nákladů) a povinnost zřizovatele tyto dokumenty schválit. </w:t>
      </w:r>
    </w:p>
    <w:p>
      <w:pPr>
        <w:pStyle w:val="Normal"/>
        <w:rPr>
          <w:b/>
          <w:b/>
          <w:u w:val="single"/>
        </w:rPr>
      </w:pPr>
      <w:r>
        <w:rPr>
          <w:b/>
          <w:u w:val="single"/>
        </w:rPr>
      </w:r>
    </w:p>
    <w:p>
      <w:pPr>
        <w:pStyle w:val="Normal"/>
        <w:jc w:val="both"/>
        <w:rPr>
          <w:b/>
          <w:b/>
          <w:sz w:val="28"/>
          <w:szCs w:val="28"/>
        </w:rPr>
      </w:pPr>
      <w:r>
        <w:rPr>
          <w:b/>
          <w:sz w:val="28"/>
          <w:szCs w:val="28"/>
        </w:rPr>
        <w:t>Zveřejňovací povinnosti podle zákona č. 250/2000 Sb. účinného od 21. 2. 2017:</w:t>
      </w:r>
    </w:p>
    <w:p>
      <w:pPr>
        <w:pStyle w:val="Normal"/>
        <w:jc w:val="both"/>
        <w:rPr>
          <w:rStyle w:val="Emphasis"/>
          <w:i w:val="false"/>
          <w:i w:val="false"/>
        </w:rPr>
      </w:pPr>
      <w:r>
        <w:rPr>
          <w:i w:val="false"/>
        </w:rPr>
      </w:r>
    </w:p>
    <w:p>
      <w:pPr>
        <w:pStyle w:val="Normal"/>
        <w:jc w:val="both"/>
        <w:rPr>
          <w:rStyle w:val="Emphasis"/>
          <w:i w:val="false"/>
          <w:i w:val="false"/>
        </w:rPr>
      </w:pPr>
      <w:r>
        <w:rPr>
          <w:rStyle w:val="Emphasis"/>
          <w:i w:val="false"/>
        </w:rPr>
        <w:t xml:space="preserve">Ve znění zákona účinného do 21. 2. 2017 měly ÚSC zveřejňovací povinnosti jen u návrhu rozpočtu a návrhu závěrečného účtu. Od 21. 2. 2017 jsou zavedeny nové zveřejňovací povinnosti a týkají se: </w:t>
      </w:r>
    </w:p>
    <w:p>
      <w:pPr>
        <w:pStyle w:val="Normal"/>
        <w:jc w:val="both"/>
        <w:rPr>
          <w:rStyle w:val="Emphasis"/>
          <w:i w:val="false"/>
          <w:i w:val="false"/>
        </w:rPr>
      </w:pPr>
      <w:r>
        <w:rPr>
          <w:i w:val="false"/>
        </w:rPr>
      </w:r>
    </w:p>
    <w:p>
      <w:pPr>
        <w:pStyle w:val="ListParagraph"/>
        <w:numPr>
          <w:ilvl w:val="0"/>
          <w:numId w:val="6"/>
        </w:numPr>
        <w:jc w:val="both"/>
        <w:rPr>
          <w:rStyle w:val="Emphasis"/>
          <w:i w:val="false"/>
          <w:i w:val="false"/>
        </w:rPr>
      </w:pPr>
      <w:r>
        <w:rPr>
          <w:rStyle w:val="Emphasis"/>
          <w:i w:val="false"/>
        </w:rPr>
        <w:t>Návrhu střednědobého výhledu rozpočtu</w:t>
      </w:r>
    </w:p>
    <w:p>
      <w:pPr>
        <w:pStyle w:val="ListParagraph"/>
        <w:numPr>
          <w:ilvl w:val="0"/>
          <w:numId w:val="6"/>
        </w:numPr>
        <w:jc w:val="both"/>
        <w:rPr>
          <w:rStyle w:val="Emphasis"/>
          <w:i w:val="false"/>
          <w:i w:val="false"/>
        </w:rPr>
      </w:pPr>
      <w:r>
        <w:rPr>
          <w:rStyle w:val="Emphasis"/>
          <w:i w:val="false"/>
        </w:rPr>
        <w:t>Schváleného střednědobého výhledu rozpočtu</w:t>
      </w:r>
    </w:p>
    <w:p>
      <w:pPr>
        <w:pStyle w:val="ListParagraph"/>
        <w:numPr>
          <w:ilvl w:val="0"/>
          <w:numId w:val="6"/>
        </w:numPr>
        <w:jc w:val="both"/>
        <w:rPr>
          <w:rStyle w:val="Emphasis"/>
          <w:i w:val="false"/>
          <w:i w:val="false"/>
        </w:rPr>
      </w:pPr>
      <w:r>
        <w:rPr>
          <w:rStyle w:val="Emphasis"/>
          <w:i w:val="false"/>
        </w:rPr>
        <w:t>Návrhu rozpočtu</w:t>
      </w:r>
    </w:p>
    <w:p>
      <w:pPr>
        <w:pStyle w:val="ListParagraph"/>
        <w:numPr>
          <w:ilvl w:val="0"/>
          <w:numId w:val="6"/>
        </w:numPr>
        <w:jc w:val="both"/>
        <w:rPr>
          <w:rStyle w:val="Emphasis"/>
          <w:i w:val="false"/>
          <w:i w:val="false"/>
        </w:rPr>
      </w:pPr>
      <w:r>
        <w:rPr>
          <w:rStyle w:val="Emphasis"/>
          <w:i w:val="false"/>
        </w:rPr>
        <w:t>Schváleného rozpočtu</w:t>
      </w:r>
    </w:p>
    <w:p>
      <w:pPr>
        <w:pStyle w:val="ListParagraph"/>
        <w:numPr>
          <w:ilvl w:val="0"/>
          <w:numId w:val="6"/>
        </w:numPr>
        <w:jc w:val="both"/>
        <w:rPr>
          <w:rStyle w:val="Emphasis"/>
          <w:i w:val="false"/>
          <w:i w:val="false"/>
        </w:rPr>
      </w:pPr>
      <w:r>
        <w:rPr>
          <w:rStyle w:val="Emphasis"/>
          <w:i w:val="false"/>
        </w:rPr>
        <w:t>Návrhu závěrečného účtu</w:t>
      </w:r>
    </w:p>
    <w:p>
      <w:pPr>
        <w:pStyle w:val="ListParagraph"/>
        <w:numPr>
          <w:ilvl w:val="0"/>
          <w:numId w:val="6"/>
        </w:numPr>
        <w:jc w:val="both"/>
        <w:rPr>
          <w:rStyle w:val="Emphasis"/>
          <w:i w:val="false"/>
          <w:i w:val="false"/>
        </w:rPr>
      </w:pPr>
      <w:r>
        <w:rPr>
          <w:rStyle w:val="Emphasis"/>
          <w:i w:val="false"/>
        </w:rPr>
        <w:t>Schváleného závěrečného účtu</w:t>
      </w:r>
    </w:p>
    <w:p>
      <w:pPr>
        <w:pStyle w:val="ListParagraph"/>
        <w:numPr>
          <w:ilvl w:val="0"/>
          <w:numId w:val="6"/>
        </w:numPr>
        <w:jc w:val="both"/>
        <w:rPr>
          <w:rStyle w:val="Emphasis"/>
          <w:i w:val="false"/>
          <w:i w:val="false"/>
        </w:rPr>
      </w:pPr>
      <w:r>
        <w:rPr>
          <w:rStyle w:val="Emphasis"/>
          <w:i w:val="false"/>
        </w:rPr>
        <w:t xml:space="preserve">Schválených pravidel rozpočtového provizoria </w:t>
      </w:r>
    </w:p>
    <w:p>
      <w:pPr>
        <w:pStyle w:val="ListParagraph"/>
        <w:numPr>
          <w:ilvl w:val="0"/>
          <w:numId w:val="6"/>
        </w:numPr>
        <w:jc w:val="both"/>
        <w:rPr>
          <w:rStyle w:val="Emphasis"/>
          <w:i w:val="false"/>
          <w:i w:val="false"/>
        </w:rPr>
      </w:pPr>
      <w:r>
        <w:rPr>
          <w:rStyle w:val="Emphasis"/>
          <w:i w:val="false"/>
        </w:rPr>
        <w:t xml:space="preserve">Schválených rozpočtových opatření </w:t>
      </w:r>
    </w:p>
    <w:p>
      <w:pPr>
        <w:pStyle w:val="Normal"/>
        <w:jc w:val="both"/>
        <w:rPr>
          <w:rStyle w:val="Emphasis"/>
          <w:b/>
          <w:b/>
          <w:i w:val="false"/>
          <w:i w:val="false"/>
          <w:u w:val="single"/>
        </w:rPr>
      </w:pPr>
      <w:r>
        <w:rPr>
          <w:b/>
          <w:i w:val="false"/>
          <w:u w:val="single"/>
        </w:rPr>
      </w:r>
    </w:p>
    <w:p>
      <w:pPr>
        <w:pStyle w:val="Normal"/>
        <w:spacing w:before="0" w:after="60"/>
        <w:rPr>
          <w:rStyle w:val="Emphasis"/>
          <w:b/>
          <w:b/>
          <w:i w:val="false"/>
          <w:i w:val="false"/>
        </w:rPr>
      </w:pPr>
      <w:r>
        <w:rPr>
          <w:rStyle w:val="Emphasis"/>
          <w:b/>
          <w:i w:val="false"/>
        </w:rPr>
        <w:t xml:space="preserve">Základní princip </w:t>
      </w:r>
    </w:p>
    <w:p>
      <w:pPr>
        <w:pStyle w:val="Normal"/>
        <w:jc w:val="both"/>
        <w:rPr>
          <w:rStyle w:val="Emphasis"/>
          <w:i w:val="false"/>
          <w:i w:val="false"/>
        </w:rPr>
      </w:pPr>
      <w:r>
        <w:rPr>
          <w:rStyle w:val="Emphasis"/>
          <w:i w:val="false"/>
        </w:rPr>
        <w:t xml:space="preserve">Novela zákona č. 250/2000 Sb. v sobě obsahuje povinnosti, které vyplývají pro ÚSC ze zákona o pravidlech rozpočtové odpovědnosti. </w:t>
      </w:r>
    </w:p>
    <w:p>
      <w:pPr>
        <w:pStyle w:val="ListParagraph"/>
        <w:ind w:left="284" w:hanging="0"/>
        <w:jc w:val="both"/>
        <w:rPr>
          <w:rStyle w:val="Emphasis"/>
          <w:i w:val="false"/>
          <w:i w:val="false"/>
        </w:rPr>
      </w:pPr>
      <w:r>
        <w:rPr>
          <w:i w:val="false"/>
        </w:rPr>
      </w:r>
    </w:p>
    <w:p>
      <w:pPr>
        <w:pStyle w:val="Normal"/>
        <w:rPr>
          <w:rStyle w:val="Emphasis"/>
          <w:b/>
          <w:b/>
          <w:i w:val="false"/>
          <w:i w:val="false"/>
          <w:u w:val="single"/>
        </w:rPr>
      </w:pPr>
      <w:r>
        <w:rPr>
          <w:b/>
          <w:i w:val="false"/>
          <w:u w:val="single"/>
        </w:rPr>
      </w:r>
    </w:p>
    <w:p>
      <w:pPr>
        <w:pStyle w:val="Normal"/>
        <w:jc w:val="both"/>
        <w:rPr>
          <w:b/>
          <w:b/>
          <w:u w:val="single"/>
        </w:rPr>
      </w:pPr>
      <w:r>
        <w:rPr>
          <w:b/>
          <w:u w:val="single"/>
        </w:rPr>
        <w:t>Změny zákona č. 250/2000 Sb., o rozpočtových pravidlech územních rozpočtů</w:t>
      </w:r>
    </w:p>
    <w:p>
      <w:pPr>
        <w:pStyle w:val="Normal"/>
        <w:rPr>
          <w:b/>
          <w:b/>
          <w:u w:val="single"/>
        </w:rPr>
      </w:pPr>
      <w:r>
        <w:rPr>
          <w:b/>
          <w:u w:val="single"/>
        </w:rPr>
      </w:r>
    </w:p>
    <w:p>
      <w:pPr>
        <w:pStyle w:val="Normal"/>
        <w:shd w:val="clear" w:color="auto" w:fill="D9D9D9" w:themeFill="background1" w:themeFillShade="d9"/>
        <w:spacing w:before="0" w:after="120"/>
        <w:jc w:val="center"/>
        <w:rPr/>
      </w:pPr>
      <w:r>
        <w:rPr/>
        <w:t>§ 3</w:t>
      </w:r>
    </w:p>
    <w:p>
      <w:pPr>
        <w:pStyle w:val="Normal"/>
        <w:shd w:val="clear" w:color="auto" w:fill="D9D9D9" w:themeFill="background1" w:themeFillShade="d9"/>
        <w:spacing w:before="0" w:after="120"/>
        <w:jc w:val="center"/>
        <w:rPr/>
      </w:pPr>
      <w:r>
        <w:rPr>
          <w:strike/>
        </w:rPr>
        <w:t>Rozpočtový výhled</w:t>
      </w:r>
      <w:r>
        <w:rPr/>
        <w:t xml:space="preserve"> </w:t>
      </w:r>
    </w:p>
    <w:p>
      <w:pPr>
        <w:pStyle w:val="Normal"/>
        <w:shd w:val="clear" w:color="auto" w:fill="D9D9D9" w:themeFill="background1" w:themeFillShade="d9"/>
        <w:spacing w:before="0" w:after="120"/>
        <w:jc w:val="center"/>
        <w:rPr>
          <w:b/>
          <w:b/>
          <w:bCs/>
        </w:rPr>
      </w:pPr>
      <w:r>
        <w:rPr>
          <w:b/>
          <w:bCs/>
        </w:rPr>
        <w:t>Střednědobý výhled rozpočtu</w:t>
      </w:r>
    </w:p>
    <w:p>
      <w:pPr>
        <w:pStyle w:val="Normal"/>
        <w:shd w:val="clear" w:color="auto" w:fill="D9D9D9" w:themeFill="background1" w:themeFillShade="d9"/>
        <w:spacing w:before="0" w:after="120"/>
        <w:jc w:val="both"/>
        <w:rPr/>
      </w:pPr>
      <w:r>
        <w:rPr/>
        <w:t xml:space="preserve">(1) </w:t>
      </w:r>
      <w:r>
        <w:rPr>
          <w:strike/>
        </w:rPr>
        <w:t>Rozpočtový výhled je pomocným</w:t>
      </w:r>
      <w:r>
        <w:rPr/>
        <w:t xml:space="preserve"> </w:t>
      </w:r>
      <w:r>
        <w:rPr>
          <w:b/>
          <w:bCs/>
        </w:rPr>
        <w:t>Střednědobý výhled rozpočtu je</w:t>
      </w:r>
      <w:r>
        <w:rPr/>
        <w:t xml:space="preserve"> nástrojem územního samosprávného celku nebo svazku obcí sloužícím pro střednědobé finanční plánování rozvoje jeho hospodářství. Sestavuje se na základě uzavřených smluvních vztahů a přijatých závazků zpravidla na 2 až 5 let následujících po roce, na který se sestavuje roční rozpočet (§ 4).</w:t>
      </w:r>
    </w:p>
    <w:p>
      <w:pPr>
        <w:pStyle w:val="Normal"/>
        <w:shd w:val="clear" w:color="auto" w:fill="D9D9D9" w:themeFill="background1" w:themeFillShade="d9"/>
        <w:spacing w:before="0" w:after="120"/>
        <w:jc w:val="both"/>
        <w:rPr>
          <w:b/>
          <w:b/>
          <w:bCs/>
        </w:rPr>
      </w:pPr>
      <w:r>
        <w:rPr/>
        <w:t xml:space="preserve">(2) </w:t>
      </w:r>
      <w:r>
        <w:rPr>
          <w:strike/>
        </w:rPr>
        <w:t>Rozpočtový výhled</w:t>
      </w:r>
      <w:r>
        <w:rPr/>
        <w:t xml:space="preserve"> </w:t>
      </w:r>
      <w:r>
        <w:rPr>
          <w:b/>
          <w:bCs/>
        </w:rPr>
        <w:t xml:space="preserve">Střednědobý výhled rozpočtu </w:t>
      </w:r>
      <w:r>
        <w:rPr/>
        <w:t>obsahuje souhrnné</w:t>
      </w:r>
      <w:r>
        <w:rPr>
          <w:b/>
          <w:bCs/>
        </w:rPr>
        <w:t xml:space="preserve"> </w:t>
      </w:r>
      <w:r>
        <w:rPr/>
        <w:t>základní údaje</w:t>
      </w:r>
      <w:r>
        <w:rPr>
          <w:b/>
          <w:bCs/>
        </w:rPr>
        <w:t xml:space="preserve"> </w:t>
      </w:r>
      <w:r>
        <w:rPr/>
        <w:t xml:space="preserve">o příjmech a výdajích, </w:t>
      </w:r>
      <w:r>
        <w:rPr>
          <w:strike/>
        </w:rPr>
        <w:t>zejména</w:t>
      </w:r>
      <w:r>
        <w:rPr/>
        <w:t xml:space="preserve"> o dlouhodobých závazcích a pohledávkách, o finančních zdrojích a potřebách dlouhodobě realizovaných záměrů. U dlouhodobých závazků se uvedou jejich dopady na hospodaření územního samosprávného celku nebo svazku obcí po celou dobu trvání závazku.</w:t>
      </w:r>
    </w:p>
    <w:p>
      <w:pPr>
        <w:pStyle w:val="Textlnku"/>
        <w:shd w:val="clear" w:color="auto" w:fill="D9D9D9" w:themeFill="background1" w:themeFillShade="d9"/>
        <w:rPr>
          <w:b/>
          <w:b/>
        </w:rPr>
      </w:pPr>
      <w:r>
        <w:rPr>
          <w:b/>
        </w:rPr>
        <w:t>„</w:t>
      </w:r>
      <w:r>
        <w:rPr>
          <w:b/>
        </w:rPr>
        <w:t>(3) Územní samosprávný celek zveřejní návrh střednědobého výhledu rozpočtu na svých internetových stránkách a na úřední desce nejméně 15 dnů přede dnem zahájení jeho projednávání na zasedání zastupitelstva územního samosprávného celku. Na internetových stránkách se zveřejňuje úplné znění návrhu. Na úřední desce může být návrh zveřejněn v užším rozsahu, který obsahuje alespoň údaje o příjmech a výdajích v jednotlivých letech a o dlouhodobých závazcích a pohledávkách. Územní samosprávný celek současně oznámí na úřední desce, kde je návrh střednědobého výhledu rozpočtu zveřejněn a kde je možno nahlédnout do jeho listinné podoby. Zveřejnění musí trvat až do schválení střednědobého výhledu rozpočtu. Připomínky k návrhu střednědobého výhledu rozpočtu mohou občané územního samosprávného celku uplatnit písemně ve lhůtě stanovené při jeho zveřejnění nebo ústně při jeho projednávání na zasedání zastupitelstva.</w:t>
      </w:r>
    </w:p>
    <w:p>
      <w:pPr>
        <w:pStyle w:val="Textlnku"/>
        <w:shd w:val="clear" w:color="auto" w:fill="D9D9D9" w:themeFill="background1" w:themeFillShade="d9"/>
        <w:rPr>
          <w:b/>
          <w:b/>
        </w:rPr>
      </w:pPr>
      <w:r>
        <w:rPr>
          <w:b/>
        </w:rPr>
        <w:t>(4) Územní samosprávný celek zveřejní střednědobý výhled rozpočtu na svých internetových stránkách do 30 dnů ode dne jeho schválení a současně oznámí na úřední desce, kde je zveřejněn v elektronické podobě a kde je možno nahlédnout do jeho listinné podoby. Tímto způsobem musí být zpřístupněn až do schválení nového střednědobého výhledu rozpočtu.“.</w:t>
      </w:r>
    </w:p>
    <w:p>
      <w:pPr>
        <w:pStyle w:val="Normal"/>
        <w:rPr>
          <w:color w:val="FF0000"/>
        </w:rPr>
      </w:pPr>
      <w:r>
        <w:rPr>
          <w:color w:val="FF0000"/>
        </w:rPr>
      </w:r>
    </w:p>
    <w:p>
      <w:pPr>
        <w:pStyle w:val="Normal"/>
        <w:shd w:val="clear" w:color="auto" w:fill="D9D9D9" w:themeFill="background1" w:themeFillShade="d9"/>
        <w:jc w:val="center"/>
        <w:rPr/>
      </w:pPr>
      <w:r>
        <w:rPr/>
        <w:t>§ 4</w:t>
      </w:r>
    </w:p>
    <w:p>
      <w:pPr>
        <w:pStyle w:val="Normal"/>
        <w:shd w:val="clear" w:color="auto" w:fill="D9D9D9" w:themeFill="background1" w:themeFillShade="d9"/>
        <w:jc w:val="center"/>
        <w:rPr>
          <w:b/>
          <w:b/>
        </w:rPr>
      </w:pPr>
      <w:r>
        <w:rPr>
          <w:b/>
        </w:rPr>
        <w:t>Rozpočet</w:t>
      </w:r>
    </w:p>
    <w:p>
      <w:pPr>
        <w:pStyle w:val="Textlnku"/>
        <w:shd w:val="clear" w:color="auto" w:fill="D9D9D9" w:themeFill="background1" w:themeFillShade="d9"/>
        <w:rPr>
          <w:b/>
          <w:b/>
        </w:rPr>
      </w:pPr>
      <w:r>
        <w:rPr>
          <w:b/>
        </w:rPr>
        <w:t>„</w:t>
      </w:r>
      <w:r>
        <w:rPr>
          <w:b/>
        </w:rPr>
        <w:t>(6) Při uplatnění opatření podle zákona o pravidlech rozpočtové odpovědnosti</w:t>
      </w:r>
      <w:r>
        <w:rPr>
          <w:b/>
          <w:vertAlign w:val="superscript"/>
        </w:rPr>
        <w:t xml:space="preserve"> </w:t>
      </w:r>
      <w:r>
        <w:rPr>
          <w:b/>
        </w:rPr>
        <w:t>může být rozpočet územního samosprávného celku schválen jako schodkový jen v případě, že schodek bude možné uhradit finančními prostředky z minulých let nebo návratnou finanční výpomocí. Smluvně zabezpečenou půjčkou</w:t>
      </w:r>
      <w:r>
        <w:rPr>
          <w:b/>
          <w:vertAlign w:val="superscript"/>
        </w:rPr>
        <w:t>5)</w:t>
      </w:r>
      <w:r>
        <w:rPr>
          <w:b/>
        </w:rPr>
        <w:t>, úvěrem</w:t>
      </w:r>
      <w:r>
        <w:rPr>
          <w:b/>
          <w:vertAlign w:val="superscript"/>
        </w:rPr>
        <w:t>6)</w:t>
      </w:r>
      <w:r>
        <w:rPr>
          <w:b/>
        </w:rPr>
        <w:t xml:space="preserve"> nebo příjmem z prodeje komunálních dluhopisů územního samosprávného celku je možné uhradit pouze schodek vzniklý z důvodu předfinancování projektů spolufinancovaných z rozpočtu Evropské unie.“.</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shd w:val="clear" w:color="auto" w:fill="D9D9D9" w:themeFill="background1" w:themeFillShade="d9"/>
        <w:spacing w:before="0" w:after="120"/>
        <w:jc w:val="center"/>
        <w:rPr/>
      </w:pPr>
      <w:r>
        <w:rPr/>
        <w:t>§ 11</w:t>
      </w:r>
    </w:p>
    <w:p>
      <w:pPr>
        <w:pStyle w:val="Normal"/>
        <w:shd w:val="clear" w:color="auto" w:fill="D9D9D9" w:themeFill="background1" w:themeFillShade="d9"/>
        <w:spacing w:before="0" w:after="120"/>
        <w:jc w:val="center"/>
        <w:rPr/>
      </w:pPr>
      <w:r>
        <w:rPr>
          <w:strike/>
        </w:rPr>
        <w:t xml:space="preserve">Vypracování </w:t>
      </w:r>
      <w:r>
        <w:rPr>
          <w:b/>
          <w:bCs/>
          <w:strike/>
        </w:rPr>
        <w:t xml:space="preserve"> </w:t>
      </w:r>
      <w:r>
        <w:rPr>
          <w:b/>
        </w:rPr>
        <w:t xml:space="preserve">Sestavení a zveřejnění </w:t>
      </w:r>
      <w:r>
        <w:rPr/>
        <w:t xml:space="preserve">rozpočtu územního samosprávného celku </w:t>
      </w:r>
    </w:p>
    <w:p>
      <w:pPr>
        <w:pStyle w:val="Normal"/>
        <w:shd w:val="clear" w:color="auto" w:fill="D9D9D9" w:themeFill="background1" w:themeFillShade="d9"/>
        <w:spacing w:before="0" w:after="120"/>
        <w:jc w:val="both"/>
        <w:rPr/>
      </w:pPr>
      <w:r>
        <w:rPr/>
        <w:t xml:space="preserve">(1) Územní samosprávný celek </w:t>
      </w:r>
      <w:r>
        <w:rPr>
          <w:strike/>
        </w:rPr>
        <w:t>vypracovává</w:t>
      </w:r>
      <w:r>
        <w:rPr/>
        <w:t xml:space="preserve"> </w:t>
      </w:r>
      <w:r>
        <w:rPr>
          <w:b/>
          <w:bCs/>
        </w:rPr>
        <w:t xml:space="preserve">sestavuje </w:t>
      </w:r>
      <w:r>
        <w:rPr>
          <w:strike/>
        </w:rPr>
        <w:t>svůj roční</w:t>
      </w:r>
      <w:r>
        <w:rPr/>
        <w:t xml:space="preserve"> rozpočet v návaznosti na svůj </w:t>
      </w:r>
      <w:r>
        <w:rPr>
          <w:strike/>
        </w:rPr>
        <w:t>rozpočtový výhled</w:t>
      </w:r>
      <w:r>
        <w:rPr/>
        <w:t xml:space="preserve"> </w:t>
      </w:r>
      <w:r>
        <w:rPr>
          <w:b/>
          <w:bCs/>
        </w:rPr>
        <w:t>střednědobý výhled</w:t>
      </w:r>
      <w:r>
        <w:rPr/>
        <w:t xml:space="preserve"> </w:t>
      </w:r>
      <w:r>
        <w:rPr>
          <w:b/>
          <w:bCs/>
        </w:rPr>
        <w:t>rozpočtu</w:t>
      </w:r>
      <w:r>
        <w:rPr/>
        <w:t xml:space="preserve"> a na základě </w:t>
      </w:r>
      <w:r>
        <w:rPr>
          <w:strike/>
        </w:rPr>
        <w:t>údajů z rozpisu platného státního rozpočtu nebo rozpočtového provizoria, jímž</w:t>
      </w:r>
    </w:p>
    <w:p>
      <w:pPr>
        <w:pStyle w:val="Normal"/>
        <w:shd w:val="clear" w:color="auto" w:fill="D9D9D9" w:themeFill="background1" w:themeFillShade="d9"/>
        <w:spacing w:before="0" w:after="120"/>
        <w:jc w:val="both"/>
        <w:rPr/>
      </w:pPr>
      <w:r>
        <w:rPr/>
        <w:t xml:space="preserve">a) </w:t>
      </w:r>
      <w:r>
        <w:rPr>
          <w:b/>
          <w:bCs/>
        </w:rPr>
        <w:t>údajů z rozpisu státního rozpočtu nebo rozpočtového provizoria, jímž</w:t>
      </w:r>
      <w:r>
        <w:rPr/>
        <w:t xml:space="preserve"> státní rozpočet určuje své vztahy k rozpočtům krajů nebo jednotlivých obcí,</w:t>
      </w:r>
    </w:p>
    <w:p>
      <w:pPr>
        <w:pStyle w:val="Normal"/>
        <w:shd w:val="clear" w:color="auto" w:fill="D9D9D9" w:themeFill="background1" w:themeFillShade="d9"/>
        <w:spacing w:before="0" w:after="120"/>
        <w:jc w:val="both"/>
        <w:rPr/>
      </w:pPr>
      <w:r>
        <w:rPr/>
        <w:t xml:space="preserve">b) </w:t>
      </w:r>
      <w:r>
        <w:rPr>
          <w:b/>
          <w:bCs/>
        </w:rPr>
        <w:t xml:space="preserve">v případě obce též </w:t>
      </w:r>
      <w:r>
        <w:rPr>
          <w:b/>
        </w:rPr>
        <w:t xml:space="preserve">údajů z rozpočtu kraje, jímž </w:t>
      </w:r>
      <w:r>
        <w:rPr/>
        <w:t xml:space="preserve">rozpočet kraje určuje své vztahy k rozpočtům obcí v kraji. </w:t>
      </w:r>
    </w:p>
    <w:p>
      <w:pPr>
        <w:pStyle w:val="Normal"/>
        <w:shd w:val="clear" w:color="auto" w:fill="D9D9D9" w:themeFill="background1" w:themeFillShade="d9"/>
        <w:spacing w:before="0" w:after="120"/>
        <w:jc w:val="both"/>
        <w:rPr/>
      </w:pPr>
      <w:r>
        <w:rPr/>
        <w:t xml:space="preserve"> </w:t>
      </w:r>
      <w:r>
        <w:rPr/>
        <w:t>(2) V případě, že se územní samosprávný celek podílí na realizaci programu nebo projektu spolufinancovaného z rozpočtu Evropské unie, musí jeho rozpočet na příslušný kalendářní rok obsahovat stanovený objem finančních prostředků účelově určených na spolufinancování programu nebo projektu Evropské unie.</w:t>
      </w:r>
    </w:p>
    <w:p>
      <w:pPr>
        <w:pStyle w:val="Normal"/>
        <w:shd w:val="clear" w:color="auto" w:fill="D9D9D9" w:themeFill="background1" w:themeFillShade="d9"/>
        <w:spacing w:before="0" w:after="120"/>
        <w:rPr/>
      </w:pPr>
      <w:r>
        <w:rPr/>
        <w:t xml:space="preserve">(3) Územní samosprávný celek zveřejní návrh </w:t>
      </w:r>
      <w:r>
        <w:rPr>
          <w:strike/>
        </w:rPr>
        <w:t>svého</w:t>
      </w:r>
      <w:r>
        <w:rPr/>
        <w:t xml:space="preserve"> rozpočtu </w:t>
      </w:r>
      <w:r>
        <w:rPr>
          <w:strike/>
        </w:rPr>
        <w:t>po dobu</w:t>
      </w:r>
      <w:r>
        <w:rPr/>
        <w:t xml:space="preserve"> </w:t>
      </w:r>
      <w:r>
        <w:rPr>
          <w:b/>
          <w:bCs/>
        </w:rPr>
        <w:t xml:space="preserve">na svých internetových stránkách a na úřední desce </w:t>
      </w:r>
      <w:r>
        <w:rPr/>
        <w:t xml:space="preserve">nejméně 15 dnů přede dnem </w:t>
      </w:r>
      <w:r>
        <w:rPr>
          <w:b/>
          <w:bCs/>
        </w:rPr>
        <w:t xml:space="preserve">zahájení </w:t>
      </w:r>
      <w:r>
        <w:rPr/>
        <w:t>jeho projednávání na zasedání zastupitelstva územního samosprávného celku</w:t>
      </w:r>
      <w:r>
        <w:rPr>
          <w:vertAlign w:val="superscript"/>
        </w:rPr>
        <w:t>10)</w:t>
      </w:r>
      <w:r>
        <w:rPr/>
        <w:t xml:space="preserve"> </w:t>
      </w:r>
      <w:r>
        <w:rPr>
          <w:strike/>
        </w:rPr>
        <w:t>na své úřední desce a způsobem umožňujícím dálkový přístup</w:t>
      </w:r>
      <w:r>
        <w:rPr/>
        <w:t xml:space="preserve">. </w:t>
      </w:r>
      <w:r>
        <w:rPr>
          <w:b/>
          <w:bCs/>
        </w:rPr>
        <w:t xml:space="preserve">Na internetových stránkách se zveřejňuje úplné znění návrhu. </w:t>
      </w:r>
      <w:r>
        <w:rPr/>
        <w:t xml:space="preserve">Na úřední desce může být návrh </w:t>
      </w:r>
      <w:r>
        <w:rPr>
          <w:strike/>
        </w:rPr>
        <w:t>rozpočtu</w:t>
      </w:r>
      <w:r>
        <w:rPr/>
        <w:t xml:space="preserve"> zveřejněn v užším rozsahu, který obsahuje alespoň údaje o příjmech a výdajích rozpočtu v třídění podle nejvyšších jednotek druhového třídění rozpočtové skladby. </w:t>
      </w:r>
      <w:r>
        <w:rPr>
          <w:strike/>
        </w:rPr>
        <w:t>Způsobem umožňujícím dálkový přístup se zveřejňuje úplné znění návrhu rozpočtu.</w:t>
      </w:r>
      <w:r>
        <w:rPr/>
        <w:t xml:space="preserve"> </w:t>
      </w:r>
      <w:r>
        <w:rPr>
          <w:b/>
          <w:bCs/>
        </w:rPr>
        <w:t xml:space="preserve"> </w:t>
      </w:r>
      <w:r>
        <w:rPr>
          <w:b/>
        </w:rPr>
        <w:t>Územní samosprávný celek současně oznámí na úřední desce, kde je návrh rozpočtu zveřejněn a kde je možno nahlédnout do jeho listinné podoby</w:t>
      </w:r>
      <w:r>
        <w:rPr/>
        <w:t xml:space="preserve">. </w:t>
      </w:r>
      <w:r>
        <w:rPr>
          <w:b/>
          <w:bCs/>
        </w:rPr>
        <w:t xml:space="preserve">Zveřejnění musí trvat až do schválení rozpočtu. </w:t>
      </w:r>
      <w:r>
        <w:rPr/>
        <w:t xml:space="preserve">Připomínky k návrhu rozpočtu mohou občané příslušného územního samosprávného celku uplatnit </w:t>
      </w:r>
      <w:r>
        <w:rPr>
          <w:strike/>
        </w:rPr>
        <w:t xml:space="preserve">buď </w:t>
      </w:r>
      <w:r>
        <w:rPr/>
        <w:t>písemně ve lhůtě stanovené při jeho zveřejnění</w:t>
      </w:r>
      <w:r>
        <w:rPr>
          <w:strike/>
        </w:rPr>
        <w:t>,</w:t>
      </w:r>
      <w:r>
        <w:rPr/>
        <w:t xml:space="preserve"> nebo ústně při jeho projednávání na zasedání zastupitelstva.</w:t>
      </w:r>
    </w:p>
    <w:p>
      <w:pPr>
        <w:pStyle w:val="Normal"/>
        <w:shd w:val="clear" w:color="auto" w:fill="D9D9D9" w:themeFill="background1" w:themeFillShade="d9"/>
        <w:spacing w:before="0" w:after="120"/>
        <w:rPr/>
      </w:pPr>
      <w:r>
        <w:rPr>
          <w:b/>
          <w:bCs/>
        </w:rPr>
        <w:t xml:space="preserve">(4) Územní samosprávný celek zveřejní rozpočet na svých internetových stránkách do 30 dnů ode dne jeho schválení a současně oznámí na úřední desce, kde je zveřejněn v elektronické podobě a kde je možno nahlédnout do jeho listinné podoby. Tímto způsobem musí být zpřístupněn až do schválení rozpočtu na následující rozpočtový rok. </w:t>
      </w:r>
    </w:p>
    <w:p>
      <w:pPr>
        <w:pStyle w:val="Normal"/>
        <w:rPr>
          <w:color w:val="FF0000"/>
        </w:rPr>
      </w:pPr>
      <w:r>
        <w:rPr>
          <w:color w:val="FF0000"/>
        </w:rPr>
      </w:r>
    </w:p>
    <w:p>
      <w:pPr>
        <w:pStyle w:val="Normal"/>
        <w:shd w:val="clear" w:color="auto" w:fill="D9D9D9" w:themeFill="background1" w:themeFillShade="d9"/>
        <w:spacing w:before="0" w:after="120"/>
        <w:jc w:val="center"/>
        <w:rPr/>
      </w:pPr>
      <w:r>
        <w:rPr/>
        <w:t>§ 13</w:t>
      </w:r>
    </w:p>
    <w:p>
      <w:pPr>
        <w:pStyle w:val="Normal"/>
        <w:shd w:val="clear" w:color="auto" w:fill="D9D9D9" w:themeFill="background1" w:themeFillShade="d9"/>
        <w:spacing w:before="0" w:after="120"/>
        <w:jc w:val="center"/>
        <w:rPr/>
      </w:pPr>
      <w:r>
        <w:rPr/>
        <w:t>Rozpočtové provizorium</w:t>
      </w:r>
    </w:p>
    <w:p>
      <w:pPr>
        <w:pStyle w:val="Normal"/>
        <w:shd w:val="clear" w:color="auto" w:fill="D9D9D9" w:themeFill="background1" w:themeFillShade="d9"/>
        <w:spacing w:before="0" w:after="120"/>
        <w:rPr>
          <w:b/>
          <w:b/>
          <w:bCs/>
        </w:rPr>
      </w:pPr>
      <w:r>
        <w:rPr>
          <w:b/>
          <w:bCs/>
        </w:rPr>
        <w:t xml:space="preserve"> </w:t>
      </w:r>
      <w:r>
        <w:rPr>
          <w:b/>
          <w:bCs/>
        </w:rPr>
        <w:t xml:space="preserve">(2) </w:t>
      </w:r>
      <w:r>
        <w:rPr>
          <w:rStyle w:val="TextodstavceChar"/>
          <w:rFonts w:eastAsia="" w:eastAsiaTheme="minorEastAsia"/>
          <w:b/>
          <w:bCs/>
        </w:rPr>
        <w:t>Pravidly rozpočtového provizoria se řídí hospodaření územního samosprávného celku i po dobu pozastavení výkonu usnesení zastupitelstva územního samosprávného celku, kterým byl schválen jeho rozpočet, podle zvláštního zákona</w:t>
      </w:r>
      <w:r>
        <w:rPr>
          <w:rStyle w:val="TextodstavceChar"/>
          <w:rFonts w:eastAsia="" w:eastAsiaTheme="minorEastAsia"/>
          <w:b/>
          <w:bCs/>
          <w:vertAlign w:val="superscript"/>
        </w:rPr>
        <w:t>26)</w:t>
      </w:r>
      <w:r>
        <w:rPr>
          <w:rStyle w:val="TextodstavceChar"/>
          <w:rFonts w:eastAsia="" w:eastAsiaTheme="minorEastAsia"/>
          <w:b/>
          <w:bCs/>
        </w:rPr>
        <w:t>.</w:t>
      </w:r>
    </w:p>
    <w:p>
      <w:pPr>
        <w:pStyle w:val="Normal"/>
        <w:shd w:val="clear" w:color="auto" w:fill="D9D9D9" w:themeFill="background1" w:themeFillShade="d9"/>
        <w:spacing w:before="0" w:after="120"/>
        <w:jc w:val="both"/>
        <w:rPr/>
      </w:pPr>
      <w:r>
        <w:rPr>
          <w:b/>
          <w:bCs/>
        </w:rPr>
        <w:t>(3)</w:t>
      </w:r>
      <w:r>
        <w:rPr/>
        <w:t xml:space="preserve"> </w:t>
      </w:r>
      <w:r>
        <w:rPr>
          <w:strike/>
        </w:rPr>
        <w:t>(2)</w:t>
      </w:r>
      <w:r>
        <w:rPr/>
        <w:t xml:space="preserve"> Pravidla rozpočtového provizoria potřebná k zajištění plynulosti hospodaření na vlastní úrovni i na úrovni nižších stupňů rozpočtové soustavy a u právnických osob financovaných z územních rozpočtů stanoví</w:t>
      </w:r>
    </w:p>
    <w:p>
      <w:pPr>
        <w:pStyle w:val="Normal"/>
        <w:shd w:val="clear" w:color="auto" w:fill="D9D9D9" w:themeFill="background1" w:themeFillShade="d9"/>
        <w:spacing w:before="0" w:after="120"/>
        <w:jc w:val="both"/>
        <w:rPr/>
      </w:pPr>
      <w:r>
        <w:rPr/>
        <w:t>a) zastupitelstvo kraje pro hospodaření kraje,</w:t>
      </w:r>
    </w:p>
    <w:p>
      <w:pPr>
        <w:pStyle w:val="Normal"/>
        <w:shd w:val="clear" w:color="auto" w:fill="D9D9D9" w:themeFill="background1" w:themeFillShade="d9"/>
        <w:spacing w:before="0" w:after="120"/>
        <w:jc w:val="both"/>
        <w:rPr/>
      </w:pPr>
      <w:r>
        <w:rPr/>
        <w:t>b) zastupitelstvo obce pro hospodaření obce,</w:t>
      </w:r>
    </w:p>
    <w:p>
      <w:pPr>
        <w:pStyle w:val="Normal"/>
        <w:shd w:val="clear" w:color="auto" w:fill="D9D9D9" w:themeFill="background1" w:themeFillShade="d9"/>
        <w:spacing w:before="0" w:after="120"/>
        <w:jc w:val="both"/>
        <w:rPr>
          <w:bCs/>
        </w:rPr>
      </w:pPr>
      <w:r>
        <w:rPr>
          <w:bCs/>
        </w:rPr>
        <w:t>c) orgány svazku obcí pro hospodaření svazku obcí.</w:t>
      </w:r>
    </w:p>
    <w:p>
      <w:pPr>
        <w:pStyle w:val="Normal"/>
        <w:shd w:val="clear" w:color="auto" w:fill="D9D9D9" w:themeFill="background1" w:themeFillShade="d9"/>
        <w:spacing w:before="0" w:after="120"/>
        <w:jc w:val="both"/>
        <w:rPr>
          <w:b/>
          <w:b/>
          <w:bCs/>
        </w:rPr>
      </w:pPr>
      <w:r>
        <w:rPr>
          <w:b/>
          <w:bCs/>
        </w:rPr>
        <w:t>(4) Při uplatnění opatření podle zákona o pravidlech rozpočtové odpovědnosti</w:t>
      </w:r>
      <w:r>
        <w:rPr>
          <w:b/>
          <w:bCs/>
          <w:vertAlign w:val="superscript"/>
        </w:rPr>
        <w:t xml:space="preserve"> </w:t>
      </w:r>
      <w:r>
        <w:rPr>
          <w:b/>
          <w:bCs/>
        </w:rPr>
        <w:t xml:space="preserve">nesmí měsíční výdaje územního samosprávného celku stanovené v pravidlech rozpočtového provizoria překročit jednu dvanáctinu výdajů rozpočtu schváleného pro předchozí rozpočtový rok. Vyšší výdaje lze stanovit pouze  v případě, že jejich zvýšení přímo souvisí se zvýšením financování výdajů stanovených jiným zákonem nebo v případě výdajů z důvodu předfinancování projektů spolufinancovaných z rozpočtu Evropské unie. </w:t>
      </w:r>
    </w:p>
    <w:p>
      <w:pPr>
        <w:pStyle w:val="Normal"/>
        <w:shd w:val="clear" w:color="auto" w:fill="D9D9D9" w:themeFill="background1" w:themeFillShade="d9"/>
        <w:spacing w:before="0" w:after="120"/>
        <w:jc w:val="both"/>
        <w:rPr/>
      </w:pPr>
      <w:r>
        <w:rPr>
          <w:b/>
          <w:bCs/>
        </w:rPr>
        <w:t>(5)</w:t>
      </w:r>
      <w:r>
        <w:rPr/>
        <w:t xml:space="preserve"> </w:t>
      </w:r>
      <w:r>
        <w:rPr>
          <w:strike/>
        </w:rPr>
        <w:t>(3)</w:t>
      </w:r>
      <w:r>
        <w:rPr/>
        <w:t xml:space="preserve"> Rozpočtové příjmy a výdaje uskutečněné v době rozpočtového provizoria se stávají příjmy a výdaji rozpočtu po jeho schválení.</w:t>
      </w:r>
    </w:p>
    <w:p>
      <w:pPr>
        <w:pStyle w:val="Normal"/>
        <w:shd w:val="clear" w:color="auto" w:fill="D9D9D9" w:themeFill="background1" w:themeFillShade="d9"/>
        <w:spacing w:before="0" w:after="120"/>
        <w:jc w:val="both"/>
        <w:rPr>
          <w:b/>
          <w:b/>
          <w:bCs/>
        </w:rPr>
      </w:pPr>
      <w:r>
        <w:rPr>
          <w:b/>
          <w:bCs/>
        </w:rPr>
        <w:t xml:space="preserve">(6) </w:t>
      </w:r>
      <w:r>
        <w:rPr/>
        <w:t>Schválená pravidla rozpočtového provizoria se zveřejňují podle § 11odst. 4, § 11a odst. 4 a § 39 odst. 7</w:t>
      </w:r>
      <w:r>
        <w:rPr>
          <w:b/>
          <w:bCs/>
        </w:rPr>
        <w:t xml:space="preserve"> </w:t>
      </w:r>
      <w:r>
        <w:rPr/>
        <w:t>obdobně.“.</w:t>
      </w:r>
    </w:p>
    <w:p>
      <w:pPr>
        <w:pStyle w:val="Normal"/>
        <w:shd w:val="clear" w:color="auto" w:fill="D9D9D9" w:themeFill="background1" w:themeFillShade="d9"/>
        <w:jc w:val="center"/>
        <w:rPr/>
      </w:pPr>
      <w:r>
        <w:rPr/>
      </w:r>
    </w:p>
    <w:p>
      <w:pPr>
        <w:pStyle w:val="Normal"/>
        <w:shd w:val="clear" w:color="auto" w:fill="D9D9D9" w:themeFill="background1" w:themeFillShade="d9"/>
        <w:jc w:val="center"/>
        <w:rPr/>
      </w:pPr>
      <w:r>
        <w:rPr/>
        <w:t>§ 16</w:t>
      </w:r>
    </w:p>
    <w:p>
      <w:pPr>
        <w:pStyle w:val="Normal"/>
        <w:shd w:val="clear" w:color="auto" w:fill="D9D9D9" w:themeFill="background1" w:themeFillShade="d9"/>
        <w:jc w:val="center"/>
        <w:rPr/>
      </w:pPr>
      <w:r>
        <w:rPr/>
        <w:t>Změny rozpočtu</w:t>
      </w:r>
    </w:p>
    <w:p>
      <w:pPr>
        <w:pStyle w:val="Textlnku"/>
        <w:shd w:val="clear" w:color="auto" w:fill="D9D9D9" w:themeFill="background1" w:themeFillShade="d9"/>
        <w:rPr/>
      </w:pPr>
      <w:r>
        <w:rPr/>
        <w:t>„</w:t>
      </w:r>
      <w:r>
        <w:rPr/>
        <w:t>(5) Schválené rozpočtové opatření se zveřejňuje podle § 11 odst. 4</w:t>
      </w:r>
      <w:r>
        <w:rPr>
          <w:b/>
          <w:bCs/>
        </w:rPr>
        <w:t xml:space="preserve">, </w:t>
      </w:r>
      <w:r>
        <w:rPr/>
        <w:t>§ 11a odst. 4 a § 39 odst. 7</w:t>
      </w:r>
      <w:r>
        <w:rPr>
          <w:b/>
          <w:bCs/>
        </w:rPr>
        <w:t xml:space="preserve"> </w:t>
      </w:r>
      <w:r>
        <w:rPr/>
        <w:t>obdobně.“.</w:t>
      </w:r>
    </w:p>
    <w:p>
      <w:pPr>
        <w:pStyle w:val="Normal"/>
        <w:rPr>
          <w:color w:val="FF0000"/>
        </w:rPr>
      </w:pPr>
      <w:r>
        <w:rPr>
          <w:color w:val="FF0000"/>
        </w:rPr>
      </w:r>
    </w:p>
    <w:p>
      <w:pPr>
        <w:pStyle w:val="Normal"/>
        <w:rPr>
          <w:color w:val="FF0000"/>
        </w:rPr>
      </w:pPr>
      <w:r>
        <w:rPr>
          <w:color w:val="FF0000"/>
        </w:rPr>
      </w:r>
    </w:p>
    <w:p>
      <w:pPr>
        <w:pStyle w:val="Normal"/>
        <w:shd w:val="clear" w:color="auto" w:fill="D9D9D9" w:themeFill="background1" w:themeFillShade="d9"/>
        <w:jc w:val="center"/>
        <w:rPr/>
      </w:pPr>
      <w:r>
        <w:rPr/>
        <w:t>§ 17</w:t>
      </w:r>
    </w:p>
    <w:p>
      <w:pPr>
        <w:pStyle w:val="Normal"/>
        <w:shd w:val="clear" w:color="auto" w:fill="D9D9D9" w:themeFill="background1" w:themeFillShade="d9"/>
        <w:jc w:val="center"/>
        <w:rPr/>
      </w:pPr>
      <w:r>
        <w:rPr/>
        <w:t>Závěrečný účet</w:t>
      </w:r>
    </w:p>
    <w:p>
      <w:pPr>
        <w:pStyle w:val="Normal"/>
        <w:shd w:val="clear" w:color="auto" w:fill="D9D9D9" w:themeFill="background1" w:themeFillShade="d9"/>
        <w:spacing w:before="0" w:after="120"/>
        <w:jc w:val="both"/>
        <w:rPr>
          <w:b/>
          <w:b/>
          <w:bCs/>
        </w:rPr>
      </w:pPr>
      <w:r>
        <w:rPr/>
        <w:t xml:space="preserve">Územní samosprávný celek zveřejní návrh </w:t>
      </w:r>
      <w:r>
        <w:rPr>
          <w:strike/>
        </w:rPr>
        <w:t>svého</w:t>
      </w:r>
      <w:r>
        <w:rPr/>
        <w:t xml:space="preserve"> závěrečného účtu včetně zprávy o výsledku přezkoumání hospodaření</w:t>
      </w:r>
      <w:r>
        <w:rPr>
          <w:vertAlign w:val="superscript"/>
        </w:rPr>
        <w:t xml:space="preserve">21) </w:t>
      </w:r>
      <w:r>
        <w:rPr>
          <w:b/>
          <w:bCs/>
        </w:rPr>
        <w:t>na svých internetových stránkách a na úřední desce</w:t>
      </w:r>
      <w:r>
        <w:rPr/>
        <w:t xml:space="preserve"> </w:t>
      </w:r>
      <w:r>
        <w:rPr>
          <w:strike/>
        </w:rPr>
        <w:t>po dobu</w:t>
      </w:r>
      <w:r>
        <w:rPr/>
        <w:t xml:space="preserve"> nejméně 15 dnů přede dnem </w:t>
      </w:r>
      <w:r>
        <w:rPr>
          <w:b/>
          <w:bCs/>
        </w:rPr>
        <w:t>zahájení</w:t>
      </w:r>
      <w:r>
        <w:rPr/>
        <w:t xml:space="preserve"> jeho projednávání na zasedání zastupitelstva územního samosprávného celku</w:t>
      </w:r>
      <w:r>
        <w:rPr>
          <w:vertAlign w:val="superscript"/>
        </w:rPr>
        <w:t xml:space="preserve">10) </w:t>
      </w:r>
      <w:r>
        <w:rPr>
          <w:strike/>
        </w:rPr>
        <w:t>na své úřední desce a způsobem umožňujícím dálkový přístup</w:t>
      </w:r>
      <w:r>
        <w:rPr/>
        <w:t xml:space="preserve">. </w:t>
      </w:r>
      <w:r>
        <w:rPr>
          <w:b/>
          <w:bCs/>
        </w:rPr>
        <w:t xml:space="preserve">Na internetových stránkách se zveřejňuje úplné znění návrhu včetně zprávy o výsledku přezkoumání hospodaření. </w:t>
      </w:r>
      <w:r>
        <w:rPr/>
        <w:t xml:space="preserve">Na úřední desce může být návrh </w:t>
      </w:r>
      <w:r>
        <w:rPr>
          <w:strike/>
        </w:rPr>
        <w:t xml:space="preserve">závěrečného účtu </w:t>
      </w:r>
      <w:r>
        <w:rPr/>
        <w:t xml:space="preserve">zveřejněn v užším rozsahu, který obsahuje alespoň údaje o plnění příjmů a výdajů rozpočtu v třídění podle nejvyšších jednotek druhového třídění rozpočtové skladby a závěr zprávy o výsledku přezkoumání hospodaření. </w:t>
      </w:r>
      <w:r>
        <w:rPr>
          <w:strike/>
        </w:rPr>
        <w:t>Způsobem umožňujícím dálkový přístup se zveřejňuje úplné znění návrhu závěrečného účtu včetně celé zprávy o výsledku přezkoumání hospodaření.</w:t>
      </w:r>
      <w:r>
        <w:rPr/>
        <w:t xml:space="preserve"> </w:t>
      </w:r>
      <w:r>
        <w:rPr>
          <w:b/>
          <w:bCs/>
        </w:rPr>
        <w:t>Zveřejnění musí trvat až do schválení závěrečného účtu</w:t>
      </w:r>
      <w:r>
        <w:rPr/>
        <w:t>.</w:t>
      </w:r>
      <w:r>
        <w:rPr>
          <w:b/>
          <w:bCs/>
        </w:rPr>
        <w:t xml:space="preserve"> </w:t>
      </w:r>
      <w:r>
        <w:rPr/>
        <w:t>Připomínky k návrhu závěrečného účtu mohou občané příslušného územního samosprávného celku uplatnit písemně ve lhůtě stanovené při jeho zveřejnění</w:t>
      </w:r>
      <w:r>
        <w:rPr>
          <w:b/>
          <w:strike/>
        </w:rPr>
        <w:t>,</w:t>
      </w:r>
      <w:r>
        <w:rPr/>
        <w:t xml:space="preserve"> nebo ústně při jeho projednávání na zasedání zastupitelstva. </w:t>
      </w:r>
    </w:p>
    <w:p>
      <w:pPr>
        <w:pStyle w:val="Textlnku"/>
        <w:shd w:val="clear" w:color="auto" w:fill="D9D9D9" w:themeFill="background1" w:themeFillShade="d9"/>
        <w:rPr>
          <w:b/>
          <w:b/>
        </w:rPr>
      </w:pPr>
      <w:r>
        <w:rPr>
          <w:b/>
        </w:rPr>
        <w:t>„</w:t>
      </w:r>
      <w:r>
        <w:rPr>
          <w:b/>
        </w:rPr>
        <w:t>(8) Územní samosprávný celek zveřejní závěrečný účet včetně zprávy o výsledku přezkoumání hospodaření</w:t>
      </w:r>
      <w:r>
        <w:rPr>
          <w:b/>
          <w:sz w:val="16"/>
          <w:szCs w:val="16"/>
        </w:rPr>
        <w:t xml:space="preserve"> </w:t>
      </w:r>
      <w:r>
        <w:rPr>
          <w:b/>
        </w:rPr>
        <w:t>na svých internetových stránkách</w:t>
      </w:r>
      <w:r>
        <w:rPr>
          <w:b/>
          <w:sz w:val="16"/>
          <w:szCs w:val="16"/>
        </w:rPr>
        <w:t xml:space="preserve"> </w:t>
      </w:r>
      <w:r>
        <w:rPr>
          <w:b/>
        </w:rPr>
        <w:t>do 30 dnů ode dne jeho schválení</w:t>
      </w:r>
      <w:r>
        <w:rPr>
          <w:b/>
          <w:vertAlign w:val="superscript"/>
        </w:rPr>
        <w:t xml:space="preserve">10) </w:t>
      </w:r>
      <w:r>
        <w:rPr>
          <w:b/>
        </w:rPr>
        <w:t xml:space="preserve">a současně oznámí na úřední desce, kde je zveřejněn v elektronické podobě a kde je možno nahlédnout do jeho listinné podoby. Tímto způsobem musí být zpřístupněn až do schválení závěrečného účtu za následující rozpočtový rok.“. </w:t>
      </w:r>
    </w:p>
    <w:p>
      <w:pPr>
        <w:pStyle w:val="Normal"/>
        <w:rPr>
          <w:color w:val="FF0000"/>
        </w:rPr>
      </w:pPr>
      <w:r>
        <w:rPr>
          <w:color w:val="FF0000"/>
        </w:rPr>
      </w:r>
    </w:p>
    <w:p>
      <w:pPr>
        <w:pStyle w:val="Normal"/>
        <w:jc w:val="center"/>
        <w:rPr/>
      </w:pPr>
      <w:r>
        <w:rPr/>
      </w:r>
    </w:p>
    <w:p>
      <w:pPr>
        <w:pStyle w:val="Normal"/>
        <w:shd w:val="clear" w:color="auto" w:fill="D9D9D9" w:themeFill="background1" w:themeFillShade="d9"/>
        <w:jc w:val="center"/>
        <w:rPr/>
      </w:pPr>
      <w:r>
        <w:rPr/>
        <w:t>§ 22a</w:t>
      </w:r>
    </w:p>
    <w:p>
      <w:pPr>
        <w:pStyle w:val="Normal"/>
        <w:shd w:val="clear" w:color="auto" w:fill="D9D9D9" w:themeFill="background1" w:themeFillShade="d9"/>
        <w:jc w:val="both"/>
        <w:rPr/>
      </w:pPr>
      <w:r>
        <w:rPr/>
        <w:t xml:space="preserve"> </w:t>
      </w:r>
      <w:r>
        <w:rPr/>
        <w:t>(2) Územní samosprávný celek nebo městská část hlavního města Prahy se dopustí správního deliktu tím, že v rozporu s</w:t>
      </w:r>
    </w:p>
    <w:p>
      <w:pPr>
        <w:pStyle w:val="Normal"/>
        <w:numPr>
          <w:ilvl w:val="0"/>
          <w:numId w:val="0"/>
        </w:numPr>
        <w:shd w:val="clear" w:color="auto" w:fill="D9D9D9" w:themeFill="background1" w:themeFillShade="d9"/>
        <w:jc w:val="both"/>
        <w:outlineLvl w:val="0"/>
        <w:rPr>
          <w:b/>
          <w:b/>
          <w:bCs/>
        </w:rPr>
      </w:pPr>
      <w:r>
        <w:rPr>
          <w:b/>
          <w:bCs/>
        </w:rPr>
        <w:t>a) § 3 odst. 3 nezveřejní návrh střednědobého výhledu rozpočtu,</w:t>
      </w:r>
    </w:p>
    <w:p>
      <w:pPr>
        <w:pStyle w:val="Normal"/>
        <w:numPr>
          <w:ilvl w:val="0"/>
          <w:numId w:val="0"/>
        </w:numPr>
        <w:shd w:val="clear" w:color="auto" w:fill="D9D9D9" w:themeFill="background1" w:themeFillShade="d9"/>
        <w:jc w:val="both"/>
        <w:outlineLvl w:val="0"/>
        <w:rPr>
          <w:b/>
          <w:b/>
          <w:bCs/>
        </w:rPr>
      </w:pPr>
      <w:r>
        <w:rPr>
          <w:b/>
          <w:bCs/>
        </w:rPr>
        <w:t>b) § 3 odst. 4 nezveřejní střednědobý výhled rozpočtu,</w:t>
      </w:r>
    </w:p>
    <w:p>
      <w:pPr>
        <w:pStyle w:val="Normal"/>
        <w:numPr>
          <w:ilvl w:val="0"/>
          <w:numId w:val="0"/>
        </w:numPr>
        <w:shd w:val="clear" w:color="auto" w:fill="D9D9D9" w:themeFill="background1" w:themeFillShade="d9"/>
        <w:jc w:val="both"/>
        <w:outlineLvl w:val="0"/>
        <w:rPr/>
      </w:pPr>
      <w:r>
        <w:rPr>
          <w:b/>
          <w:bCs/>
        </w:rPr>
        <w:t xml:space="preserve">c) </w:t>
      </w:r>
      <w:r>
        <w:rPr>
          <w:strike/>
        </w:rPr>
        <w:t>a)</w:t>
      </w:r>
      <w:r>
        <w:rPr/>
        <w:t xml:space="preserve"> § 11 odst. 2 zpracuje a schválí rozpočet,</w:t>
      </w:r>
    </w:p>
    <w:p>
      <w:pPr>
        <w:pStyle w:val="Normal"/>
        <w:numPr>
          <w:ilvl w:val="0"/>
          <w:numId w:val="0"/>
        </w:numPr>
        <w:shd w:val="clear" w:color="auto" w:fill="D9D9D9" w:themeFill="background1" w:themeFillShade="d9"/>
        <w:jc w:val="both"/>
        <w:outlineLvl w:val="0"/>
        <w:rPr>
          <w:strike/>
        </w:rPr>
      </w:pPr>
      <w:r>
        <w:rPr>
          <w:b/>
          <w:bCs/>
        </w:rPr>
        <w:t>d)</w:t>
      </w:r>
      <w:r>
        <w:rPr/>
        <w:t xml:space="preserve"> </w:t>
      </w:r>
      <w:r>
        <w:rPr>
          <w:strike/>
        </w:rPr>
        <w:t>b)</w:t>
      </w:r>
      <w:r>
        <w:rPr/>
        <w:t xml:space="preserve"> § 11 odst. 3 nezveřejní návrh rozpočtu, </w:t>
      </w:r>
      <w:r>
        <w:rPr>
          <w:b/>
          <w:i/>
        </w:rPr>
        <w:t xml:space="preserve">návrh </w:t>
      </w:r>
      <w:r>
        <w:rPr>
          <w:b/>
          <w:bCs/>
          <w:i/>
        </w:rPr>
        <w:t>rozpočtového opatření, nebo návrh pravidel rozpočtového provizoria</w:t>
      </w:r>
      <w:r>
        <w:rPr>
          <w:b/>
          <w:bCs/>
        </w:rPr>
        <w:t>,</w:t>
      </w:r>
      <w:r>
        <w:rPr/>
        <w:t xml:space="preserve"> </w:t>
      </w:r>
      <w:r>
        <w:rPr>
          <w:strike/>
        </w:rPr>
        <w:t>nebo</w:t>
      </w:r>
    </w:p>
    <w:p>
      <w:pPr>
        <w:pStyle w:val="Normal"/>
        <w:numPr>
          <w:ilvl w:val="0"/>
          <w:numId w:val="0"/>
        </w:numPr>
        <w:shd w:val="clear" w:color="auto" w:fill="D9D9D9" w:themeFill="background1" w:themeFillShade="d9"/>
        <w:jc w:val="both"/>
        <w:outlineLvl w:val="0"/>
        <w:rPr>
          <w:b/>
          <w:b/>
          <w:bCs/>
        </w:rPr>
      </w:pPr>
      <w:r>
        <w:rPr>
          <w:b/>
          <w:bCs/>
        </w:rPr>
        <w:t>e) § 11 odst. 4 nezveřejní rozpočet, rozpočtové opatření, nebo pravidla rozpočtového provizoria</w:t>
      </w:r>
      <w:r>
        <w:rPr/>
        <w:t>,</w:t>
      </w:r>
    </w:p>
    <w:p>
      <w:pPr>
        <w:pStyle w:val="Normal"/>
        <w:numPr>
          <w:ilvl w:val="0"/>
          <w:numId w:val="0"/>
        </w:numPr>
        <w:shd w:val="clear" w:color="auto" w:fill="D9D9D9" w:themeFill="background1" w:themeFillShade="d9"/>
        <w:jc w:val="both"/>
        <w:outlineLvl w:val="0"/>
        <w:rPr>
          <w:b/>
          <w:b/>
          <w:bCs/>
        </w:rPr>
      </w:pPr>
      <w:r>
        <w:rPr>
          <w:b/>
          <w:bCs/>
        </w:rPr>
        <w:t>f)</w:t>
      </w:r>
      <w:r>
        <w:rPr>
          <w:strike/>
        </w:rPr>
        <w:t xml:space="preserve"> e)</w:t>
      </w:r>
      <w:r>
        <w:rPr/>
        <w:t xml:space="preserve"> </w:t>
      </w:r>
      <w:r>
        <w:rPr>
          <w:strike/>
        </w:rPr>
        <w:t>c)</w:t>
      </w:r>
      <w:r>
        <w:rPr/>
        <w:t xml:space="preserve"> § 17 odst. 6 nezveřejní návrh závěrečného účtu</w:t>
      </w:r>
      <w:r>
        <w:rPr>
          <w:b/>
          <w:bCs/>
        </w:rPr>
        <w:t>, nebo</w:t>
      </w:r>
    </w:p>
    <w:p>
      <w:pPr>
        <w:pStyle w:val="Normal"/>
        <w:numPr>
          <w:ilvl w:val="0"/>
          <w:numId w:val="0"/>
        </w:numPr>
        <w:shd w:val="clear" w:color="auto" w:fill="D9D9D9" w:themeFill="background1" w:themeFillShade="d9"/>
        <w:spacing w:before="0" w:after="120"/>
        <w:jc w:val="both"/>
        <w:outlineLvl w:val="0"/>
        <w:rPr/>
      </w:pPr>
      <w:r>
        <w:rPr>
          <w:b/>
          <w:bCs/>
        </w:rPr>
        <w:t>g) § 17 odst. 8 nezveřejní závěrečný účet</w:t>
      </w:r>
      <w:r>
        <w:rPr/>
        <w:t>.</w:t>
      </w:r>
    </w:p>
    <w:p>
      <w:pPr>
        <w:pStyle w:val="Novelizanbod"/>
        <w:keepLines/>
        <w:widowControl/>
        <w:numPr>
          <w:ilvl w:val="0"/>
          <w:numId w:val="0"/>
        </w:numPr>
        <w:tabs>
          <w:tab w:val="left" w:pos="851" w:leader="none"/>
        </w:tabs>
        <w:suppressAutoHyphens w:val="false"/>
        <w:spacing w:before="120" w:after="120"/>
        <w:textAlignment w:val="auto"/>
        <w:rPr>
          <w:i/>
          <w:i/>
        </w:rPr>
      </w:pPr>
      <w:r>
        <w:rPr>
          <w:i/>
        </w:rPr>
        <w:t xml:space="preserve">Označené kurzívou – v původním návrhu novely zákona byla povinnost pro ÚSC zveřejňovat také návrh rozpočtového opatření a návrh pravidel rozpočtového provizoria. Tyto povinnosti byly při projednávání  návrhu novely zákona odstraněny. Návrh novely zákona, se kterým sněmovna vyjádřila souhlas ve 3. čtení dne 19. 10. 2016, již tyto povinnosti původně zakotvené v § 13 a § 16 neobsahoval. V původním návrhu novely zákona byly také tyto povinnosti navázány na správní delikty. Zákonodárce po odstranění těchto zveřejňovacích povinností z textu novely zákona neodstranil vazbu na správních delikty (při nezveřejnění návrhu rozpočtového opatření a návrhu rozpočtového provizoria). Toto ustanovení správních deliktů je tak absolutně neaplikovatelné.  </w:t>
      </w:r>
    </w:p>
    <w:p>
      <w:pPr>
        <w:pStyle w:val="Novelizanbod"/>
        <w:keepLines/>
        <w:widowControl/>
        <w:numPr>
          <w:ilvl w:val="0"/>
          <w:numId w:val="0"/>
        </w:numPr>
        <w:tabs>
          <w:tab w:val="left" w:pos="851" w:leader="none"/>
        </w:tabs>
        <w:suppressAutoHyphens w:val="false"/>
        <w:spacing w:before="120" w:after="120"/>
        <w:textAlignment w:val="auto"/>
        <w:rPr>
          <w:i/>
          <w:i/>
        </w:rPr>
      </w:pPr>
      <w:r>
        <w:rPr>
          <w:i/>
        </w:rPr>
        <w:t xml:space="preserve">Obdobná úprava § 22a se týká také RRRS (odst. 3) a DSO (odst. 4). </w:t>
      </w:r>
    </w:p>
    <w:p>
      <w:pPr>
        <w:pStyle w:val="Novelizanbod"/>
        <w:keepLines/>
        <w:widowControl/>
        <w:numPr>
          <w:ilvl w:val="0"/>
          <w:numId w:val="0"/>
        </w:numPr>
        <w:tabs>
          <w:tab w:val="left" w:pos="851" w:leader="none"/>
        </w:tabs>
        <w:suppressAutoHyphens w:val="false"/>
        <w:spacing w:before="120" w:after="120"/>
        <w:textAlignment w:val="auto"/>
        <w:rPr>
          <w:i/>
          <w:i/>
        </w:rPr>
      </w:pPr>
      <w:r>
        <w:rPr>
          <w:i/>
        </w:rPr>
      </w:r>
    </w:p>
    <w:p>
      <w:pPr>
        <w:pStyle w:val="Novelizanbod"/>
        <w:keepLines/>
        <w:widowControl/>
        <w:numPr>
          <w:ilvl w:val="0"/>
          <w:numId w:val="0"/>
        </w:numPr>
        <w:tabs>
          <w:tab w:val="left" w:pos="851" w:leader="none"/>
        </w:tabs>
        <w:suppressAutoHyphens w:val="false"/>
        <w:spacing w:before="0" w:after="0"/>
        <w:textAlignment w:val="auto"/>
        <w:rPr>
          <w:rStyle w:val="Emphasis"/>
          <w:b/>
          <w:b/>
          <w:iCs w:val="false"/>
        </w:rPr>
      </w:pPr>
      <w:r>
        <w:rPr>
          <w:b/>
        </w:rPr>
        <w:t>Zveřejňovací povinnosti DSO</w:t>
      </w:r>
    </w:p>
    <w:p>
      <w:pPr>
        <w:pStyle w:val="Novelizanbod"/>
        <w:keepLines/>
        <w:widowControl/>
        <w:numPr>
          <w:ilvl w:val="0"/>
          <w:numId w:val="0"/>
        </w:numPr>
        <w:shd w:val="clear" w:color="auto" w:fill="D9D9D9" w:themeFill="background1" w:themeFillShade="d9"/>
        <w:tabs>
          <w:tab w:val="left" w:pos="851" w:leader="none"/>
        </w:tabs>
        <w:suppressAutoHyphens w:val="false"/>
        <w:spacing w:before="120" w:after="120"/>
        <w:jc w:val="left"/>
        <w:textAlignment w:val="auto"/>
        <w:rPr>
          <w:b/>
          <w:b/>
        </w:rPr>
      </w:pPr>
      <w:r>
        <w:rPr>
          <w:b/>
        </w:rPr>
        <w:t>§ 39 – text odstavců, ve kterých došlo ke změně textu</w:t>
      </w:r>
    </w:p>
    <w:p>
      <w:pPr>
        <w:pStyle w:val="Textlnku"/>
        <w:shd w:val="clear" w:color="auto" w:fill="D9D9D9" w:themeFill="background1" w:themeFillShade="d9"/>
        <w:rPr>
          <w:b/>
          <w:b/>
        </w:rPr>
      </w:pPr>
      <w:r>
        <w:rPr>
          <w:b/>
        </w:rPr>
        <w:t>„</w:t>
      </w:r>
      <w:r>
        <w:rPr>
          <w:b/>
        </w:rPr>
        <w:t>(4) Svazek obcí zveřejní návrh střednědobého výhledu rozpočtu na svých internetových stránkách a na úředních deskách členských obcí nejméně 15 dnů přede dnem zahájení jeho projednávání na zasedání příslušného orgánu svazku obcí. Na internetových stránkách se zveřejňuje úplné znění návrhu. Na úředních deskách může být návrh zveřejněn v užším rozsahu, který obsahuje alespoň údaje o příjmech a výdajích v jednotlivých letech a o dlouhodobých závazcích a pohledávkách. Zveřejnění musí trvat až do schválení střednědobého výhledu rozpočtu. Připomínky k návrhu střednědobého výhledu rozpočtu mohou občané členských obcí uplatnit písemně ve lhůtě stanovené při jeho zveřejnění nebo ústně při jeho projednávání na zasedání příslušného orgánu svazku obcí.</w:t>
      </w:r>
    </w:p>
    <w:p>
      <w:pPr>
        <w:pStyle w:val="Textlnku"/>
        <w:shd w:val="clear" w:color="auto" w:fill="D9D9D9" w:themeFill="background1" w:themeFillShade="d9"/>
        <w:rPr>
          <w:b/>
          <w:b/>
        </w:rPr>
      </w:pPr>
      <w:r>
        <w:rPr>
          <w:b/>
        </w:rPr>
        <w:t xml:space="preserve">(5) Svazek obcí zveřejní střednědobý výhled rozpočtu na svých internetových stránkách do 30 dnů ode dne jeho schválení a současně oznámí na úředních deskách členských obcí jeho zveřejnění, s uvedením, kde byl zveřejněn v elektronické podobě a kde je možno nahlédnout do jeho listinné podoby. Tímto způsobem musí být zpřístupněn až do schválení nového střednědobého výhledu rozpočtu.“. </w:t>
      </w:r>
    </w:p>
    <w:p>
      <w:pPr>
        <w:pStyle w:val="Textlnku"/>
        <w:shd w:val="clear" w:color="auto" w:fill="D9D9D9" w:themeFill="background1" w:themeFillShade="d9"/>
        <w:rPr>
          <w:b/>
          <w:b/>
        </w:rPr>
      </w:pPr>
      <w:r>
        <w:rPr>
          <w:b/>
        </w:rPr>
        <w:t>„</w:t>
      </w:r>
      <w:r>
        <w:rPr>
          <w:b/>
        </w:rPr>
        <w:t>(6) Svazek obcí zveřejní návrh rozpočtu na svých internetových stránkách a na úředních deskách členských obcí nejméně 15 dnů přede dnem zahájení jeho projednávání na zasedání příslušného orgánu svazku obcí. Na internetových stránkách se zveřejňuje úplné znění návrhu rozpočtu. Na úředních deskách může být návrh zveřejněn v užším rozsahu, který obsahuje alespoň údaje o příjmech a výdajích rozpočtu v třídění podle nejvyšších jednotek druhového třídění rozpočtové skladby. Zveřejnění musí trvat až do schválení rozpočtu. Připomínky k návrhu rozpočtu mohou občané členských obcí uplatnit písemně ve lhůtě stanovené při jeho zveřejnění nebo ústně při jeho projednávání na zasedání příslušného orgánu svazku obcí.“.</w:t>
      </w:r>
    </w:p>
    <w:p>
      <w:pPr>
        <w:pStyle w:val="Textlnku"/>
        <w:shd w:val="clear" w:color="auto" w:fill="D9D9D9" w:themeFill="background1" w:themeFillShade="d9"/>
        <w:rPr>
          <w:b/>
          <w:b/>
        </w:rPr>
      </w:pPr>
      <w:r>
        <w:rPr>
          <w:b/>
        </w:rPr>
        <w:t>„</w:t>
      </w:r>
      <w:r>
        <w:rPr>
          <w:b/>
        </w:rPr>
        <w:t xml:space="preserve">(7) Svazek obcí zveřejní rozpočet na svých internetových stránkách do 30 dnů ode dne jeho schválení a současně oznámí na úředních deskách členských obcí jeho zveřejnění s uvedením, kde byl zveřejněn v elektronické podobě a kde je možno nahlédnout do jeho listinné podoby. Tímto způsobem musí být zpřístupněn až do schválení rozpočtu na následující rozpočtový rok.“. </w:t>
      </w:r>
    </w:p>
    <w:p>
      <w:pPr>
        <w:pStyle w:val="Textlnku"/>
        <w:shd w:val="clear" w:color="auto" w:fill="D9D9D9" w:themeFill="background1" w:themeFillShade="d9"/>
        <w:rPr>
          <w:b/>
          <w:b/>
        </w:rPr>
      </w:pPr>
      <w:r>
        <w:rPr>
          <w:b/>
        </w:rPr>
        <w:t>„</w:t>
      </w:r>
      <w:r>
        <w:rPr>
          <w:b/>
        </w:rPr>
        <w:t>(9) Svazek obcí zveřejní návrh závěrečného účtu včetně zprávy o výsledku přezkoumání hospodaření</w:t>
      </w:r>
      <w:r>
        <w:rPr>
          <w:b/>
          <w:vertAlign w:val="superscript"/>
        </w:rPr>
        <w:t xml:space="preserve">21) </w:t>
      </w:r>
      <w:r>
        <w:rPr>
          <w:b/>
        </w:rPr>
        <w:t>na svých internetových stránkách a na úředních deskách členských obcí nejméně 15 dnů přede dnem zahájení jeho projednávání na zasedání příslušného orgánu svazku obcí. Na internetových stránkách se zveřejňuje úplné znění návrhu včetně zprávy o výsledku přezkoumání hospodaření. Na úředních deskách může být návrh zveřejněn v užším rozsahu, který obsahuje alespoň údaje o plnění příjmů a výdajů rozpočtu v třídění podle nejvyšších jednotek druhového třídění rozpočtové skladby a závěr zprávy o výsledku přezkoumání hospodaření. Zveřejnění musí trvat až do schválení závěrečného účtu. Připomínky k návrhu závěrečného účtu mohou občané členských obcí uplatnit písemně ve lhůtě stanovené při jeho zveřejnění nebo ústně při jeho projednávání na zasedání příslušného orgánu svazku obcí.“.</w:t>
      </w:r>
    </w:p>
    <w:p>
      <w:pPr>
        <w:pStyle w:val="Textlnku"/>
        <w:shd w:val="clear" w:color="auto" w:fill="D9D9D9" w:themeFill="background1" w:themeFillShade="d9"/>
        <w:rPr>
          <w:b/>
          <w:b/>
        </w:rPr>
      </w:pPr>
      <w:r>
        <w:rPr>
          <w:b/>
        </w:rPr>
        <w:t>„</w:t>
      </w:r>
      <w:r>
        <w:rPr>
          <w:b/>
        </w:rPr>
        <w:t>(10) Svazek obcí zveřejní závěrečný účet včetně zprávy o výsledku přezkoumání hospodaření na svých internetových stránkách do 30 dnů od jeho schválení a současně vyvěsí na úředních deskách členských obcí oznámení o jeho zveřejnění s uvedením, kde byl zveřejněn v elektronické podobě a kde je možno nahlédnout do jeho listinné podoby. Tímto způsobem musí být zpřístupněn až do schválení závěrečného účtu za další rozpočtový rok.“.</w:t>
      </w:r>
    </w:p>
    <w:p>
      <w:pPr>
        <w:pStyle w:val="Normal"/>
        <w:jc w:val="both"/>
        <w:rPr>
          <w:rStyle w:val="Emphasis"/>
          <w:b/>
          <w:b/>
          <w:i w:val="false"/>
          <w:i w:val="false"/>
          <w:u w:val="single"/>
        </w:rPr>
      </w:pPr>
      <w:r>
        <w:rPr>
          <w:b/>
          <w:i w:val="false"/>
          <w:u w:val="single"/>
        </w:rPr>
      </w:r>
    </w:p>
    <w:p>
      <w:pPr>
        <w:pStyle w:val="Normal"/>
        <w:jc w:val="both"/>
        <w:rPr>
          <w:rStyle w:val="Emphasis"/>
          <w:b/>
          <w:b/>
          <w:i w:val="false"/>
          <w:i w:val="false"/>
          <w:u w:val="single"/>
        </w:rPr>
      </w:pPr>
      <w:r>
        <w:rPr>
          <w:rStyle w:val="Emphasis"/>
          <w:b/>
          <w:i w:val="false"/>
          <w:u w:val="single"/>
        </w:rPr>
        <w:t xml:space="preserve">Zveřejňovací povinnosti, shrnutí: </w:t>
      </w:r>
    </w:p>
    <w:p>
      <w:pPr>
        <w:pStyle w:val="Normal"/>
        <w:jc w:val="both"/>
        <w:rPr>
          <w:rStyle w:val="Emphasis"/>
          <w:i w:val="false"/>
          <w:i w:val="false"/>
        </w:rPr>
      </w:pPr>
      <w:r>
        <w:rPr>
          <w:i w:val="false"/>
        </w:rPr>
      </w:r>
    </w:p>
    <w:tbl>
      <w:tblPr>
        <w:tblStyle w:val="Mkatabulky"/>
        <w:tblW w:w="8954" w:type="dxa"/>
        <w:jc w:val="left"/>
        <w:tblInd w:w="108" w:type="dxa"/>
        <w:tblCellMar>
          <w:top w:w="0" w:type="dxa"/>
          <w:left w:w="108" w:type="dxa"/>
          <w:bottom w:w="0" w:type="dxa"/>
          <w:right w:w="108" w:type="dxa"/>
        </w:tblCellMar>
        <w:tblLook w:val="04a0" w:noVBand="1" w:noHBand="0" w:lastColumn="0" w:firstColumn="1" w:lastRow="0" w:firstRow="1"/>
      </w:tblPr>
      <w:tblGrid>
        <w:gridCol w:w="8954"/>
      </w:tblGrid>
      <w:tr>
        <w:trPr/>
        <w:tc>
          <w:tcPr>
            <w:tcW w:w="8954" w:type="dxa"/>
            <w:tcBorders/>
            <w:shd w:color="auto" w:fill="D9D9D9" w:themeFill="background1" w:themeFillShade="d9" w:val="clear"/>
            <w:tcMar>
              <w:left w:w="108" w:type="dxa"/>
            </w:tcMar>
          </w:tcPr>
          <w:p>
            <w:pPr>
              <w:pStyle w:val="Normal"/>
              <w:jc w:val="both"/>
              <w:rPr>
                <w:b/>
                <w:b/>
              </w:rPr>
            </w:pPr>
            <w:r>
              <w:rPr>
                <w:b/>
                <w:u w:val="single"/>
              </w:rPr>
              <w:t>Návrh</w:t>
            </w:r>
            <w:r>
              <w:rPr>
                <w:b/>
              </w:rPr>
              <w:t xml:space="preserve"> </w:t>
            </w:r>
            <w:r>
              <w:rPr/>
              <w:t>střednědobého výhledu rozpočtu, návrh rozpočtu, návrh závěrečného účtu</w:t>
            </w:r>
            <w:r>
              <w:rPr>
                <w:b/>
              </w:rPr>
              <w:t>:</w:t>
            </w:r>
          </w:p>
        </w:tc>
      </w:tr>
      <w:tr>
        <w:trPr>
          <w:trHeight w:val="2273" w:hRule="atLeast"/>
        </w:trPr>
        <w:tc>
          <w:tcPr>
            <w:tcW w:w="8954" w:type="dxa"/>
            <w:tcBorders/>
            <w:shd w:fill="auto" w:val="clear"/>
            <w:tcMar>
              <w:left w:w="108" w:type="dxa"/>
            </w:tcMar>
            <w:vAlign w:val="center"/>
          </w:tcPr>
          <w:p>
            <w:pPr>
              <w:pStyle w:val="ListParagraph"/>
              <w:numPr>
                <w:ilvl w:val="0"/>
                <w:numId w:val="7"/>
              </w:numPr>
              <w:ind w:left="317" w:hanging="284"/>
              <w:jc w:val="both"/>
              <w:rPr/>
            </w:pPr>
            <w:r>
              <w:rPr/>
              <w:t xml:space="preserve">Zveřejní se nejméně 15 dnů přede dnem jeho projednávání na zastupitelstvu na internetových stránkách a na úřední desce. </w:t>
            </w:r>
          </w:p>
          <w:p>
            <w:pPr>
              <w:pStyle w:val="ListParagraph"/>
              <w:numPr>
                <w:ilvl w:val="0"/>
                <w:numId w:val="7"/>
              </w:numPr>
              <w:ind w:left="317" w:hanging="284"/>
              <w:jc w:val="both"/>
              <w:rPr/>
            </w:pPr>
            <w:r>
              <w:rPr/>
              <w:t xml:space="preserve">Na internetových stránkách se zveřejní v plném rozsahu. Na úřední desce je možno v užším rozsahu. </w:t>
            </w:r>
          </w:p>
          <w:p>
            <w:pPr>
              <w:pStyle w:val="ListParagraph"/>
              <w:numPr>
                <w:ilvl w:val="0"/>
                <w:numId w:val="7"/>
              </w:numPr>
              <w:ind w:left="317" w:hanging="284"/>
              <w:jc w:val="both"/>
              <w:rPr/>
            </w:pPr>
            <w:r>
              <w:rPr/>
              <w:t xml:space="preserve">Na úřední desce se zároveň uvede, kde je návrh zveřejněn na internetových stránkách a kde je k nahlédnutí v listinné podobě. </w:t>
            </w:r>
          </w:p>
          <w:p>
            <w:pPr>
              <w:pStyle w:val="ListParagraph"/>
              <w:numPr>
                <w:ilvl w:val="0"/>
                <w:numId w:val="7"/>
              </w:numPr>
              <w:ind w:left="317" w:hanging="284"/>
              <w:jc w:val="both"/>
              <w:rPr>
                <w:b/>
                <w:b/>
              </w:rPr>
            </w:pPr>
            <w:r>
              <w:rPr/>
              <w:t>Návrh musí být zveřejněn až do schválení.</w:t>
            </w:r>
            <w:r>
              <w:rPr>
                <w:b/>
              </w:rPr>
              <w:t xml:space="preserve"> </w:t>
            </w:r>
          </w:p>
        </w:tc>
      </w:tr>
    </w:tbl>
    <w:p>
      <w:pPr>
        <w:pStyle w:val="Normal"/>
        <w:rPr>
          <w:i/>
          <w:i/>
        </w:rPr>
      </w:pPr>
      <w:r>
        <w:rPr>
          <w:i/>
          <w:highlight w:val="yellow"/>
        </w:rPr>
        <w:t>Pozn.: U návrh závěrečného účtu není dle znění § 17 odst. 6 zákona č. 250/2000 Sb. povinnost oznámit na úřední desce, kde je návrh závěrečného účtu zveřejněn na internetových stránkách a kde je možno nahlédnout do jeho listinné podoby.</w:t>
      </w:r>
      <w:r>
        <w:rPr>
          <w:i/>
        </w:rPr>
        <w:t xml:space="preserve"> </w:t>
      </w:r>
    </w:p>
    <w:p>
      <w:pPr>
        <w:pStyle w:val="Normal"/>
        <w:rPr/>
      </w:pPr>
      <w:r>
        <w:rPr/>
      </w:r>
    </w:p>
    <w:tbl>
      <w:tblPr>
        <w:tblStyle w:val="Mkatabulky"/>
        <w:tblW w:w="8954" w:type="dxa"/>
        <w:jc w:val="left"/>
        <w:tblInd w:w="108" w:type="dxa"/>
        <w:tblCellMar>
          <w:top w:w="0" w:type="dxa"/>
          <w:left w:w="108" w:type="dxa"/>
          <w:bottom w:w="0" w:type="dxa"/>
          <w:right w:w="108" w:type="dxa"/>
        </w:tblCellMar>
        <w:tblLook w:val="04a0" w:noVBand="1" w:noHBand="0" w:lastColumn="0" w:firstColumn="1" w:lastRow="0" w:firstRow="1"/>
      </w:tblPr>
      <w:tblGrid>
        <w:gridCol w:w="8954"/>
      </w:tblGrid>
      <w:tr>
        <w:trPr/>
        <w:tc>
          <w:tcPr>
            <w:tcW w:w="8954" w:type="dxa"/>
            <w:tcBorders/>
            <w:shd w:color="auto" w:fill="D9D9D9" w:themeFill="background1" w:themeFillShade="d9" w:val="clear"/>
            <w:tcMar>
              <w:left w:w="108" w:type="dxa"/>
            </w:tcMar>
          </w:tcPr>
          <w:p>
            <w:pPr>
              <w:pStyle w:val="Normal"/>
              <w:spacing w:before="0" w:after="0"/>
              <w:contextualSpacing/>
              <w:jc w:val="both"/>
              <w:rPr/>
            </w:pPr>
            <w:r>
              <w:rPr>
                <w:b/>
                <w:u w:val="single"/>
              </w:rPr>
              <w:t>Schválený(é)</w:t>
            </w:r>
            <w:r>
              <w:rPr/>
              <w:t xml:space="preserve"> střednědobý výhled rozpočtu, rozpočet, pravidla rozpočtového provizoria (pokud jsou na daný rok relevantní), rozpočtové opatření, závěrečný účet </w:t>
            </w:r>
          </w:p>
        </w:tc>
      </w:tr>
      <w:tr>
        <w:trPr>
          <w:trHeight w:val="989" w:hRule="atLeast"/>
        </w:trPr>
        <w:tc>
          <w:tcPr>
            <w:tcW w:w="8954" w:type="dxa"/>
            <w:tcBorders/>
            <w:shd w:fill="auto" w:val="clear"/>
            <w:tcMar>
              <w:left w:w="108" w:type="dxa"/>
            </w:tcMar>
            <w:vAlign w:val="center"/>
          </w:tcPr>
          <w:p>
            <w:pPr>
              <w:pStyle w:val="ListParagraph"/>
              <w:numPr>
                <w:ilvl w:val="0"/>
                <w:numId w:val="7"/>
              </w:numPr>
              <w:ind w:left="317" w:hanging="284"/>
              <w:jc w:val="both"/>
              <w:rPr>
                <w:b/>
                <w:b/>
              </w:rPr>
            </w:pPr>
            <w:r>
              <w:rPr/>
              <w:t>Do 30 dnů ode dne schválení se zveřejní na internetových stránkách a současně se oznámí na úřední desce, kde je zveřejněno na internetových stránkách a kde je možno nahlédnout do jejich listinné podoby.</w:t>
            </w:r>
          </w:p>
        </w:tc>
      </w:tr>
    </w:tbl>
    <w:p>
      <w:pPr>
        <w:pStyle w:val="Normal"/>
        <w:rPr>
          <w:b/>
          <w:b/>
          <w:u w:val="single"/>
        </w:rPr>
      </w:pPr>
      <w:r>
        <w:rPr>
          <w:b/>
          <w:u w:val="single"/>
        </w:rPr>
      </w:r>
    </w:p>
    <w:p>
      <w:pPr>
        <w:pStyle w:val="Normal"/>
        <w:rPr>
          <w:b/>
          <w:b/>
          <w:u w:val="single"/>
        </w:rPr>
      </w:pPr>
      <w:r>
        <w:rPr>
          <w:b/>
          <w:u w:val="single"/>
        </w:rPr>
        <w:t xml:space="preserve">Schválené dokumenty musí být zveřejněny až do: </w:t>
      </w:r>
    </w:p>
    <w:p>
      <w:pPr>
        <w:pStyle w:val="Normal"/>
        <w:rPr>
          <w:b/>
          <w:b/>
          <w:u w:val="single"/>
        </w:rPr>
      </w:pPr>
      <w:r>
        <w:rPr>
          <w:b/>
          <w:u w:val="single"/>
        </w:rPr>
      </w:r>
    </w:p>
    <w:p>
      <w:pPr>
        <w:pStyle w:val="ListParagraph"/>
        <w:numPr>
          <w:ilvl w:val="0"/>
          <w:numId w:val="8"/>
        </w:numPr>
        <w:jc w:val="both"/>
        <w:rPr/>
      </w:pPr>
      <w:r>
        <w:rPr>
          <w:b/>
        </w:rPr>
        <w:t>Schválený střednědobý výhled rozpočtu</w:t>
      </w:r>
      <w:r>
        <w:rPr/>
        <w:t xml:space="preserve"> musí být zveřejněn až do schválení nového střednědobého výhledu rozpočtu.  </w:t>
      </w:r>
    </w:p>
    <w:p>
      <w:pPr>
        <w:pStyle w:val="ListParagraph"/>
        <w:numPr>
          <w:ilvl w:val="0"/>
          <w:numId w:val="8"/>
        </w:numPr>
        <w:jc w:val="both"/>
        <w:rPr/>
      </w:pPr>
      <w:r>
        <w:rPr>
          <w:b/>
        </w:rPr>
        <w:t xml:space="preserve">Schválený rozpočet </w:t>
      </w:r>
      <w:r>
        <w:rPr/>
        <w:t xml:space="preserve">musí být zveřejněn až do doby schválení rozpočtu na následující rok. </w:t>
      </w:r>
    </w:p>
    <w:p>
      <w:pPr>
        <w:pStyle w:val="ListParagraph"/>
        <w:numPr>
          <w:ilvl w:val="0"/>
          <w:numId w:val="8"/>
        </w:numPr>
        <w:jc w:val="both"/>
        <w:rPr/>
      </w:pPr>
      <w:r>
        <w:rPr>
          <w:b/>
        </w:rPr>
        <w:t>Schválená pravidla rozpočtového provizoria</w:t>
      </w:r>
      <w:r>
        <w:rPr/>
        <w:t xml:space="preserve"> musí být zveřejněna až do </w:t>
      </w:r>
      <w:r>
        <w:rPr>
          <w:highlight w:val="yellow"/>
        </w:rPr>
        <w:t>schválení</w:t>
      </w:r>
      <w:r>
        <w:rPr/>
        <w:t xml:space="preserve"> rozpočtu. </w:t>
      </w:r>
    </w:p>
    <w:p>
      <w:pPr>
        <w:pStyle w:val="ListParagraph"/>
        <w:numPr>
          <w:ilvl w:val="0"/>
          <w:numId w:val="8"/>
        </w:numPr>
        <w:jc w:val="both"/>
        <w:rPr/>
      </w:pPr>
      <w:r>
        <w:rPr>
          <w:b/>
        </w:rPr>
        <w:t>Schválené rozpočtové opatření</w:t>
      </w:r>
      <w:r>
        <w:rPr/>
        <w:t xml:space="preserve"> musí být zveřejněno po dobu zveřejnění rozpočtu, ke kterému se rozpočtové opatření vztahuje (jinými slovy až do schválení a zveřejnění rozpočtu na další rok)</w:t>
      </w:r>
    </w:p>
    <w:p>
      <w:pPr>
        <w:pStyle w:val="ListParagraph"/>
        <w:numPr>
          <w:ilvl w:val="0"/>
          <w:numId w:val="8"/>
        </w:numPr>
        <w:jc w:val="both"/>
        <w:rPr/>
      </w:pPr>
      <w:r>
        <w:rPr>
          <w:b/>
        </w:rPr>
        <w:t>Schválený závěrečný účet</w:t>
      </w:r>
      <w:r>
        <w:rPr/>
        <w:t xml:space="preserve"> musí být zveřejněn až do schválení závěrečného účtu za následující rok. </w:t>
      </w:r>
    </w:p>
    <w:p>
      <w:pPr>
        <w:pStyle w:val="Normal"/>
        <w:rPr>
          <w:b/>
          <w:b/>
          <w:u w:val="single"/>
        </w:rPr>
      </w:pPr>
      <w:r>
        <w:rPr>
          <w:b/>
          <w:u w:val="single"/>
        </w:rPr>
      </w:r>
    </w:p>
    <w:p>
      <w:pPr>
        <w:pStyle w:val="Normal"/>
        <w:jc w:val="both"/>
        <w:rPr>
          <w:b/>
          <w:b/>
          <w:u w:val="single"/>
        </w:rPr>
      </w:pPr>
      <w:r>
        <w:rPr>
          <w:b/>
          <w:u w:val="single"/>
        </w:rPr>
        <w:t>Upozorňujeme na zveřejňovací povinnost u návrhu rozpočtu stanovenou § 5 odst. 3 zákona č. 23/2017 Sb.:</w:t>
      </w:r>
    </w:p>
    <w:p>
      <w:pPr>
        <w:pStyle w:val="Normal"/>
        <w:rPr>
          <w:b/>
          <w:b/>
          <w:u w:val="single"/>
        </w:rPr>
      </w:pPr>
      <w:r>
        <w:rPr>
          <w:b/>
          <w:u w:val="single"/>
        </w:rPr>
      </w:r>
    </w:p>
    <w:p>
      <w:pPr>
        <w:pStyle w:val="Normal"/>
        <w:shd w:val="clear" w:color="auto" w:fill="D9D9D9" w:themeFill="background1" w:themeFillShade="d9"/>
        <w:jc w:val="center"/>
        <w:rPr/>
      </w:pPr>
      <w:r>
        <w:rPr/>
        <w:t>§ 5</w:t>
      </w:r>
    </w:p>
    <w:p>
      <w:pPr>
        <w:pStyle w:val="ListParagraph"/>
        <w:numPr>
          <w:ilvl w:val="0"/>
          <w:numId w:val="9"/>
        </w:numPr>
        <w:shd w:val="clear" w:color="auto" w:fill="D9D9D9" w:themeFill="background1" w:themeFillShade="d9"/>
        <w:ind w:left="0" w:firstLine="284"/>
        <w:jc w:val="both"/>
        <w:rPr>
          <w:u w:val="single"/>
        </w:rPr>
      </w:pPr>
      <w:r>
        <w:rPr/>
        <w:t>S návrhem rozpočtu na rozpočtový rok veřejná instituce zveřejní informace o schváleném rozpočtu na rozpočtový rok předcházející roku, na který je předkládán návrh rozpočtu (dále jen "předcházející rok"), a o očekávaném, nebo skutečném plnění rozpočtu za předcházející rok.</w:t>
      </w:r>
    </w:p>
    <w:p>
      <w:pPr>
        <w:pStyle w:val="Normal"/>
        <w:jc w:val="both"/>
        <w:rPr>
          <w:i/>
          <w:i/>
        </w:rPr>
      </w:pPr>
      <w:r>
        <w:rPr>
          <w:i/>
        </w:rPr>
        <w:t>Pozn.: v dikci zákona jsou obce, DSO, PO, kraje, RRRS a další tzv. „veřejnými institucemi“</w:t>
      </w:r>
    </w:p>
    <w:p>
      <w:pPr>
        <w:pStyle w:val="Normal"/>
        <w:jc w:val="both"/>
        <w:rPr>
          <w:i/>
          <w:i/>
        </w:rPr>
      </w:pPr>
      <w:r>
        <w:rPr>
          <w:i/>
        </w:rPr>
      </w:r>
    </w:p>
    <w:p>
      <w:pPr>
        <w:pStyle w:val="Normal"/>
        <w:spacing w:before="0" w:after="120"/>
        <w:jc w:val="both"/>
        <w:rPr>
          <w:b/>
          <w:b/>
          <w:i/>
          <w:i/>
        </w:rPr>
      </w:pPr>
      <w:r>
        <w:rPr>
          <w:b/>
          <w:i/>
        </w:rPr>
        <w:t>Dotaz města, emailová odpověď ředitele odboru 12 MF:</w:t>
      </w:r>
    </w:p>
    <w:p>
      <w:pPr>
        <w:pStyle w:val="Normal"/>
        <w:pBdr>
          <w:top w:val="single" w:sz="4" w:space="1" w:color="333333"/>
          <w:left w:val="single" w:sz="4" w:space="4" w:color="333333"/>
          <w:bottom w:val="single" w:sz="4" w:space="1" w:color="333333"/>
          <w:right w:val="single" w:sz="4" w:space="4" w:color="333333"/>
        </w:pBdr>
        <w:spacing w:before="0" w:after="120"/>
        <w:jc w:val="both"/>
        <w:rPr>
          <w:b/>
          <w:b/>
          <w:u w:val="single"/>
        </w:rPr>
      </w:pPr>
      <w:r>
        <w:rPr>
          <w:rStyle w:val="Strong"/>
          <w:i/>
          <w:iCs/>
        </w:rPr>
        <w:t>Dotaz - v jakém rozsahu je nutno rozpočet ÚSC na rok 2017 zveřejnit, platí postup zveřejnění uvedený v § 5, odst. 3 zákona č. 23/2017 Sb.?</w:t>
      </w:r>
    </w:p>
    <w:p>
      <w:pPr>
        <w:pStyle w:val="NormalWeb"/>
        <w:pBdr>
          <w:top w:val="single" w:sz="4" w:space="1" w:color="333333"/>
          <w:left w:val="single" w:sz="4" w:space="4" w:color="333333"/>
          <w:bottom w:val="single" w:sz="4" w:space="1" w:color="333333"/>
          <w:right w:val="single" w:sz="4" w:space="4" w:color="333333"/>
        </w:pBdr>
        <w:spacing w:beforeAutospacing="0" w:before="0" w:afterAutospacing="0" w:after="120"/>
        <w:jc w:val="both"/>
        <w:rPr>
          <w:rFonts w:eastAsia="Times New Roman"/>
          <w:lang w:eastAsia="cs-CZ"/>
        </w:rPr>
      </w:pPr>
      <w:r>
        <w:rPr>
          <w:b/>
        </w:rPr>
        <w:t xml:space="preserve">Odpověď - </w:t>
      </w:r>
      <w:r>
        <w:rPr>
          <w:rFonts w:eastAsia="Times New Roman"/>
          <w:b/>
          <w:bCs/>
          <w:lang w:eastAsia="cs-CZ"/>
        </w:rPr>
        <w:t>Ad 3</w:t>
      </w:r>
      <w:r>
        <w:rPr>
          <w:rFonts w:eastAsia="Times New Roman"/>
          <w:lang w:eastAsia="cs-CZ"/>
        </w:rPr>
        <w:t>: Podle § 5 odst. 3 zákona č. 23/2017 Sb., o pravidlech rozpočtové odpovědnosti, veřejná instituce s návrhem rozpočtu zveřejní i informace o schváleném rozpočtu na rozpočtový rok předcházejícího roku a informace o očekávaném nebo skutečném plnění rozpočtu.</w:t>
      </w:r>
    </w:p>
    <w:p>
      <w:pPr>
        <w:pStyle w:val="Normal"/>
        <w:pBdr>
          <w:top w:val="single" w:sz="4" w:space="1" w:color="333333"/>
          <w:left w:val="single" w:sz="4" w:space="4" w:color="333333"/>
          <w:bottom w:val="single" w:sz="4" w:space="1" w:color="333333"/>
          <w:right w:val="single" w:sz="4" w:space="4" w:color="333333"/>
        </w:pBdr>
        <w:spacing w:before="0" w:after="120"/>
        <w:jc w:val="both"/>
        <w:rPr/>
      </w:pPr>
      <w:r>
        <w:rPr/>
        <w:t>Důvodová zpráva k tomuto ustanovení uvádí: „</w:t>
      </w:r>
      <w:r>
        <w:rPr>
          <w:i/>
          <w:iCs/>
        </w:rPr>
        <w:t xml:space="preserve">Navržené požadavky představují obecnou právní úpravu, je-li </w:t>
      </w:r>
      <w:r>
        <w:rPr>
          <w:b/>
          <w:bCs/>
          <w:i/>
          <w:iCs/>
        </w:rPr>
        <w:t>tudíž jiným právním předpisem stanoveno jinak, použije se tento.</w:t>
      </w:r>
      <w:r>
        <w:rPr>
          <w:i/>
          <w:iCs/>
        </w:rPr>
        <w:t xml:space="preserve"> Obecná úprava nicméně představuje minimální standard požadovaný po všech veřejných institucích</w:t>
      </w:r>
      <w:r>
        <w:rPr/>
        <w:t>.“  </w:t>
      </w:r>
    </w:p>
    <w:p>
      <w:pPr>
        <w:pStyle w:val="Normal"/>
        <w:pBdr>
          <w:top w:val="single" w:sz="4" w:space="1" w:color="333333"/>
          <w:left w:val="single" w:sz="4" w:space="4" w:color="333333"/>
          <w:bottom w:val="single" w:sz="4" w:space="1" w:color="333333"/>
          <w:right w:val="single" w:sz="4" w:space="4" w:color="333333"/>
        </w:pBdr>
        <w:spacing w:before="0" w:after="120"/>
        <w:jc w:val="both"/>
        <w:rPr/>
      </w:pPr>
      <w:r>
        <w:rPr/>
        <w:t xml:space="preserve">Toto obecné ustanovení tak bylo promítnuto do zákona č. 250/2000 Sb., o rozpočtových pravidlech územních rozpočtů, zákonem č. 24/2017 Sb., kterým se mění některé zákony v souvislosti s přijetím právní úpravy rozpočtové odpovědnosti. </w:t>
      </w:r>
      <w:r>
        <w:rPr>
          <w:b/>
          <w:bCs/>
        </w:rPr>
        <w:t xml:space="preserve">Povinnosti ÚSC, jakož i povinnosti příspěvkové organizace zřízené ÚSC, tak vyplývají přímo ze zákona č. 250/2000 Sb. </w:t>
      </w:r>
      <w:r>
        <w:rPr>
          <w:i/>
          <w:iCs/>
        </w:rPr>
        <w:t>(lex specialis)</w:t>
      </w:r>
    </w:p>
    <w:p>
      <w:pPr>
        <w:pStyle w:val="Normal"/>
        <w:pBdr>
          <w:top w:val="single" w:sz="4" w:space="1" w:color="333333"/>
          <w:left w:val="single" w:sz="4" w:space="4" w:color="333333"/>
          <w:bottom w:val="single" w:sz="4" w:space="1" w:color="333333"/>
          <w:right w:val="single" w:sz="4" w:space="4" w:color="333333"/>
        </w:pBdr>
        <w:spacing w:before="0" w:after="120"/>
        <w:jc w:val="both"/>
        <w:rPr/>
      </w:pPr>
      <w:r>
        <w:rPr/>
        <w:t> </w:t>
      </w:r>
      <w:r>
        <w:rPr/>
        <w:t>ÚSC má povinnost zveřejnit schválený střednědobý výhled rozpočtu a jeho návrh, schválený rozpočet a jeho návrh, schválená pravidla rozpočtového provizoria, schválené rozpočtové opatření a schválený závěrečný účet a jeho návrh.</w:t>
      </w:r>
    </w:p>
    <w:p>
      <w:pPr>
        <w:pStyle w:val="Normal"/>
        <w:pBdr>
          <w:top w:val="single" w:sz="4" w:space="1" w:color="333333"/>
          <w:left w:val="single" w:sz="4" w:space="4" w:color="333333"/>
          <w:bottom w:val="single" w:sz="4" w:space="1" w:color="333333"/>
          <w:right w:val="single" w:sz="4" w:space="4" w:color="333333"/>
        </w:pBdr>
        <w:spacing w:before="0" w:after="120"/>
        <w:jc w:val="both"/>
        <w:rPr/>
      </w:pPr>
      <w:r>
        <w:rPr/>
        <w:t> </w:t>
      </w:r>
      <w:r>
        <w:rPr/>
        <w:t>Příspěvková organizace zřízená ÚSC má povinnost zveřejnit schválený střednědobý výhled rozpočtu a jeho návrh a schválený rozpočet a jeho návrh.</w:t>
      </w:r>
    </w:p>
    <w:p>
      <w:pPr>
        <w:pStyle w:val="Normal"/>
        <w:pBdr>
          <w:top w:val="single" w:sz="4" w:space="1" w:color="333333"/>
          <w:left w:val="single" w:sz="4" w:space="4" w:color="333333"/>
          <w:bottom w:val="single" w:sz="4" w:space="1" w:color="333333"/>
          <w:right w:val="single" w:sz="4" w:space="4" w:color="333333"/>
        </w:pBdr>
        <w:spacing w:before="0" w:after="120"/>
        <w:jc w:val="both"/>
        <w:rPr/>
      </w:pPr>
      <w:r>
        <w:rPr>
          <w:b/>
          <w:bCs/>
        </w:rPr>
        <w:t>ÚSC ani příspěvkové organizaci zřízené ÚSC tak neplyne povinnost přímo z § 5 odst. 3 zákona č. 23/2017 Sb. zveřejňovat další dokumenty nazvané jako „</w:t>
      </w:r>
      <w:r>
        <w:rPr>
          <w:b/>
          <w:bCs/>
          <w:i/>
          <w:iCs/>
        </w:rPr>
        <w:t>informace o schváleném rozpočtu na rozpočtový rok předcházejícího roku, na který je předkládán návrh rozpočtu</w:t>
      </w:r>
      <w:r>
        <w:rPr>
          <w:b/>
          <w:bCs/>
        </w:rPr>
        <w:t>“ a „</w:t>
      </w:r>
      <w:r>
        <w:rPr>
          <w:b/>
          <w:bCs/>
          <w:i/>
          <w:iCs/>
        </w:rPr>
        <w:t>informace o očekávaném, nebo skutečném plnění rozpočtu na předcházející rok</w:t>
      </w:r>
      <w:r>
        <w:rPr>
          <w:b/>
          <w:bCs/>
        </w:rPr>
        <w:t>“.</w:t>
      </w:r>
    </w:p>
    <w:p>
      <w:pPr>
        <w:pStyle w:val="Normal"/>
        <w:jc w:val="both"/>
        <w:rPr>
          <w:i/>
          <w:i/>
        </w:rPr>
      </w:pPr>
      <w:r>
        <w:rPr>
          <w:i/>
        </w:rPr>
        <w:t xml:space="preserve">Tato odpověď může obsahovat rozpor. Na jedné straně je text důvodové zprávy, který říká, že uvedení rozpočtu a skutečnosti (očekávané skutečnosti) k návrhu rozpočtu je „minimální standard“, na druhé straně zde máme názor, že zákon č. 250/2000 Sb. je lex specialis a ten toto nevyžaduje, tudíž není povinnost v tomto rozsahu zveřejňovat. Problémem však může být, že zákon č. 250/2000 Sb. jako „lex specialis“ tu záležitost neupravuje a potom by tedy měl nastoupit obecný předpis, tj. zákon o pravidlech rozpočtové odpovědnosti, to však není názor prezentovaný v uvedené odpovědi.  </w:t>
      </w:r>
    </w:p>
    <w:p>
      <w:pPr>
        <w:pStyle w:val="Normal"/>
        <w:jc w:val="both"/>
        <w:rPr>
          <w:i/>
          <w:i/>
        </w:rPr>
      </w:pPr>
      <w:r>
        <w:rPr>
          <w:i/>
        </w:rPr>
      </w:r>
    </w:p>
    <w:p>
      <w:pPr>
        <w:pStyle w:val="Normal"/>
        <w:jc w:val="both"/>
        <w:rPr/>
      </w:pPr>
      <w:r>
        <w:rPr/>
        <w:t xml:space="preserve">Z důvodu právní jistoty bychom zatím doporučili s povinností stanovenou v § 5 odst. 3 zákona č. 23/2017 Sb. pracovat. Možný způsob řešení:  </w:t>
      </w:r>
    </w:p>
    <w:p>
      <w:pPr>
        <w:pStyle w:val="Normal"/>
        <w:jc w:val="both"/>
        <w:rPr/>
      </w:pPr>
      <w:r>
        <w:rPr/>
      </w:r>
    </w:p>
    <w:p>
      <w:pPr>
        <w:pStyle w:val="Normal"/>
        <w:jc w:val="both"/>
        <w:rPr/>
      </w:pPr>
      <w:r>
        <w:rPr/>
        <w:t>Příklad pro návrh rozpočtu na rok 2018 – ÚSC jsou povinny společně s návrhem rozpočtu zveřejnit i schválený rozpočet předchozího roku. Společně tedy s návrhem rozpočtu na rok 2018 bude povinnost zveřejnit i schválený rozpočet na rok 2017. Dále bude třeba zveřejnit:</w:t>
      </w:r>
    </w:p>
    <w:p>
      <w:pPr>
        <w:pStyle w:val="ListParagraph"/>
        <w:numPr>
          <w:ilvl w:val="0"/>
          <w:numId w:val="10"/>
        </w:numPr>
        <w:jc w:val="both"/>
        <w:rPr/>
      </w:pPr>
      <w:r>
        <w:rPr/>
        <w:t xml:space="preserve">ÚSC, které budou návrh rozpočtu na rok 2018 zveřejňovat do konce roku 2017, budou společně s návrhem rozpočtu zveřejňovat i informace o očekávaném plnění rozpočtu roku 2017. </w:t>
      </w:r>
      <w:r>
        <w:rPr>
          <w:i/>
        </w:rPr>
        <w:t xml:space="preserve">Za očekávané plnění můžeme (musíme) považovat upravený rozpočet ke dni, kterému se zveřejňuje návrh rozpočtu. </w:t>
      </w:r>
    </w:p>
    <w:p>
      <w:pPr>
        <w:pStyle w:val="ListParagraph"/>
        <w:numPr>
          <w:ilvl w:val="0"/>
          <w:numId w:val="10"/>
        </w:numPr>
        <w:jc w:val="both"/>
        <w:rPr/>
      </w:pPr>
      <w:r>
        <w:rPr/>
        <w:t xml:space="preserve">ÚSC, které budou návrh rozpočtu na rok 2018 zveřejňovat až v roce 2018, budou společně s návrhem rozpočtu zveřejňovat i informace o skutečném plnění rozpočtu za rok 2017. </w:t>
      </w:r>
    </w:p>
    <w:p>
      <w:pPr>
        <w:pStyle w:val="ListParagraph"/>
        <w:jc w:val="both"/>
        <w:rPr/>
      </w:pPr>
      <w:r>
        <w:rPr/>
      </w:r>
    </w:p>
    <w:p>
      <w:pPr>
        <w:pStyle w:val="Normal"/>
        <w:jc w:val="both"/>
        <w:rPr/>
      </w:pPr>
      <w:r>
        <w:rPr/>
        <w:t xml:space="preserve">Je třeba říct, že některé obce takto již postupují, když má jejich rozpočtu strukturu podobné této (na příkladu návrhu rozpočtu na rok 2018, zveřejněn před koncem roku 2017): </w:t>
      </w:r>
    </w:p>
    <w:p>
      <w:pPr>
        <w:pStyle w:val="Normal"/>
        <w:jc w:val="both"/>
        <w:rPr/>
      </w:pPr>
      <w:r>
        <w:rPr/>
      </w:r>
    </w:p>
    <w:tbl>
      <w:tblPr>
        <w:tblStyle w:val="Mkatabulky"/>
        <w:tblW w:w="8967" w:type="dxa"/>
        <w:jc w:val="center"/>
        <w:tblInd w:w="0" w:type="dxa"/>
        <w:tblCellMar>
          <w:top w:w="0" w:type="dxa"/>
          <w:left w:w="108" w:type="dxa"/>
          <w:bottom w:w="0" w:type="dxa"/>
          <w:right w:w="108" w:type="dxa"/>
        </w:tblCellMar>
        <w:tblLook w:val="04a0" w:noVBand="1" w:noHBand="0" w:lastColumn="0" w:firstColumn="1" w:lastRow="0" w:firstRow="1"/>
      </w:tblPr>
      <w:tblGrid>
        <w:gridCol w:w="1204"/>
        <w:gridCol w:w="1149"/>
        <w:gridCol w:w="1150"/>
        <w:gridCol w:w="1213"/>
        <w:gridCol w:w="1244"/>
        <w:gridCol w:w="1090"/>
        <w:gridCol w:w="1015"/>
        <w:gridCol w:w="901"/>
      </w:tblGrid>
      <w:tr>
        <w:trPr/>
        <w:tc>
          <w:tcPr>
            <w:tcW w:w="1204" w:type="dxa"/>
            <w:tcBorders/>
            <w:shd w:fill="auto" w:val="clear"/>
            <w:tcMar>
              <w:left w:w="108" w:type="dxa"/>
            </w:tcMar>
            <w:vAlign w:val="center"/>
          </w:tcPr>
          <w:p>
            <w:pPr>
              <w:pStyle w:val="Normal"/>
              <w:jc w:val="center"/>
              <w:rPr>
                <w:b/>
                <w:b/>
                <w:sz w:val="20"/>
                <w:szCs w:val="20"/>
              </w:rPr>
            </w:pPr>
            <w:r>
              <w:rPr>
                <w:b/>
                <w:sz w:val="20"/>
                <w:szCs w:val="20"/>
              </w:rPr>
              <w:t>Třídění RS</w:t>
            </w:r>
          </w:p>
        </w:tc>
        <w:tc>
          <w:tcPr>
            <w:tcW w:w="1149" w:type="dxa"/>
            <w:tcBorders/>
            <w:shd w:fill="auto" w:val="clear"/>
            <w:tcMar>
              <w:left w:w="108" w:type="dxa"/>
            </w:tcMar>
            <w:vAlign w:val="center"/>
          </w:tcPr>
          <w:p>
            <w:pPr>
              <w:pStyle w:val="Normal"/>
              <w:jc w:val="center"/>
              <w:rPr>
                <w:b/>
                <w:b/>
                <w:sz w:val="20"/>
                <w:szCs w:val="20"/>
              </w:rPr>
            </w:pPr>
            <w:r>
              <w:rPr>
                <w:b/>
                <w:sz w:val="20"/>
                <w:szCs w:val="20"/>
              </w:rPr>
              <w:t>Skutečnost 2015</w:t>
            </w:r>
          </w:p>
        </w:tc>
        <w:tc>
          <w:tcPr>
            <w:tcW w:w="1150" w:type="dxa"/>
            <w:tcBorders/>
            <w:shd w:fill="auto" w:val="clear"/>
            <w:tcMar>
              <w:left w:w="108" w:type="dxa"/>
            </w:tcMar>
            <w:vAlign w:val="center"/>
          </w:tcPr>
          <w:p>
            <w:pPr>
              <w:pStyle w:val="Normal"/>
              <w:jc w:val="center"/>
              <w:rPr>
                <w:b/>
                <w:b/>
                <w:sz w:val="20"/>
                <w:szCs w:val="20"/>
              </w:rPr>
            </w:pPr>
            <w:r>
              <w:rPr>
                <w:b/>
                <w:sz w:val="20"/>
                <w:szCs w:val="20"/>
              </w:rPr>
              <w:t>Skutečnost 2016</w:t>
            </w:r>
          </w:p>
        </w:tc>
        <w:tc>
          <w:tcPr>
            <w:tcW w:w="1213" w:type="dxa"/>
            <w:tcBorders/>
            <w:shd w:color="auto" w:fill="D9D9D9" w:themeFill="background1" w:themeFillShade="d9" w:val="clear"/>
            <w:tcMar>
              <w:left w:w="108" w:type="dxa"/>
            </w:tcMar>
            <w:vAlign w:val="center"/>
          </w:tcPr>
          <w:p>
            <w:pPr>
              <w:pStyle w:val="Normal"/>
              <w:jc w:val="center"/>
              <w:rPr>
                <w:b/>
                <w:b/>
                <w:sz w:val="20"/>
                <w:szCs w:val="20"/>
              </w:rPr>
            </w:pPr>
            <w:r>
              <w:rPr>
                <w:b/>
                <w:sz w:val="20"/>
                <w:szCs w:val="20"/>
              </w:rPr>
              <w:t>Schválený rozpočet 2017</w:t>
            </w:r>
          </w:p>
        </w:tc>
        <w:tc>
          <w:tcPr>
            <w:tcW w:w="1244" w:type="dxa"/>
            <w:tcBorders/>
            <w:shd w:color="auto" w:fill="D9D9D9" w:themeFill="background1" w:themeFillShade="d9" w:val="clear"/>
            <w:tcMar>
              <w:left w:w="108" w:type="dxa"/>
            </w:tcMar>
            <w:vAlign w:val="center"/>
          </w:tcPr>
          <w:p>
            <w:pPr>
              <w:pStyle w:val="Normal"/>
              <w:jc w:val="center"/>
              <w:rPr>
                <w:b/>
                <w:b/>
                <w:sz w:val="20"/>
                <w:szCs w:val="20"/>
              </w:rPr>
            </w:pPr>
            <w:r>
              <w:rPr>
                <w:b/>
                <w:sz w:val="20"/>
                <w:szCs w:val="20"/>
              </w:rPr>
              <w:t>Upravený rozpočet 2017</w:t>
            </w:r>
          </w:p>
        </w:tc>
        <w:tc>
          <w:tcPr>
            <w:tcW w:w="1090" w:type="dxa"/>
            <w:tcBorders/>
            <w:shd w:color="auto" w:fill="D9D9D9" w:themeFill="background1" w:themeFillShade="d9" w:val="clear"/>
            <w:tcMar>
              <w:left w:w="108" w:type="dxa"/>
            </w:tcMar>
            <w:vAlign w:val="center"/>
          </w:tcPr>
          <w:p>
            <w:pPr>
              <w:pStyle w:val="Normal"/>
              <w:jc w:val="center"/>
              <w:rPr>
                <w:b/>
                <w:b/>
                <w:sz w:val="20"/>
                <w:szCs w:val="20"/>
              </w:rPr>
            </w:pPr>
            <w:r>
              <w:rPr>
                <w:b/>
                <w:sz w:val="20"/>
                <w:szCs w:val="20"/>
              </w:rPr>
              <w:t>Návrh rozpočtu 2018</w:t>
            </w:r>
          </w:p>
        </w:tc>
        <w:tc>
          <w:tcPr>
            <w:tcW w:w="1015" w:type="dxa"/>
            <w:tcBorders/>
            <w:shd w:fill="auto" w:val="clear"/>
            <w:tcMar>
              <w:left w:w="108" w:type="dxa"/>
            </w:tcMar>
            <w:vAlign w:val="center"/>
          </w:tcPr>
          <w:p>
            <w:pPr>
              <w:pStyle w:val="Normal"/>
              <w:jc w:val="center"/>
              <w:rPr>
                <w:b/>
                <w:b/>
                <w:sz w:val="20"/>
                <w:szCs w:val="20"/>
              </w:rPr>
            </w:pPr>
            <w:r>
              <w:rPr>
                <w:b/>
                <w:sz w:val="20"/>
                <w:szCs w:val="20"/>
              </w:rPr>
              <w:t>Výhled 2019</w:t>
            </w:r>
          </w:p>
        </w:tc>
        <w:tc>
          <w:tcPr>
            <w:tcW w:w="901" w:type="dxa"/>
            <w:tcBorders/>
            <w:shd w:fill="auto" w:val="clear"/>
            <w:tcMar>
              <w:left w:w="108" w:type="dxa"/>
            </w:tcMar>
            <w:vAlign w:val="center"/>
          </w:tcPr>
          <w:p>
            <w:pPr>
              <w:pStyle w:val="Normal"/>
              <w:jc w:val="center"/>
              <w:rPr>
                <w:b/>
                <w:b/>
                <w:sz w:val="20"/>
                <w:szCs w:val="20"/>
              </w:rPr>
            </w:pPr>
            <w:r>
              <w:rPr>
                <w:b/>
                <w:sz w:val="20"/>
                <w:szCs w:val="20"/>
              </w:rPr>
              <w:t>Výhled 2020</w:t>
            </w:r>
          </w:p>
        </w:tc>
      </w:tr>
      <w:tr>
        <w:trPr/>
        <w:tc>
          <w:tcPr>
            <w:tcW w:w="1204" w:type="dxa"/>
            <w:tcBorders/>
            <w:shd w:fill="auto" w:val="clear"/>
            <w:tcMar>
              <w:left w:w="108" w:type="dxa"/>
            </w:tcMar>
            <w:vAlign w:val="center"/>
          </w:tcPr>
          <w:p>
            <w:pPr>
              <w:pStyle w:val="Normal"/>
              <w:jc w:val="center"/>
              <w:rPr>
                <w:sz w:val="20"/>
                <w:szCs w:val="20"/>
              </w:rPr>
            </w:pPr>
            <w:r>
              <w:rPr>
                <w:sz w:val="20"/>
                <w:szCs w:val="20"/>
              </w:rPr>
            </w:r>
          </w:p>
        </w:tc>
        <w:tc>
          <w:tcPr>
            <w:tcW w:w="1149" w:type="dxa"/>
            <w:tcBorders/>
            <w:shd w:fill="auto" w:val="clear"/>
            <w:tcMar>
              <w:left w:w="108" w:type="dxa"/>
            </w:tcMar>
            <w:vAlign w:val="center"/>
          </w:tcPr>
          <w:p>
            <w:pPr>
              <w:pStyle w:val="Normal"/>
              <w:jc w:val="center"/>
              <w:rPr>
                <w:sz w:val="20"/>
                <w:szCs w:val="20"/>
              </w:rPr>
            </w:pPr>
            <w:r>
              <w:rPr>
                <w:sz w:val="20"/>
                <w:szCs w:val="20"/>
              </w:rPr>
            </w:r>
          </w:p>
        </w:tc>
        <w:tc>
          <w:tcPr>
            <w:tcW w:w="1150" w:type="dxa"/>
            <w:tcBorders/>
            <w:shd w:fill="auto" w:val="clear"/>
            <w:tcMar>
              <w:left w:w="108" w:type="dxa"/>
            </w:tcMar>
            <w:vAlign w:val="center"/>
          </w:tcPr>
          <w:p>
            <w:pPr>
              <w:pStyle w:val="Normal"/>
              <w:jc w:val="center"/>
              <w:rPr>
                <w:sz w:val="20"/>
                <w:szCs w:val="20"/>
              </w:rPr>
            </w:pPr>
            <w:r>
              <w:rPr>
                <w:sz w:val="20"/>
                <w:szCs w:val="20"/>
              </w:rPr>
            </w:r>
          </w:p>
        </w:tc>
        <w:tc>
          <w:tcPr>
            <w:tcW w:w="1213"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244"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90"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15" w:type="dxa"/>
            <w:tcBorders/>
            <w:shd w:fill="auto" w:val="clear"/>
            <w:tcMar>
              <w:left w:w="108" w:type="dxa"/>
            </w:tcMar>
            <w:vAlign w:val="center"/>
          </w:tcPr>
          <w:p>
            <w:pPr>
              <w:pStyle w:val="Normal"/>
              <w:jc w:val="center"/>
              <w:rPr>
                <w:sz w:val="20"/>
                <w:szCs w:val="20"/>
              </w:rPr>
            </w:pPr>
            <w:r>
              <w:rPr>
                <w:sz w:val="20"/>
                <w:szCs w:val="20"/>
              </w:rPr>
            </w:r>
          </w:p>
        </w:tc>
        <w:tc>
          <w:tcPr>
            <w:tcW w:w="901" w:type="dxa"/>
            <w:tcBorders/>
            <w:shd w:fill="auto" w:val="clear"/>
            <w:tcMar>
              <w:left w:w="108" w:type="dxa"/>
            </w:tcMar>
            <w:vAlign w:val="center"/>
          </w:tcPr>
          <w:p>
            <w:pPr>
              <w:pStyle w:val="Normal"/>
              <w:jc w:val="center"/>
              <w:rPr>
                <w:sz w:val="20"/>
                <w:szCs w:val="20"/>
              </w:rPr>
            </w:pPr>
            <w:r>
              <w:rPr>
                <w:sz w:val="20"/>
                <w:szCs w:val="20"/>
              </w:rPr>
            </w:r>
          </w:p>
        </w:tc>
      </w:tr>
      <w:tr>
        <w:trPr/>
        <w:tc>
          <w:tcPr>
            <w:tcW w:w="1204" w:type="dxa"/>
            <w:tcBorders/>
            <w:shd w:fill="auto" w:val="clear"/>
            <w:tcMar>
              <w:left w:w="108" w:type="dxa"/>
            </w:tcMar>
            <w:vAlign w:val="center"/>
          </w:tcPr>
          <w:p>
            <w:pPr>
              <w:pStyle w:val="Normal"/>
              <w:jc w:val="center"/>
              <w:rPr>
                <w:sz w:val="20"/>
                <w:szCs w:val="20"/>
              </w:rPr>
            </w:pPr>
            <w:r>
              <w:rPr>
                <w:sz w:val="20"/>
                <w:szCs w:val="20"/>
              </w:rPr>
            </w:r>
          </w:p>
        </w:tc>
        <w:tc>
          <w:tcPr>
            <w:tcW w:w="1149" w:type="dxa"/>
            <w:tcBorders/>
            <w:shd w:fill="auto" w:val="clear"/>
            <w:tcMar>
              <w:left w:w="108" w:type="dxa"/>
            </w:tcMar>
            <w:vAlign w:val="center"/>
          </w:tcPr>
          <w:p>
            <w:pPr>
              <w:pStyle w:val="Normal"/>
              <w:jc w:val="center"/>
              <w:rPr>
                <w:sz w:val="20"/>
                <w:szCs w:val="20"/>
              </w:rPr>
            </w:pPr>
            <w:r>
              <w:rPr>
                <w:sz w:val="20"/>
                <w:szCs w:val="20"/>
              </w:rPr>
            </w:r>
          </w:p>
        </w:tc>
        <w:tc>
          <w:tcPr>
            <w:tcW w:w="1150" w:type="dxa"/>
            <w:tcBorders/>
            <w:shd w:fill="auto" w:val="clear"/>
            <w:tcMar>
              <w:left w:w="108" w:type="dxa"/>
            </w:tcMar>
            <w:vAlign w:val="center"/>
          </w:tcPr>
          <w:p>
            <w:pPr>
              <w:pStyle w:val="Normal"/>
              <w:jc w:val="center"/>
              <w:rPr>
                <w:sz w:val="20"/>
                <w:szCs w:val="20"/>
              </w:rPr>
            </w:pPr>
            <w:r>
              <w:rPr>
                <w:sz w:val="20"/>
                <w:szCs w:val="20"/>
              </w:rPr>
            </w:r>
          </w:p>
        </w:tc>
        <w:tc>
          <w:tcPr>
            <w:tcW w:w="1213"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244"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90"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15" w:type="dxa"/>
            <w:tcBorders/>
            <w:shd w:fill="auto" w:val="clear"/>
            <w:tcMar>
              <w:left w:w="108" w:type="dxa"/>
            </w:tcMar>
            <w:vAlign w:val="center"/>
          </w:tcPr>
          <w:p>
            <w:pPr>
              <w:pStyle w:val="Normal"/>
              <w:jc w:val="center"/>
              <w:rPr>
                <w:sz w:val="20"/>
                <w:szCs w:val="20"/>
              </w:rPr>
            </w:pPr>
            <w:r>
              <w:rPr>
                <w:sz w:val="20"/>
                <w:szCs w:val="20"/>
              </w:rPr>
            </w:r>
          </w:p>
        </w:tc>
        <w:tc>
          <w:tcPr>
            <w:tcW w:w="901" w:type="dxa"/>
            <w:tcBorders/>
            <w:shd w:fill="auto" w:val="clear"/>
            <w:tcMar>
              <w:left w:w="108" w:type="dxa"/>
            </w:tcMar>
            <w:vAlign w:val="center"/>
          </w:tcPr>
          <w:p>
            <w:pPr>
              <w:pStyle w:val="Normal"/>
              <w:jc w:val="center"/>
              <w:rPr>
                <w:sz w:val="20"/>
                <w:szCs w:val="20"/>
              </w:rPr>
            </w:pPr>
            <w:r>
              <w:rPr>
                <w:sz w:val="20"/>
                <w:szCs w:val="20"/>
              </w:rPr>
            </w:r>
          </w:p>
        </w:tc>
      </w:tr>
    </w:tbl>
    <w:p>
      <w:pPr>
        <w:pStyle w:val="Normal"/>
        <w:jc w:val="both"/>
        <w:rPr/>
      </w:pPr>
      <w:r>
        <w:rPr/>
        <w:t xml:space="preserve"> </w:t>
      </w:r>
    </w:p>
    <w:p>
      <w:pPr>
        <w:pStyle w:val="Normal"/>
        <w:jc w:val="both"/>
        <w:rPr>
          <w:i/>
          <w:i/>
        </w:rPr>
      </w:pPr>
      <w:r>
        <w:rPr>
          <w:i/>
        </w:rPr>
        <w:t xml:space="preserve">U návrhu rozpočtu na rok 2018 sestaveného v této struktuře je obsažena také informace o schváleném rozpočtu roku 2017 a zároveň o očekávané skutečnosti roku 2017 (upravený rozpočet 2017). </w:t>
      </w:r>
    </w:p>
    <w:p>
      <w:pPr>
        <w:pStyle w:val="Normal"/>
        <w:jc w:val="both"/>
        <w:rPr/>
      </w:pPr>
      <w:r>
        <w:rPr/>
      </w:r>
    </w:p>
    <w:p>
      <w:pPr>
        <w:pStyle w:val="Normal"/>
        <w:jc w:val="both"/>
        <w:rPr/>
      </w:pPr>
      <w:r>
        <w:rPr/>
        <w:t xml:space="preserve">Návrh rozpočtu na rok 2018 zveřejněn až v roce 2018 (ÚSC hospodaří v provizoriu): </w:t>
      </w:r>
    </w:p>
    <w:p>
      <w:pPr>
        <w:pStyle w:val="Normal"/>
        <w:jc w:val="both"/>
        <w:rPr/>
      </w:pPr>
      <w:r>
        <w:rPr/>
        <w:t xml:space="preserve"> </w:t>
      </w:r>
    </w:p>
    <w:tbl>
      <w:tblPr>
        <w:tblStyle w:val="Mkatabulky"/>
        <w:tblW w:w="8967" w:type="dxa"/>
        <w:jc w:val="center"/>
        <w:tblInd w:w="0" w:type="dxa"/>
        <w:tblCellMar>
          <w:top w:w="0" w:type="dxa"/>
          <w:left w:w="108" w:type="dxa"/>
          <w:bottom w:w="0" w:type="dxa"/>
          <w:right w:w="108" w:type="dxa"/>
        </w:tblCellMar>
        <w:tblLook w:val="04a0" w:noVBand="1" w:noHBand="0" w:lastColumn="0" w:firstColumn="1" w:lastRow="0" w:firstRow="1"/>
      </w:tblPr>
      <w:tblGrid>
        <w:gridCol w:w="1204"/>
        <w:gridCol w:w="1149"/>
        <w:gridCol w:w="1150"/>
        <w:gridCol w:w="1213"/>
        <w:gridCol w:w="1244"/>
        <w:gridCol w:w="1090"/>
        <w:gridCol w:w="1015"/>
        <w:gridCol w:w="901"/>
      </w:tblGrid>
      <w:tr>
        <w:trPr/>
        <w:tc>
          <w:tcPr>
            <w:tcW w:w="1204" w:type="dxa"/>
            <w:tcBorders/>
            <w:shd w:fill="auto" w:val="clear"/>
            <w:tcMar>
              <w:left w:w="108" w:type="dxa"/>
            </w:tcMar>
            <w:vAlign w:val="center"/>
          </w:tcPr>
          <w:p>
            <w:pPr>
              <w:pStyle w:val="Normal"/>
              <w:jc w:val="center"/>
              <w:rPr>
                <w:b/>
                <w:b/>
                <w:sz w:val="20"/>
                <w:szCs w:val="20"/>
              </w:rPr>
            </w:pPr>
            <w:r>
              <w:rPr>
                <w:b/>
                <w:sz w:val="20"/>
                <w:szCs w:val="20"/>
              </w:rPr>
              <w:t>Třídění RS</w:t>
            </w:r>
          </w:p>
        </w:tc>
        <w:tc>
          <w:tcPr>
            <w:tcW w:w="1149" w:type="dxa"/>
            <w:tcBorders/>
            <w:shd w:color="auto" w:fill="auto" w:val="clear"/>
            <w:tcMar>
              <w:left w:w="108" w:type="dxa"/>
            </w:tcMar>
            <w:vAlign w:val="center"/>
          </w:tcPr>
          <w:p>
            <w:pPr>
              <w:pStyle w:val="Normal"/>
              <w:jc w:val="center"/>
              <w:rPr>
                <w:b/>
                <w:b/>
                <w:sz w:val="20"/>
                <w:szCs w:val="20"/>
              </w:rPr>
            </w:pPr>
            <w:r>
              <w:rPr>
                <w:b/>
                <w:sz w:val="20"/>
                <w:szCs w:val="20"/>
              </w:rPr>
              <w:t>Skutečnost 2016</w:t>
            </w:r>
          </w:p>
        </w:tc>
        <w:tc>
          <w:tcPr>
            <w:tcW w:w="1150" w:type="dxa"/>
            <w:tcBorders/>
            <w:shd w:color="auto" w:fill="D9D9D9" w:themeFill="background1" w:themeFillShade="d9" w:val="clear"/>
            <w:tcMar>
              <w:left w:w="108" w:type="dxa"/>
            </w:tcMar>
            <w:vAlign w:val="center"/>
          </w:tcPr>
          <w:p>
            <w:pPr>
              <w:pStyle w:val="Normal"/>
              <w:jc w:val="center"/>
              <w:rPr>
                <w:b/>
                <w:b/>
                <w:sz w:val="20"/>
                <w:szCs w:val="20"/>
              </w:rPr>
            </w:pPr>
            <w:r>
              <w:rPr>
                <w:b/>
                <w:sz w:val="20"/>
                <w:szCs w:val="20"/>
              </w:rPr>
              <w:t>Schválený rozpočet 2017</w:t>
            </w:r>
          </w:p>
        </w:tc>
        <w:tc>
          <w:tcPr>
            <w:tcW w:w="1213" w:type="dxa"/>
            <w:tcBorders/>
            <w:shd w:fill="auto" w:val="clear"/>
            <w:tcMar>
              <w:left w:w="108" w:type="dxa"/>
            </w:tcMar>
            <w:vAlign w:val="center"/>
          </w:tcPr>
          <w:p>
            <w:pPr>
              <w:pStyle w:val="Normal"/>
              <w:jc w:val="center"/>
              <w:rPr>
                <w:b/>
                <w:b/>
                <w:sz w:val="20"/>
                <w:szCs w:val="20"/>
              </w:rPr>
            </w:pPr>
            <w:r>
              <w:rPr>
                <w:b/>
                <w:sz w:val="20"/>
                <w:szCs w:val="20"/>
              </w:rPr>
              <w:t>Upravený rozpočet 2017</w:t>
            </w:r>
          </w:p>
        </w:tc>
        <w:tc>
          <w:tcPr>
            <w:tcW w:w="1244" w:type="dxa"/>
            <w:tcBorders/>
            <w:shd w:color="auto" w:fill="D9D9D9" w:themeFill="background1" w:themeFillShade="d9" w:val="clear"/>
            <w:tcMar>
              <w:left w:w="108" w:type="dxa"/>
            </w:tcMar>
            <w:vAlign w:val="center"/>
          </w:tcPr>
          <w:p>
            <w:pPr>
              <w:pStyle w:val="Normal"/>
              <w:jc w:val="center"/>
              <w:rPr>
                <w:b/>
                <w:b/>
                <w:sz w:val="20"/>
                <w:szCs w:val="20"/>
              </w:rPr>
            </w:pPr>
            <w:r>
              <w:rPr>
                <w:b/>
                <w:sz w:val="20"/>
                <w:szCs w:val="20"/>
              </w:rPr>
              <w:t>Skutečnost 2017</w:t>
            </w:r>
          </w:p>
        </w:tc>
        <w:tc>
          <w:tcPr>
            <w:tcW w:w="1090" w:type="dxa"/>
            <w:tcBorders/>
            <w:shd w:color="auto" w:fill="D9D9D9" w:themeFill="background1" w:themeFillShade="d9" w:val="clear"/>
            <w:tcMar>
              <w:left w:w="108" w:type="dxa"/>
            </w:tcMar>
            <w:vAlign w:val="center"/>
          </w:tcPr>
          <w:p>
            <w:pPr>
              <w:pStyle w:val="Normal"/>
              <w:jc w:val="center"/>
              <w:rPr>
                <w:b/>
                <w:b/>
                <w:sz w:val="20"/>
                <w:szCs w:val="20"/>
              </w:rPr>
            </w:pPr>
            <w:r>
              <w:rPr>
                <w:b/>
                <w:sz w:val="20"/>
                <w:szCs w:val="20"/>
              </w:rPr>
              <w:t>Návrh rozpočtu 2018</w:t>
            </w:r>
          </w:p>
        </w:tc>
        <w:tc>
          <w:tcPr>
            <w:tcW w:w="1015" w:type="dxa"/>
            <w:tcBorders/>
            <w:shd w:fill="auto" w:val="clear"/>
            <w:tcMar>
              <w:left w:w="108" w:type="dxa"/>
            </w:tcMar>
            <w:vAlign w:val="center"/>
          </w:tcPr>
          <w:p>
            <w:pPr>
              <w:pStyle w:val="Normal"/>
              <w:jc w:val="center"/>
              <w:rPr>
                <w:b/>
                <w:b/>
                <w:sz w:val="20"/>
                <w:szCs w:val="20"/>
              </w:rPr>
            </w:pPr>
            <w:r>
              <w:rPr>
                <w:b/>
                <w:sz w:val="20"/>
                <w:szCs w:val="20"/>
              </w:rPr>
              <w:t>Výhled 2019</w:t>
            </w:r>
          </w:p>
        </w:tc>
        <w:tc>
          <w:tcPr>
            <w:tcW w:w="901" w:type="dxa"/>
            <w:tcBorders/>
            <w:shd w:fill="auto" w:val="clear"/>
            <w:tcMar>
              <w:left w:w="108" w:type="dxa"/>
            </w:tcMar>
            <w:vAlign w:val="center"/>
          </w:tcPr>
          <w:p>
            <w:pPr>
              <w:pStyle w:val="Normal"/>
              <w:jc w:val="center"/>
              <w:rPr>
                <w:b/>
                <w:b/>
                <w:sz w:val="20"/>
                <w:szCs w:val="20"/>
              </w:rPr>
            </w:pPr>
            <w:r>
              <w:rPr>
                <w:b/>
                <w:sz w:val="20"/>
                <w:szCs w:val="20"/>
              </w:rPr>
              <w:t>Výhled 2020</w:t>
            </w:r>
          </w:p>
        </w:tc>
      </w:tr>
      <w:tr>
        <w:trPr/>
        <w:tc>
          <w:tcPr>
            <w:tcW w:w="1204" w:type="dxa"/>
            <w:tcBorders/>
            <w:shd w:fill="auto" w:val="clear"/>
            <w:tcMar>
              <w:left w:w="108" w:type="dxa"/>
            </w:tcMar>
            <w:vAlign w:val="center"/>
          </w:tcPr>
          <w:p>
            <w:pPr>
              <w:pStyle w:val="Normal"/>
              <w:jc w:val="center"/>
              <w:rPr>
                <w:sz w:val="20"/>
                <w:szCs w:val="20"/>
              </w:rPr>
            </w:pPr>
            <w:r>
              <w:rPr>
                <w:sz w:val="20"/>
                <w:szCs w:val="20"/>
              </w:rPr>
            </w:r>
          </w:p>
        </w:tc>
        <w:tc>
          <w:tcPr>
            <w:tcW w:w="1149" w:type="dxa"/>
            <w:tcBorders/>
            <w:shd w:color="auto" w:fill="auto" w:val="clear"/>
            <w:tcMar>
              <w:left w:w="108" w:type="dxa"/>
            </w:tcMar>
            <w:vAlign w:val="center"/>
          </w:tcPr>
          <w:p>
            <w:pPr>
              <w:pStyle w:val="Normal"/>
              <w:jc w:val="center"/>
              <w:rPr>
                <w:sz w:val="20"/>
                <w:szCs w:val="20"/>
              </w:rPr>
            </w:pPr>
            <w:r>
              <w:rPr>
                <w:sz w:val="20"/>
                <w:szCs w:val="20"/>
              </w:rPr>
            </w:r>
          </w:p>
        </w:tc>
        <w:tc>
          <w:tcPr>
            <w:tcW w:w="1150"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213" w:type="dxa"/>
            <w:tcBorders/>
            <w:shd w:fill="auto" w:val="clear"/>
            <w:tcMar>
              <w:left w:w="108" w:type="dxa"/>
            </w:tcMar>
            <w:vAlign w:val="center"/>
          </w:tcPr>
          <w:p>
            <w:pPr>
              <w:pStyle w:val="Normal"/>
              <w:jc w:val="center"/>
              <w:rPr>
                <w:sz w:val="20"/>
                <w:szCs w:val="20"/>
              </w:rPr>
            </w:pPr>
            <w:r>
              <w:rPr>
                <w:sz w:val="20"/>
                <w:szCs w:val="20"/>
              </w:rPr>
            </w:r>
          </w:p>
        </w:tc>
        <w:tc>
          <w:tcPr>
            <w:tcW w:w="1244"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90"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15" w:type="dxa"/>
            <w:tcBorders/>
            <w:shd w:fill="auto" w:val="clear"/>
            <w:tcMar>
              <w:left w:w="108" w:type="dxa"/>
            </w:tcMar>
            <w:vAlign w:val="center"/>
          </w:tcPr>
          <w:p>
            <w:pPr>
              <w:pStyle w:val="Normal"/>
              <w:jc w:val="center"/>
              <w:rPr>
                <w:sz w:val="20"/>
                <w:szCs w:val="20"/>
              </w:rPr>
            </w:pPr>
            <w:r>
              <w:rPr>
                <w:sz w:val="20"/>
                <w:szCs w:val="20"/>
              </w:rPr>
            </w:r>
          </w:p>
        </w:tc>
        <w:tc>
          <w:tcPr>
            <w:tcW w:w="901" w:type="dxa"/>
            <w:tcBorders/>
            <w:shd w:fill="auto" w:val="clear"/>
            <w:tcMar>
              <w:left w:w="108" w:type="dxa"/>
            </w:tcMar>
            <w:vAlign w:val="center"/>
          </w:tcPr>
          <w:p>
            <w:pPr>
              <w:pStyle w:val="Normal"/>
              <w:jc w:val="center"/>
              <w:rPr>
                <w:sz w:val="20"/>
                <w:szCs w:val="20"/>
              </w:rPr>
            </w:pPr>
            <w:r>
              <w:rPr>
                <w:sz w:val="20"/>
                <w:szCs w:val="20"/>
              </w:rPr>
            </w:r>
          </w:p>
        </w:tc>
      </w:tr>
      <w:tr>
        <w:trPr/>
        <w:tc>
          <w:tcPr>
            <w:tcW w:w="1204" w:type="dxa"/>
            <w:tcBorders/>
            <w:shd w:fill="auto" w:val="clear"/>
            <w:tcMar>
              <w:left w:w="108" w:type="dxa"/>
            </w:tcMar>
            <w:vAlign w:val="center"/>
          </w:tcPr>
          <w:p>
            <w:pPr>
              <w:pStyle w:val="Normal"/>
              <w:jc w:val="center"/>
              <w:rPr>
                <w:sz w:val="20"/>
                <w:szCs w:val="20"/>
              </w:rPr>
            </w:pPr>
            <w:r>
              <w:rPr>
                <w:sz w:val="20"/>
                <w:szCs w:val="20"/>
              </w:rPr>
            </w:r>
          </w:p>
        </w:tc>
        <w:tc>
          <w:tcPr>
            <w:tcW w:w="1149" w:type="dxa"/>
            <w:tcBorders/>
            <w:shd w:color="auto" w:fill="auto" w:val="clear"/>
            <w:tcMar>
              <w:left w:w="108" w:type="dxa"/>
            </w:tcMar>
            <w:vAlign w:val="center"/>
          </w:tcPr>
          <w:p>
            <w:pPr>
              <w:pStyle w:val="Normal"/>
              <w:jc w:val="center"/>
              <w:rPr>
                <w:sz w:val="20"/>
                <w:szCs w:val="20"/>
              </w:rPr>
            </w:pPr>
            <w:r>
              <w:rPr>
                <w:sz w:val="20"/>
                <w:szCs w:val="20"/>
              </w:rPr>
            </w:r>
          </w:p>
        </w:tc>
        <w:tc>
          <w:tcPr>
            <w:tcW w:w="1150"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213" w:type="dxa"/>
            <w:tcBorders/>
            <w:shd w:fill="auto" w:val="clear"/>
            <w:tcMar>
              <w:left w:w="108" w:type="dxa"/>
            </w:tcMar>
            <w:vAlign w:val="center"/>
          </w:tcPr>
          <w:p>
            <w:pPr>
              <w:pStyle w:val="Normal"/>
              <w:jc w:val="center"/>
              <w:rPr>
                <w:sz w:val="20"/>
                <w:szCs w:val="20"/>
              </w:rPr>
            </w:pPr>
            <w:r>
              <w:rPr>
                <w:sz w:val="20"/>
                <w:szCs w:val="20"/>
              </w:rPr>
            </w:r>
          </w:p>
        </w:tc>
        <w:tc>
          <w:tcPr>
            <w:tcW w:w="1244"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90" w:type="dxa"/>
            <w:tcBorders/>
            <w:shd w:color="auto" w:fill="D9D9D9" w:themeFill="background1" w:themeFillShade="d9" w:val="clear"/>
            <w:tcMar>
              <w:left w:w="108" w:type="dxa"/>
            </w:tcMar>
            <w:vAlign w:val="center"/>
          </w:tcPr>
          <w:p>
            <w:pPr>
              <w:pStyle w:val="Normal"/>
              <w:jc w:val="center"/>
              <w:rPr>
                <w:sz w:val="20"/>
                <w:szCs w:val="20"/>
              </w:rPr>
            </w:pPr>
            <w:r>
              <w:rPr>
                <w:sz w:val="20"/>
                <w:szCs w:val="20"/>
              </w:rPr>
            </w:r>
          </w:p>
        </w:tc>
        <w:tc>
          <w:tcPr>
            <w:tcW w:w="1015" w:type="dxa"/>
            <w:tcBorders/>
            <w:shd w:fill="auto" w:val="clear"/>
            <w:tcMar>
              <w:left w:w="108" w:type="dxa"/>
            </w:tcMar>
            <w:vAlign w:val="center"/>
          </w:tcPr>
          <w:p>
            <w:pPr>
              <w:pStyle w:val="Normal"/>
              <w:jc w:val="center"/>
              <w:rPr>
                <w:sz w:val="20"/>
                <w:szCs w:val="20"/>
              </w:rPr>
            </w:pPr>
            <w:r>
              <w:rPr>
                <w:sz w:val="20"/>
                <w:szCs w:val="20"/>
              </w:rPr>
            </w:r>
          </w:p>
        </w:tc>
        <w:tc>
          <w:tcPr>
            <w:tcW w:w="901" w:type="dxa"/>
            <w:tcBorders/>
            <w:shd w:fill="auto" w:val="clear"/>
            <w:tcMar>
              <w:left w:w="108" w:type="dxa"/>
            </w:tcMar>
            <w:vAlign w:val="center"/>
          </w:tcPr>
          <w:p>
            <w:pPr>
              <w:pStyle w:val="Normal"/>
              <w:jc w:val="center"/>
              <w:rPr>
                <w:sz w:val="20"/>
                <w:szCs w:val="20"/>
              </w:rPr>
            </w:pPr>
            <w:r>
              <w:rPr>
                <w:sz w:val="20"/>
                <w:szCs w:val="20"/>
              </w:rPr>
            </w:r>
          </w:p>
        </w:tc>
      </w:tr>
    </w:tbl>
    <w:p>
      <w:pPr>
        <w:pStyle w:val="Normal"/>
        <w:jc w:val="both"/>
        <w:rPr/>
      </w:pPr>
      <w:r>
        <w:rPr/>
      </w:r>
    </w:p>
    <w:p>
      <w:pPr>
        <w:pStyle w:val="Normal"/>
        <w:spacing w:before="0" w:after="120"/>
        <w:jc w:val="both"/>
        <w:rPr>
          <w:i/>
          <w:i/>
        </w:rPr>
      </w:pPr>
      <w:r>
        <w:rPr>
          <w:i/>
        </w:rPr>
        <w:t xml:space="preserve">Opět u návrhu rozpočtu na rok 2018 sestaveného v této struktuře jsou obsaženy požadované údaje - informace o schváleném rozpočtu roku 2017 a zároveň o skutečnosti roku 2017 (skutečnost už je známá, ÚSC je prozatím v roce 2018 v provizoriu). </w:t>
      </w:r>
    </w:p>
    <w:p>
      <w:pPr>
        <w:pStyle w:val="Normal"/>
        <w:jc w:val="both"/>
        <w:rPr/>
      </w:pPr>
      <w:r>
        <w:rPr>
          <w:i/>
        </w:rPr>
        <w:t xml:space="preserve">Sestavovat návrh rozpočtu v této struktuře je pochopitelně možnost, nikoliv povinnost. Stejně tak zákonu vyhoví, pokud schválený rozpočet roku 2017 zveřejníme (společně s návrhem na rok 2018) jako samostatný dokument. Návrh rozpočtu v uvedené struktuře je však vhodný i z hlediska odůvodnění výše návrhu rozpočtu. Zároveň také může obsahovat střednědobý výhled rozpočtu. Při tomto postupu je zajištěno, že střednědobý výhled rozpočtu je alespoň jednou ročně hodnocen a upravován (právě při sestavování návrhu rozpočtu). Střednědobý výhled rozpočtu však v případě potřeby vyhodnocujeme a upravujeme častěji. </w:t>
      </w:r>
    </w:p>
    <w:p>
      <w:pPr>
        <w:pStyle w:val="Normal"/>
        <w:rPr>
          <w:b/>
          <w:b/>
          <w:u w:val="single"/>
        </w:rPr>
      </w:pPr>
      <w:r>
        <w:rPr>
          <w:b/>
          <w:u w:val="single"/>
        </w:rPr>
      </w:r>
    </w:p>
    <w:p>
      <w:pPr>
        <w:pStyle w:val="Normal"/>
        <w:jc w:val="both"/>
        <w:rPr>
          <w:b/>
          <w:b/>
        </w:rPr>
      </w:pPr>
      <w:r>
        <w:rPr>
          <w:b/>
        </w:rPr>
      </w:r>
    </w:p>
    <w:p>
      <w:pPr>
        <w:pStyle w:val="Normal"/>
        <w:jc w:val="both"/>
        <w:rPr>
          <w:b/>
          <w:b/>
        </w:rPr>
      </w:pPr>
      <w:r>
        <w:rPr>
          <w:b/>
        </w:rPr>
      </w:r>
    </w:p>
    <w:p>
      <w:pPr>
        <w:pStyle w:val="Normal"/>
        <w:jc w:val="both"/>
        <w:rPr>
          <w:b/>
          <w:b/>
        </w:rPr>
      </w:pPr>
      <w:r>
        <w:rPr>
          <w:b/>
        </w:rPr>
        <w:t>Povinnost zveřejňovat na „internetových stránkách“</w:t>
      </w:r>
    </w:p>
    <w:p>
      <w:pPr>
        <w:pStyle w:val="Normal"/>
        <w:jc w:val="both"/>
        <w:rPr>
          <w:b/>
          <w:b/>
        </w:rPr>
      </w:pPr>
      <w:r>
        <w:rPr>
          <w:b/>
        </w:rPr>
      </w:r>
    </w:p>
    <w:p>
      <w:pPr>
        <w:pStyle w:val="Normal"/>
        <w:jc w:val="both"/>
        <w:rPr/>
      </w:pPr>
      <w:r>
        <w:rPr/>
        <w:t xml:space="preserve">Zákon vyžaduje zveřejňovat dokumenty terminologicky nově na „internetových stránkách“. Dle výkladu MF se internetovými stránkami rozumí </w:t>
      </w:r>
      <w:r>
        <w:rPr>
          <w:b/>
        </w:rPr>
        <w:t>elektronická úřední deska</w:t>
      </w:r>
      <w:r>
        <w:rPr/>
        <w:t xml:space="preserve">. </w:t>
      </w:r>
    </w:p>
    <w:p>
      <w:pPr>
        <w:pStyle w:val="Normal"/>
        <w:jc w:val="both"/>
        <w:rPr/>
      </w:pPr>
      <w:r>
        <w:rPr/>
      </w:r>
    </w:p>
    <w:p>
      <w:pPr>
        <w:pStyle w:val="Normal"/>
        <w:jc w:val="both"/>
        <w:rPr/>
      </w:pPr>
      <w:r>
        <w:rPr/>
        <w:drawing>
          <wp:inline distT="0" distB="0" distL="19050" distR="0">
            <wp:extent cx="5760720" cy="1265555"/>
            <wp:effectExtent l="0" t="0" r="0" b="0"/>
            <wp:docPr id="1"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7" descr=""/>
                    <pic:cNvPicPr>
                      <a:picLocks noChangeAspect="1" noChangeArrowheads="1"/>
                    </pic:cNvPicPr>
                  </pic:nvPicPr>
                  <pic:blipFill>
                    <a:blip r:embed="rId7"/>
                    <a:stretch>
                      <a:fillRect/>
                    </a:stretch>
                  </pic:blipFill>
                  <pic:spPr bwMode="auto">
                    <a:xfrm>
                      <a:off x="0" y="0"/>
                      <a:ext cx="5760720" cy="1265555"/>
                    </a:xfrm>
                    <a:prstGeom prst="rect">
                      <a:avLst/>
                    </a:prstGeom>
                  </pic:spPr>
                </pic:pic>
              </a:graphicData>
            </a:graphic>
          </wp:inline>
        </w:drawing>
      </w:r>
    </w:p>
    <w:p>
      <w:pPr>
        <w:pStyle w:val="Normal"/>
        <w:spacing w:before="0" w:after="0"/>
        <w:contextualSpacing/>
        <w:rPr>
          <w:i/>
          <w:i/>
        </w:rPr>
      </w:pPr>
      <w:r>
        <w:rPr>
          <w:i/>
        </w:rPr>
        <w:t>Zdroj: Zprávy MF pro finanční orgány obcí a krajů č. 2/2017 (z 15. 2. 2017)</w:t>
      </w:r>
    </w:p>
    <w:p>
      <w:pPr>
        <w:pStyle w:val="Normal"/>
        <w:spacing w:before="0" w:after="0"/>
        <w:contextualSpacing/>
        <w:rPr>
          <w:i/>
          <w:i/>
        </w:rPr>
      </w:pPr>
      <w:r>
        <w:rPr>
          <w:i/>
        </w:rPr>
      </w:r>
    </w:p>
    <w:p>
      <w:pPr>
        <w:pStyle w:val="Normal"/>
        <w:spacing w:before="0" w:after="0"/>
        <w:contextualSpacing/>
        <w:rPr>
          <w:b/>
          <w:b/>
        </w:rPr>
      </w:pPr>
      <w:r>
        <w:rPr>
          <w:b/>
        </w:rPr>
        <w:t>Podle výkladu MF platí:  „na internetových stránkách“ = na elektronické úřední desce.</w:t>
      </w:r>
    </w:p>
    <w:p>
      <w:pPr>
        <w:pStyle w:val="Normal"/>
        <w:spacing w:before="0" w:after="0"/>
        <w:contextualSpacing/>
        <w:rPr/>
      </w:pPr>
      <w:r>
        <w:rPr/>
      </w:r>
    </w:p>
    <w:p>
      <w:pPr>
        <w:pStyle w:val="Normal"/>
        <w:rPr>
          <w:i/>
          <w:i/>
        </w:rPr>
      </w:pPr>
      <w:r>
        <w:rPr>
          <w:i/>
        </w:rPr>
        <w:t xml:space="preserve">Praktická aplikace – diskuze na přednášce </w:t>
      </w:r>
    </w:p>
    <w:p>
      <w:pPr>
        <w:pStyle w:val="Normal"/>
        <w:rPr>
          <w:i/>
          <w:i/>
        </w:rPr>
      </w:pPr>
      <w:r>
        <w:rPr>
          <w:i/>
        </w:rPr>
      </w:r>
    </w:p>
    <w:p>
      <w:pPr>
        <w:pStyle w:val="Normal"/>
        <w:rPr>
          <w:b/>
          <w:b/>
          <w:u w:val="single"/>
        </w:rPr>
      </w:pPr>
      <w:r>
        <w:rPr>
          <w:i/>
        </w:rPr>
        <w:t xml:space="preserve">Základní princip = informovanost veřejnosti </w:t>
      </w:r>
    </w:p>
    <w:p>
      <w:pPr>
        <w:pStyle w:val="Normal"/>
        <w:rPr>
          <w:b/>
          <w:b/>
          <w:u w:val="single"/>
        </w:rPr>
      </w:pPr>
      <w:r>
        <w:rPr>
          <w:b/>
          <w:u w:val="single"/>
        </w:rPr>
      </w:r>
    </w:p>
    <w:p>
      <w:pPr>
        <w:pStyle w:val="Normal"/>
        <w:spacing w:before="0" w:after="120"/>
        <w:rPr>
          <w:b/>
          <w:b/>
          <w:u w:val="single"/>
        </w:rPr>
      </w:pPr>
      <w:r>
        <w:rPr>
          <w:b/>
          <w:u w:val="single"/>
        </w:rPr>
        <w:t xml:space="preserve">Internetové stránky a DSO </w:t>
      </w:r>
    </w:p>
    <w:p>
      <w:pPr>
        <w:pStyle w:val="Normal"/>
        <w:spacing w:before="0" w:after="120"/>
        <w:jc w:val="both"/>
        <w:rPr/>
      </w:pPr>
      <w:r>
        <w:rPr/>
        <w:t>Zákon zavádí povinnost zveřejňovat dokumenty „na svých internetových stránkách“ i dobrovolným svazkům obcí. V praxi je však řada opravdu malých DSO, které nemají své vlastní webové stránky.</w:t>
      </w:r>
    </w:p>
    <w:p>
      <w:pPr>
        <w:pStyle w:val="Normal"/>
        <w:spacing w:before="0" w:after="60"/>
        <w:rPr>
          <w:b/>
          <w:b/>
        </w:rPr>
      </w:pPr>
      <w:r>
        <w:rPr>
          <w:b/>
        </w:rPr>
        <w:t xml:space="preserve">Důvodová zpráva např. k § 39 odst. 6 </w:t>
      </w:r>
    </w:p>
    <w:p>
      <w:pPr>
        <w:pStyle w:val="Normal"/>
        <w:shd w:val="clear" w:color="auto" w:fill="D9D9D9" w:themeFill="background1" w:themeFillShade="d9"/>
        <w:jc w:val="both"/>
        <w:rPr/>
      </w:pPr>
      <w:r>
        <w:rPr/>
        <w:t>Ustanovení § 39 odst. 6 se uvádí terminologicky do souladu se zákonem o pravidlech rozpočtové odpovědnosti (zveřejňování na internetových stránkách) a upřesňuje se doba trvání zveřejnění návrhu rozpočtu svazku obcí…</w:t>
      </w:r>
    </w:p>
    <w:p>
      <w:pPr>
        <w:pStyle w:val="Normal"/>
        <w:jc w:val="both"/>
        <w:rPr>
          <w:b/>
          <w:b/>
          <w:u w:val="single"/>
        </w:rPr>
      </w:pPr>
      <w:r>
        <w:rPr>
          <w:b/>
          <w:u w:val="single"/>
        </w:rPr>
      </w:r>
    </w:p>
    <w:p>
      <w:pPr>
        <w:pStyle w:val="Normal"/>
        <w:spacing w:before="0" w:after="120"/>
        <w:jc w:val="both"/>
        <w:rPr/>
      </w:pPr>
      <w:r>
        <w:rPr/>
        <w:t xml:space="preserve">Dotaz a odpověď MF k této problematice:  </w:t>
      </w:r>
    </w:p>
    <w:p>
      <w:pPr>
        <w:pStyle w:val="Normal"/>
        <w:pBdr>
          <w:top w:val="single" w:sz="4" w:space="1" w:color="333333"/>
          <w:left w:val="single" w:sz="4" w:space="4" w:color="333333"/>
          <w:bottom w:val="single" w:sz="4" w:space="1" w:color="333333"/>
          <w:right w:val="single" w:sz="4" w:space="4" w:color="333333"/>
        </w:pBdr>
        <w:jc w:val="both"/>
        <w:rPr>
          <w:b/>
          <w:b/>
          <w:i/>
          <w:i/>
        </w:rPr>
      </w:pPr>
      <w:r>
        <w:rPr>
          <w:b/>
          <w:i/>
        </w:rPr>
        <w:t>Dotaz</w:t>
      </w:r>
    </w:p>
    <w:p>
      <w:pPr>
        <w:pStyle w:val="Normal"/>
        <w:pBdr>
          <w:top w:val="single" w:sz="4" w:space="1" w:color="333333"/>
          <w:left w:val="single" w:sz="4" w:space="4" w:color="333333"/>
          <w:bottom w:val="single" w:sz="4" w:space="1" w:color="333333"/>
          <w:right w:val="single" w:sz="4" w:space="4" w:color="333333"/>
        </w:pBdr>
        <w:spacing w:before="0" w:after="120"/>
        <w:jc w:val="both"/>
        <w:rPr>
          <w:i/>
          <w:i/>
        </w:rPr>
      </w:pPr>
      <w:r>
        <w:rPr>
          <w:i/>
        </w:rPr>
        <w:t>2) Pokud skutečně musí zveřejňovat na svých internetových stránkách a tyto internetové stránky svazky nemají a ani nemají finanční prostředky na jejich zřízení, bude možné zřídit například pouze záložku na webových stránkách členské obce, která svazku předsedá, na které bude tyto dokumenty zveřejňovat? Pokud ne, jakým způsobem mají tuto situaci svazky řešit?</w:t>
      </w:r>
    </w:p>
    <w:p>
      <w:pPr>
        <w:pStyle w:val="Normal"/>
        <w:pBdr>
          <w:top w:val="single" w:sz="4" w:space="1" w:color="333333"/>
          <w:left w:val="single" w:sz="4" w:space="4" w:color="333333"/>
          <w:bottom w:val="single" w:sz="4" w:space="1" w:color="333333"/>
          <w:right w:val="single" w:sz="4" w:space="4" w:color="333333"/>
        </w:pBdr>
        <w:jc w:val="both"/>
        <w:rPr>
          <w:b/>
          <w:b/>
          <w:i/>
          <w:i/>
        </w:rPr>
      </w:pPr>
      <w:r>
        <w:rPr>
          <w:b/>
          <w:i/>
        </w:rPr>
        <w:t>Odpověď</w:t>
      </w:r>
    </w:p>
    <w:p>
      <w:pPr>
        <w:pStyle w:val="Normal"/>
        <w:pBdr>
          <w:top w:val="single" w:sz="4" w:space="1" w:color="333333"/>
          <w:left w:val="single" w:sz="4" w:space="4" w:color="333333"/>
          <w:bottom w:val="single" w:sz="4" w:space="1" w:color="333333"/>
          <w:right w:val="single" w:sz="4" w:space="4" w:color="333333"/>
        </w:pBdr>
        <w:jc w:val="both"/>
        <w:rPr>
          <w:b/>
          <w:b/>
          <w:i/>
          <w:i/>
          <w:u w:val="single"/>
        </w:rPr>
      </w:pPr>
      <w:r>
        <w:rPr>
          <w:i/>
        </w:rPr>
        <w:t xml:space="preserve">ad 2) V zák. č. 250/2000 Sb.,  ve znění pozdějších předpisů,  není stanovena povinnost, že DSO   musí mít své </w:t>
      </w:r>
      <w:r>
        <w:rPr>
          <w:rStyle w:val="Strong"/>
          <w:i/>
        </w:rPr>
        <w:t xml:space="preserve">vlastní </w:t>
      </w:r>
      <w:r>
        <w:rPr>
          <w:i/>
        </w:rPr>
        <w:t xml:space="preserve">internetové stránky v tom smyslu, že  DSO  má povinnost mít  zaevidovánu doménu  u správce domény, platit mu za tuto doménu a dále platit za  webhostingové služby. Není nám znám ani žádný jiný  právní předpis, který by takovou povinnost DSO stanovil. </w:t>
      </w:r>
      <w:r>
        <w:rPr>
          <w:rStyle w:val="Strong"/>
          <w:i/>
        </w:rPr>
        <w:t>Podle našeho právního názoru DSO, který nemá  své vlastní internetové stránky (vlastní doména a webhostingové služby), může při zveřejňování výše uvedených dokumentů postupovat obdobně, jako postupoval do 20. 2. 2017 (před nabytím účinnosti zák. č. 24/2017 Sb.) tzn. zveřejnit výše uvedené dokumenty, v rozsahu stanoveném zákonem, na internetových stránkách členských obcí (před novelou způsobem umožňujícím dálkový přístup viz správní řád). Vhodným řešením je vytvoření záložek na webových stránkách členských obcí. </w:t>
      </w:r>
    </w:p>
    <w:p>
      <w:pPr>
        <w:pStyle w:val="Normal"/>
        <w:spacing w:before="0" w:after="60"/>
        <w:jc w:val="both"/>
        <w:rPr>
          <w:b/>
          <w:b/>
        </w:rPr>
      </w:pPr>
      <w:r>
        <w:rPr>
          <w:b/>
        </w:rPr>
      </w:r>
    </w:p>
    <w:p>
      <w:pPr>
        <w:pStyle w:val="Normal"/>
        <w:spacing w:before="0" w:after="60"/>
        <w:jc w:val="both"/>
        <w:rPr>
          <w:b/>
          <w:b/>
        </w:rPr>
      </w:pPr>
      <w:r>
        <w:rPr>
          <w:b/>
        </w:rPr>
        <w:t xml:space="preserve">Z důvodové zprávy </w:t>
      </w:r>
    </w:p>
    <w:p>
      <w:pPr>
        <w:pStyle w:val="Normal"/>
        <w:shd w:val="clear" w:color="auto" w:fill="D9D9D9" w:themeFill="background1" w:themeFillShade="d9"/>
        <w:jc w:val="both"/>
        <w:rPr/>
      </w:pPr>
      <w:r>
        <w:rPr/>
        <w:t>…</w:t>
      </w:r>
      <w:r>
        <w:rPr/>
        <w:t xml:space="preserve">V případě dobrovolného svazku obcí je úprava obdobná s tím, že návrhy dokumentů se zveřejňují na úředních deskách členských obcí, neboť dobrovolný svazek obcí nemá povinnost zřizovat úřední desku. </w:t>
      </w:r>
    </w:p>
    <w:p>
      <w:pPr>
        <w:pStyle w:val="Textodstavce"/>
        <w:numPr>
          <w:ilvl w:val="0"/>
          <w:numId w:val="0"/>
        </w:numPr>
        <w:rPr/>
      </w:pPr>
      <w:r>
        <w:rPr/>
      </w:r>
    </w:p>
    <w:p>
      <w:pPr>
        <w:pStyle w:val="Nadpislnku"/>
        <w:shd w:val="clear" w:color="auto" w:fill="D9D9D9" w:themeFill="background1" w:themeFillShade="d9"/>
        <w:rPr/>
      </w:pPr>
      <w:r>
        <w:rPr/>
        <w:t>Přechodné ustanovení</w:t>
      </w:r>
    </w:p>
    <w:p>
      <w:pPr>
        <w:pStyle w:val="Textlnku"/>
        <w:shd w:val="clear" w:color="auto" w:fill="D9D9D9" w:themeFill="background1" w:themeFillShade="d9"/>
        <w:spacing w:before="120" w:after="120"/>
        <w:rPr>
          <w:b/>
          <w:b/>
        </w:rPr>
      </w:pPr>
      <w:r>
        <w:rPr>
          <w:b/>
        </w:rPr>
        <w:t>Pokud byl rozpočet na rok 2017 nebo střednědobý výhled rozpočtu na následující roky územního samosprávného celku, svazku obcí nebo Regionální rady regionu soudržnosti, rozpočet nákladů a výnosů na rok 2017 nebo střednědobý výhled nákladů a výnosů na následující roky příspěvkové organizace územního samosprávného celku nebo svazku obcí schválen přede dnem nabytí účinnosti tohoto zákona, musí být zveřejněn do 30 dnů ode dne nabytí účinnosti tohoto zákona.</w:t>
      </w:r>
    </w:p>
    <w:p>
      <w:pPr>
        <w:pStyle w:val="Normal"/>
        <w:spacing w:before="0" w:after="120"/>
        <w:jc w:val="both"/>
        <w:rPr/>
      </w:pPr>
      <w:r>
        <w:rPr/>
        <w:t xml:space="preserve">Z přechodných ustanovení plyne, že ÚSC, které schválily rozpočet přede dnem 21. 2. 2017, mají povinnost rozpočet v režimu novely zákona zveřejnit do 30 dnů po nabytí účinnosti zákona, tj. do </w:t>
      </w:r>
      <w:r>
        <w:rPr>
          <w:b/>
        </w:rPr>
        <w:t>23. 3. 2017</w:t>
      </w:r>
      <w:r>
        <w:rPr/>
        <w:t xml:space="preserve">. </w:t>
      </w:r>
    </w:p>
    <w:p>
      <w:pPr>
        <w:pStyle w:val="Normal"/>
        <w:spacing w:before="0" w:after="120"/>
        <w:jc w:val="both"/>
        <w:rPr/>
      </w:pPr>
      <w:r>
        <w:rPr/>
        <w:t xml:space="preserve">To znamená, že na internetových stránkách (na elektronické úřední desce) zveřejní schválený rozpočet na rok 2017 a zároveň na úřední desce (fyzické, stacionární) oznámí, kde je rozpočet zveřejněn na internetu a kde je k nahlédnutí v listinné podobě.  </w:t>
      </w:r>
    </w:p>
    <w:p>
      <w:pPr>
        <w:pStyle w:val="Normal"/>
        <w:spacing w:before="0" w:after="120"/>
        <w:jc w:val="both"/>
        <w:rPr/>
      </w:pPr>
      <w:r>
        <w:rPr/>
        <w:t xml:space="preserve">Pokud byl rozpočet schválen až po 21. 2. 2017 je povinnost ho v režimu zákona zveřejnit do 30 dnů ode dne jeho schválení. </w:t>
      </w:r>
    </w:p>
    <w:p>
      <w:pPr>
        <w:pStyle w:val="Normal"/>
        <w:spacing w:before="0" w:after="0"/>
        <w:contextualSpacing/>
        <w:jc w:val="both"/>
        <w:rPr>
          <w:b/>
          <w:b/>
        </w:rPr>
      </w:pPr>
      <w:r>
        <w:rPr/>
        <w:t>Pozor – zákon je účinný od 21. 2. 2017, z toho plyne,</w:t>
      </w:r>
      <w:r>
        <w:rPr>
          <w:b/>
        </w:rPr>
        <w:t xml:space="preserve"> že všechna rozpočtová opatření, která jsou schválená ode dne 21. 2. 2017, musí být zveřejněna do 30 dnů ode dne jejich schválení. Opět musí být zveřejněna na internetových stránkách (elektronické úřední desce) a na úřední desce musí být opět oznámení o tom, kde je rozpočtové opatření zveřejněno na internetu a kde je k nahlédnutí v listinné podobě.  </w:t>
      </w:r>
    </w:p>
    <w:p>
      <w:pPr>
        <w:pStyle w:val="Normal"/>
        <w:spacing w:before="0" w:after="0"/>
        <w:contextualSpacing/>
        <w:jc w:val="both"/>
        <w:rPr/>
      </w:pPr>
      <w:r>
        <w:rPr/>
      </w:r>
    </w:p>
    <w:p>
      <w:pPr>
        <w:pStyle w:val="Normal"/>
        <w:spacing w:before="0" w:after="0"/>
        <w:contextualSpacing/>
        <w:jc w:val="both"/>
        <w:rPr/>
      </w:pPr>
      <w:r>
        <w:rPr/>
        <w:t xml:space="preserve">Informace, kde jsou dokumenty zveřejněny na internetu a kde jsou k nahlédnutí v listinné podobě, by mělo být možné na úřední desce podat souhrnně, např.: </w:t>
      </w:r>
    </w:p>
    <w:p>
      <w:pPr>
        <w:pStyle w:val="Normal"/>
        <w:pBdr>
          <w:top w:val="single" w:sz="4" w:space="1" w:color="333333"/>
          <w:left w:val="single" w:sz="4" w:space="4" w:color="333333"/>
          <w:bottom w:val="single" w:sz="4" w:space="1" w:color="333333"/>
          <w:right w:val="single" w:sz="4" w:space="4" w:color="333333"/>
        </w:pBdr>
        <w:spacing w:before="120" w:after="0"/>
        <w:jc w:val="both"/>
        <w:rPr/>
      </w:pPr>
      <w:r>
        <w:rPr/>
        <w:t xml:space="preserve">V souladu se zákonem č. 250/2000 Sb., o rozpočtových pravidlech územních rozpočtů, ve znění zákona č. 24/2017 Sb., oznamujeme, že schválený rozpočet na rok 2017, rozpočtová opatření, která mění schválený rozpočet na rok 2017 a střednědobý výhled rozpočtu na léta 2018 - 2020: </w:t>
      </w:r>
    </w:p>
    <w:p>
      <w:pPr>
        <w:pStyle w:val="ListParagraph"/>
        <w:numPr>
          <w:ilvl w:val="0"/>
          <w:numId w:val="11"/>
        </w:numPr>
        <w:pBdr>
          <w:top w:val="single" w:sz="4" w:space="1" w:color="333333"/>
          <w:left w:val="single" w:sz="4" w:space="4" w:color="333333"/>
          <w:bottom w:val="single" w:sz="4" w:space="1" w:color="333333"/>
          <w:right w:val="single" w:sz="4" w:space="4" w:color="333333"/>
        </w:pBdr>
        <w:ind w:left="284" w:hanging="284"/>
        <w:jc w:val="both"/>
        <w:rPr/>
      </w:pPr>
      <w:r>
        <w:rPr/>
        <w:t>jsou v elektronické podobě zveřejněny na elektronické úřední desce obce na adrese www.vzorovaobec.cz/urednideska/zverejnenidlezak250/2000</w:t>
      </w:r>
    </w:p>
    <w:p>
      <w:pPr>
        <w:pStyle w:val="ListParagraph"/>
        <w:numPr>
          <w:ilvl w:val="0"/>
          <w:numId w:val="11"/>
        </w:numPr>
        <w:pBdr>
          <w:top w:val="single" w:sz="4" w:space="1" w:color="333333"/>
          <w:left w:val="single" w:sz="4" w:space="4" w:color="333333"/>
          <w:bottom w:val="single" w:sz="4" w:space="1" w:color="333333"/>
          <w:right w:val="single" w:sz="4" w:space="4" w:color="333333"/>
        </w:pBdr>
        <w:ind w:left="284" w:hanging="284"/>
        <w:jc w:val="both"/>
        <w:rPr/>
      </w:pPr>
      <w:r>
        <w:rPr/>
        <w:t xml:space="preserve">je možno nahlédnout do jejich listinné podoby na obecním úřadu na adrese Krásná 11, 123 45 Vzorová obec, kancelář č. 21, a to vždy v úředních hodinách obecního úřadu. </w:t>
      </w:r>
    </w:p>
    <w:p>
      <w:pPr>
        <w:pStyle w:val="Normal"/>
        <w:spacing w:before="0" w:after="0"/>
        <w:contextualSpacing/>
        <w:jc w:val="both"/>
        <w:rPr>
          <w:b/>
          <w:b/>
          <w:u w:val="single"/>
        </w:rPr>
      </w:pPr>
      <w:r>
        <w:rPr>
          <w:b/>
          <w:u w:val="single"/>
        </w:rPr>
      </w:r>
    </w:p>
    <w:p>
      <w:pPr>
        <w:pStyle w:val="Normal"/>
        <w:spacing w:before="0" w:after="0"/>
        <w:contextualSpacing/>
        <w:jc w:val="both"/>
        <w:rPr>
          <w:b/>
          <w:b/>
          <w:u w:val="single"/>
        </w:rPr>
      </w:pPr>
      <w:r>
        <w:rPr>
          <w:b/>
          <w:u w:val="single"/>
        </w:rPr>
      </w:r>
    </w:p>
    <w:p>
      <w:pPr>
        <w:pStyle w:val="Normal"/>
        <w:spacing w:before="0" w:after="0"/>
        <w:contextualSpacing/>
        <w:jc w:val="both"/>
        <w:rPr>
          <w:b/>
          <w:b/>
          <w:u w:val="single"/>
        </w:rPr>
      </w:pPr>
      <w:r>
        <w:rPr>
          <w:b/>
          <w:u w:val="single"/>
        </w:rPr>
        <w:t>Povinnost zveřejnění rozpočtového výhledu (střednědobého výhledu) rozpočtu ÚSC zpracovaného přede dnem 21. 2. 2017</w:t>
      </w:r>
    </w:p>
    <w:p>
      <w:pPr>
        <w:pStyle w:val="Normal"/>
        <w:spacing w:before="0" w:after="0"/>
        <w:contextualSpacing/>
        <w:jc w:val="both"/>
        <w:rPr>
          <w:b/>
          <w:b/>
          <w:u w:val="single"/>
        </w:rPr>
      </w:pPr>
      <w:r>
        <w:rPr>
          <w:b/>
          <w:u w:val="single"/>
        </w:rPr>
      </w:r>
    </w:p>
    <w:p>
      <w:pPr>
        <w:pStyle w:val="Normal"/>
        <w:spacing w:before="0" w:after="60"/>
        <w:jc w:val="both"/>
        <w:rPr>
          <w:b/>
          <w:b/>
          <w:i/>
          <w:i/>
        </w:rPr>
      </w:pPr>
      <w:r>
        <w:rPr>
          <w:b/>
          <w:i/>
        </w:rPr>
        <w:t>Dotaz města, emailová odpověď ředitele odboru 12 MF:</w:t>
      </w:r>
    </w:p>
    <w:p>
      <w:pPr>
        <w:pStyle w:val="Normal"/>
        <w:pBdr>
          <w:top w:val="single" w:sz="4" w:space="1" w:color="00000A"/>
          <w:left w:val="single" w:sz="4" w:space="4" w:color="00000A"/>
          <w:bottom w:val="single" w:sz="4" w:space="1" w:color="00000A"/>
          <w:right w:val="single" w:sz="4" w:space="4" w:color="00000A"/>
        </w:pBdr>
        <w:spacing w:before="0" w:after="60"/>
        <w:rPr>
          <w:b/>
          <w:b/>
          <w:bCs/>
          <w:i/>
          <w:i/>
          <w:iCs/>
        </w:rPr>
      </w:pPr>
      <w:r>
        <w:rPr>
          <w:b/>
          <w:bCs/>
          <w:i/>
          <w:iCs/>
        </w:rPr>
        <w:t>Dotaz</w:t>
      </w:r>
    </w:p>
    <w:p>
      <w:pPr>
        <w:pStyle w:val="Normal"/>
        <w:pBdr>
          <w:top w:val="single" w:sz="4" w:space="1" w:color="00000A"/>
          <w:left w:val="single" w:sz="4" w:space="4" w:color="00000A"/>
          <w:bottom w:val="single" w:sz="4" w:space="1" w:color="00000A"/>
          <w:right w:val="single" w:sz="4" w:space="4" w:color="00000A"/>
        </w:pBdr>
        <w:spacing w:before="0" w:after="60"/>
        <w:jc w:val="both"/>
        <w:rPr>
          <w:b/>
          <w:b/>
          <w:bCs/>
          <w:i/>
          <w:i/>
          <w:iCs/>
        </w:rPr>
      </w:pPr>
      <w:r>
        <w:rPr/>
        <w:t>Při zveřejnění střednědobého výhledu rozpočtu ÚSC, který byl schválen přede dnem účinnosti zákona č. 24/2017 Sb. se postupuje podle § 3, odst. 4 zákona č. 250/200 Sb.?</w:t>
      </w:r>
    </w:p>
    <w:p>
      <w:pPr>
        <w:pStyle w:val="Normal"/>
        <w:pBdr>
          <w:top w:val="single" w:sz="4" w:space="1" w:color="00000A"/>
          <w:left w:val="single" w:sz="4" w:space="4" w:color="00000A"/>
          <w:bottom w:val="single" w:sz="4" w:space="1" w:color="00000A"/>
          <w:right w:val="single" w:sz="4" w:space="4" w:color="00000A"/>
        </w:pBdr>
        <w:spacing w:before="120" w:after="120"/>
        <w:rPr/>
      </w:pPr>
      <w:r>
        <w:rPr>
          <w:b/>
          <w:bCs/>
          <w:i/>
          <w:iCs/>
        </w:rPr>
        <w:t> </w:t>
      </w:r>
      <w:r>
        <w:rPr>
          <w:b/>
          <w:bCs/>
          <w:i/>
          <w:iCs/>
        </w:rPr>
        <w:t>Odpověď z MF: </w:t>
      </w:r>
    </w:p>
    <w:p>
      <w:pPr>
        <w:pStyle w:val="Normal"/>
        <w:pBdr>
          <w:top w:val="single" w:sz="4" w:space="1" w:color="00000A"/>
          <w:left w:val="single" w:sz="4" w:space="4" w:color="00000A"/>
          <w:bottom w:val="single" w:sz="4" w:space="1" w:color="00000A"/>
          <w:right w:val="single" w:sz="4" w:space="4" w:color="00000A"/>
        </w:pBdr>
        <w:spacing w:before="120" w:after="120"/>
        <w:jc w:val="both"/>
        <w:rPr/>
      </w:pPr>
      <w:r>
        <w:rPr>
          <w:b/>
          <w:bCs/>
        </w:rPr>
        <w:t>Ad 2</w:t>
      </w:r>
      <w:r>
        <w:rPr/>
        <w:t xml:space="preserve">: Ano, </w:t>
      </w:r>
      <w:r>
        <w:rPr>
          <w:b/>
          <w:bCs/>
        </w:rPr>
        <w:t>rozpočtový výhled</w:t>
      </w:r>
      <w:r>
        <w:rPr/>
        <w:t xml:space="preserve"> (nově </w:t>
      </w:r>
      <w:r>
        <w:rPr>
          <w:b/>
          <w:bCs/>
        </w:rPr>
        <w:t>střednědobý výhled rozpočtu</w:t>
      </w:r>
      <w:r>
        <w:rPr/>
        <w:t xml:space="preserve">), který byl </w:t>
      </w:r>
      <w:r>
        <w:rPr>
          <w:b/>
          <w:bCs/>
        </w:rPr>
        <w:t>schválen před nabytím účinnosti</w:t>
      </w:r>
      <w:r>
        <w:rPr/>
        <w:t xml:space="preserve"> zákona č. 24/2017 Sb., </w:t>
      </w:r>
      <w:r>
        <w:rPr>
          <w:b/>
          <w:bCs/>
        </w:rPr>
        <w:t>musí být do 23. března 2017 zveřejněn</w:t>
      </w:r>
      <w:r>
        <w:rPr/>
        <w:t xml:space="preserve"> postupem stanoveným zákonem č. 250/2000 Sb., o rozpočtových pravidlech územních rozpočtů, ve znění účinném od 21. února 2017.  To znamená, že ÚSC podle § 3 odst. 4 zákona č. 250/2000 Sb., zveřejní střednědobý výhled rozpočtu na svých internetových stránkách (elektronické úřední desce) a současně na stacionární úřední desce oznámí, kde je střednědobý výhled rozpočtu zveřejněn v elektronické podobě a kde je možno nahlédnout do jeho listinné podoby. Tímto způsobem musí být schválený střednědobý výhled rozpočtu zveřejněn až do schválení nového střednědobého výhledu rozpočtu.  </w:t>
      </w:r>
    </w:p>
    <w:p>
      <w:pPr>
        <w:pStyle w:val="Normal"/>
        <w:spacing w:before="0" w:after="0"/>
        <w:contextualSpacing/>
        <w:jc w:val="both"/>
        <w:rPr>
          <w:b/>
          <w:b/>
          <w:u w:val="single"/>
        </w:rPr>
      </w:pPr>
      <w:r>
        <w:rPr>
          <w:b/>
          <w:u w:val="single"/>
        </w:rPr>
      </w:r>
    </w:p>
    <w:p>
      <w:pPr>
        <w:pStyle w:val="Normal"/>
        <w:spacing w:before="0" w:after="0"/>
        <w:contextualSpacing/>
        <w:jc w:val="both"/>
        <w:rPr>
          <w:i/>
          <w:i/>
        </w:rPr>
      </w:pPr>
      <w:r>
        <w:rPr>
          <w:i/>
        </w:rPr>
        <w:t xml:space="preserve">Komentář - víceméně nemohl být nikým schválen střednědobý výhled rozpočtu, protože tento název před 6. 2. 2017 nebyl platný. Odpovědi, že se jedná jen o změnu pojmu, by neměly být "směroplatné“, protože rozpočtový výhled nemusel být v návrhu zveřejněn a dokonce ani schválen žádným orgánem obce. Tj. má jiný rozpočtový proces, i když obsahově to mohou být shodné dokumenty. Pokud přesto byl schválen rozpočtový výhled, tak žádný zákon neukládá jej zveřejnit. </w:t>
      </w:r>
    </w:p>
    <w:p>
      <w:pPr>
        <w:pStyle w:val="Normal"/>
        <w:spacing w:before="0" w:after="0"/>
        <w:contextualSpacing/>
        <w:jc w:val="both"/>
        <w:rPr>
          <w:i/>
          <w:i/>
        </w:rPr>
      </w:pPr>
      <w:r>
        <w:rPr>
          <w:i/>
        </w:rPr>
        <w:t>Odpovědi MF však směřují k tomu, že schválený rozpočtový výhled je pojmově střednědobý výhled rozpočtu v souladu s novelou zákona a zveřejnit se má.</w:t>
      </w:r>
    </w:p>
    <w:p>
      <w:pPr>
        <w:pStyle w:val="Normal"/>
        <w:spacing w:before="0" w:after="0"/>
        <w:contextualSpacing/>
        <w:jc w:val="both"/>
        <w:rPr>
          <w:i/>
          <w:i/>
        </w:rPr>
      </w:pPr>
      <w:r>
        <w:rPr>
          <w:i/>
        </w:rPr>
        <w:t xml:space="preserve">Dalším problémem je povinnost schválení střednědobého výhledu rozpočtu zastupitelstvem, protože ji nemá uvedenou v kompetencích dle zákona o obcích. Dle výkladů má zastupitelstvo schvalovat i dokumenty, jejichž schválení ukládá jiný předpis. Ponecháme k diskuzi, zda je tato povinnost uložena zákonem č. 250/2000 Sb. Zákon č. 250/2000 Sb. schválení zastupitelstvem předpokládá. </w:t>
      </w:r>
    </w:p>
    <w:p>
      <w:pPr>
        <w:pStyle w:val="Normal"/>
        <w:spacing w:before="0" w:after="0"/>
        <w:contextualSpacing/>
        <w:jc w:val="both"/>
        <w:rPr>
          <w:b/>
          <w:b/>
          <w:u w:val="single"/>
        </w:rPr>
      </w:pPr>
      <w:r>
        <w:rPr>
          <w:b/>
          <w:u w:val="single"/>
        </w:rPr>
      </w:r>
    </w:p>
    <w:p>
      <w:pPr>
        <w:pStyle w:val="Normal"/>
        <w:spacing w:before="0" w:after="0"/>
        <w:contextualSpacing/>
        <w:jc w:val="both"/>
        <w:rPr>
          <w:b/>
          <w:b/>
          <w:u w:val="single"/>
        </w:rPr>
      </w:pPr>
      <w:r>
        <w:rPr>
          <w:b/>
          <w:u w:val="single"/>
        </w:rPr>
      </w:r>
    </w:p>
    <w:p>
      <w:pPr>
        <w:pStyle w:val="Normal"/>
        <w:spacing w:before="0" w:after="0"/>
        <w:contextualSpacing/>
        <w:jc w:val="both"/>
        <w:rPr>
          <w:b/>
          <w:b/>
          <w:u w:val="single"/>
        </w:rPr>
      </w:pPr>
      <w:r>
        <w:rPr>
          <w:b/>
          <w:u w:val="single"/>
        </w:rPr>
        <w:t xml:space="preserve">Aktuálně je tedy třeba: </w:t>
      </w:r>
    </w:p>
    <w:p>
      <w:pPr>
        <w:pStyle w:val="Normal"/>
        <w:spacing w:before="0" w:after="0"/>
        <w:contextualSpacing/>
        <w:jc w:val="both"/>
        <w:rPr>
          <w:b/>
          <w:b/>
          <w:u w:val="single"/>
        </w:rPr>
      </w:pPr>
      <w:r>
        <w:rPr>
          <w:b/>
          <w:u w:val="single"/>
        </w:rPr>
      </w:r>
    </w:p>
    <w:p>
      <w:pPr>
        <w:pStyle w:val="ListParagraph"/>
        <w:numPr>
          <w:ilvl w:val="0"/>
          <w:numId w:val="11"/>
        </w:numPr>
        <w:spacing w:before="0" w:after="120"/>
        <w:ind w:left="714" w:hanging="357"/>
        <w:jc w:val="both"/>
        <w:rPr>
          <w:b/>
          <w:b/>
        </w:rPr>
      </w:pPr>
      <w:r>
        <w:rPr>
          <w:b/>
        </w:rPr>
        <w:t>podle nových pravidel zveřejňovat všechna rozpočtová opatření schválená ode dne 21. 2. 2017 a to bez rozdílu, zda byla schválená zastupitelstvem nebo radou v rámci převedené kompetence k provádění RO (nebo v rámci převedené kompetence starostovi na obcích, kde se rada nevolí),</w:t>
      </w:r>
    </w:p>
    <w:p>
      <w:pPr>
        <w:pStyle w:val="ListParagraph"/>
        <w:numPr>
          <w:ilvl w:val="0"/>
          <w:numId w:val="11"/>
        </w:numPr>
        <w:spacing w:before="0" w:after="120"/>
        <w:ind w:left="714" w:hanging="357"/>
        <w:jc w:val="both"/>
        <w:rPr>
          <w:b/>
          <w:b/>
        </w:rPr>
      </w:pPr>
      <w:r>
        <w:rPr>
          <w:b/>
        </w:rPr>
        <w:t xml:space="preserve">mít podle nových pravidel zveřejněný schválený rozpočet na rok 2017 do 23. 3. 2017 (pokud byl rozpočet schválen do 20. 2. 2017 včetně) nebo do 30 dnů ode dne jeho schválení (pokud byl schválen až po 21. 2. 2017). </w:t>
      </w:r>
    </w:p>
    <w:p>
      <w:pPr>
        <w:pStyle w:val="ListParagraph"/>
        <w:numPr>
          <w:ilvl w:val="0"/>
          <w:numId w:val="11"/>
        </w:numPr>
        <w:spacing w:before="0" w:after="120"/>
        <w:ind w:left="714" w:hanging="357"/>
        <w:jc w:val="both"/>
        <w:rPr>
          <w:b/>
          <w:b/>
        </w:rPr>
      </w:pPr>
      <w:r>
        <w:rPr>
          <w:b/>
        </w:rPr>
        <w:t>Podle výkladu MF zveřejnit i rozpočtový výhled, pokud byl schválen do 20. 2. 2017.</w:t>
      </w:r>
    </w:p>
    <w:p>
      <w:pPr>
        <w:pStyle w:val="ListParagraph"/>
        <w:numPr>
          <w:ilvl w:val="0"/>
          <w:numId w:val="11"/>
        </w:numPr>
        <w:spacing w:before="0" w:after="120"/>
        <w:ind w:left="714" w:hanging="357"/>
        <w:jc w:val="both"/>
        <w:rPr>
          <w:b/>
          <w:b/>
        </w:rPr>
      </w:pPr>
      <w:r>
        <w:rPr>
          <w:b/>
        </w:rPr>
        <w:t>Připravovat závěrečný účet za rok 2016 s ohledem na nové zveřejňovací povinnosti.</w:t>
      </w:r>
    </w:p>
    <w:p>
      <w:pPr>
        <w:pStyle w:val="Normal"/>
        <w:jc w:val="both"/>
        <w:rPr/>
      </w:pPr>
      <w:r>
        <w:rPr/>
      </w:r>
    </w:p>
    <w:p>
      <w:pPr>
        <w:pStyle w:val="Normal"/>
        <w:jc w:val="both"/>
        <w:rPr>
          <w:b/>
          <w:b/>
          <w:i/>
          <w:i/>
          <w:u w:val="single"/>
        </w:rPr>
      </w:pPr>
      <w:r>
        <w:rPr>
          <w:b/>
          <w:i/>
          <w:u w:val="single"/>
        </w:rPr>
        <w:t xml:space="preserve">Obce, které k 21. 2. 2017 neměly schválen rozpočet na rok 2017 (hospodařily v provizoriu): </w:t>
      </w:r>
    </w:p>
    <w:p>
      <w:pPr>
        <w:pStyle w:val="Normal"/>
        <w:jc w:val="both"/>
        <w:rPr>
          <w:i/>
          <w:i/>
        </w:rPr>
      </w:pPr>
      <w:r>
        <w:rPr>
          <w:i/>
        </w:rPr>
      </w:r>
    </w:p>
    <w:p>
      <w:pPr>
        <w:pStyle w:val="ListParagraph"/>
        <w:numPr>
          <w:ilvl w:val="0"/>
          <w:numId w:val="12"/>
        </w:numPr>
        <w:spacing w:before="0" w:after="120"/>
        <w:ind w:left="714" w:hanging="357"/>
        <w:jc w:val="both"/>
        <w:rPr>
          <w:i/>
          <w:i/>
        </w:rPr>
      </w:pPr>
      <w:r>
        <w:rPr>
          <w:i/>
        </w:rPr>
        <w:t xml:space="preserve">návrh rozpočtu na rok 2017 zveřejnily přede dnem 21. 2. 2017. V tomto případě obce dokončily schvalovací proces podle původních pravidel. Považujeme za neseriózní ze strany zákonodárce, že novelou zákona vstoupil do aktivních rozpočtových procesů obcí a zvýšil tím jejich právní nejistotu. Obce neměly jinou možnost, než rozpočet ponechat zveřejněn v souladu se zněním zákona do 21. 2. 2017 a poté rozpočet schválit. Do 30 dnů ode dne schválení však bylo nutné podle nových pravidel schválený rozpočet zveřejnit. </w:t>
      </w:r>
    </w:p>
    <w:p>
      <w:pPr>
        <w:pStyle w:val="ListParagraph"/>
        <w:numPr>
          <w:ilvl w:val="0"/>
          <w:numId w:val="12"/>
        </w:numPr>
        <w:spacing w:before="0" w:after="120"/>
        <w:ind w:left="714" w:hanging="357"/>
        <w:jc w:val="both"/>
        <w:rPr>
          <w:i/>
          <w:i/>
        </w:rPr>
      </w:pPr>
      <w:r>
        <w:rPr>
          <w:i/>
        </w:rPr>
        <w:t xml:space="preserve">návrh rozpočtu na rok 2017 přede dnem 21. 2. 2017 ještě nezveřejnily, zveřejnily až později. V tomto případě se obce při zveřejnění návrhu rozpočtu již měly řídit pravidly zákona po novele účinné od 21. 2. 2017 (návrh rozpočtu na internetových stánkách v úplném znění, na úřední desce možno v užším rozsahu, zároveň na úřední desce oznámení, kde je návrh zveřejněn na internetu a kde lze nahlédnout do jeho listinné podoby, návrh zveřejněn až do schválení rozpočtu). Zároveň s návrhem rozpočtu na rok 2017 zveřejnění informace o schváleném rozpočtu na rok 2016 a o skutečném plnění rozpočtu roku 2016 (zde nejistota, viz odpověď ze strany MF, která tuto povinnost rozporuje). </w:t>
      </w:r>
    </w:p>
    <w:p>
      <w:pPr>
        <w:pStyle w:val="Textlnku"/>
        <w:spacing w:before="0" w:after="120"/>
        <w:ind w:hanging="0"/>
        <w:jc w:val="left"/>
        <w:rPr>
          <w:b/>
          <w:b/>
        </w:rPr>
      </w:pPr>
      <w:r>
        <w:rPr>
          <w:b/>
        </w:rPr>
      </w:r>
    </w:p>
    <w:p>
      <w:pPr>
        <w:pStyle w:val="Textlnku"/>
        <w:spacing w:before="0" w:after="120"/>
        <w:ind w:hanging="0"/>
        <w:jc w:val="left"/>
        <w:rPr>
          <w:b/>
          <w:b/>
        </w:rPr>
      </w:pPr>
      <w:r>
        <w:rPr>
          <w:b/>
        </w:rPr>
        <w:t xml:space="preserve">Rozpočet a střednědobý výhled rozpočtu PO, novela zákona č. 250/2000 Sb.: </w:t>
      </w:r>
    </w:p>
    <w:p>
      <w:pPr>
        <w:pStyle w:val="Textlnku"/>
        <w:shd w:val="clear" w:color="auto" w:fill="D9D9D9" w:themeFill="background1" w:themeFillShade="d9"/>
        <w:ind w:hanging="0"/>
        <w:jc w:val="center"/>
        <w:rPr/>
      </w:pPr>
      <w:r>
        <w:rPr/>
        <w:t>§ 28</w:t>
      </w:r>
    </w:p>
    <w:p>
      <w:pPr>
        <w:pStyle w:val="Normal"/>
        <w:shd w:val="clear" w:color="auto" w:fill="D9D9D9" w:themeFill="background1" w:themeFillShade="d9"/>
        <w:spacing w:before="0" w:after="120"/>
        <w:jc w:val="center"/>
        <w:rPr>
          <w:b/>
          <w:b/>
        </w:rPr>
      </w:pPr>
      <w:r>
        <w:rPr>
          <w:b/>
        </w:rPr>
        <w:t>Finanční hospodaření příspěvkových organizací</w:t>
      </w:r>
    </w:p>
    <w:p>
      <w:pPr>
        <w:pStyle w:val="Textlnku"/>
        <w:shd w:val="clear" w:color="auto" w:fill="D9D9D9" w:themeFill="background1" w:themeFillShade="d9"/>
        <w:ind w:firstLine="284"/>
        <w:rPr>
          <w:b/>
          <w:b/>
        </w:rPr>
      </w:pPr>
      <w:r>
        <w:rPr>
          <w:b/>
        </w:rPr>
        <w:t xml:space="preserve"> </w:t>
      </w:r>
      <w:r>
        <w:rPr>
          <w:b/>
        </w:rPr>
        <w:t>(1)</w:t>
        <w:tab/>
        <w:t>Příspěvková organizace sestavuje rozpočet a střednědobý výhled rozpočtu, které schvaluje její zřizovatel.</w:t>
      </w:r>
    </w:p>
    <w:p>
      <w:pPr>
        <w:pStyle w:val="Textlnku"/>
        <w:shd w:val="clear" w:color="auto" w:fill="D9D9D9" w:themeFill="background1" w:themeFillShade="d9"/>
        <w:ind w:firstLine="284"/>
        <w:rPr>
          <w:b/>
          <w:b/>
        </w:rPr>
      </w:pPr>
      <w:r>
        <w:rPr>
          <w:b/>
        </w:rPr>
        <w:t xml:space="preserve">(2) </w:t>
        <w:tab/>
        <w:t>Rozpočet příspěvkové organizace je plán výnosů a nákladů na rozpočtový rok, jímž se řídí financování činnosti příspěvkové organizace. Rozpočtový rok je shodný s kalendářním rokem.</w:t>
      </w:r>
    </w:p>
    <w:p>
      <w:pPr>
        <w:pStyle w:val="Textlnku"/>
        <w:shd w:val="clear" w:color="auto" w:fill="D9D9D9" w:themeFill="background1" w:themeFillShade="d9"/>
        <w:ind w:firstLine="284"/>
        <w:rPr>
          <w:b/>
          <w:b/>
        </w:rPr>
      </w:pPr>
      <w:r>
        <w:rPr>
          <w:b/>
        </w:rPr>
        <w:t xml:space="preserve">(3) </w:t>
        <w:tab/>
        <w:t>Střednědobý výhled rozpočtu příspěvkové organizace je plán výnosů a nákladů</w:t>
      </w:r>
      <w:r>
        <w:rPr>
          <w:b/>
          <w:vertAlign w:val="superscript"/>
        </w:rPr>
        <w:t xml:space="preserve"> </w:t>
      </w:r>
      <w:r>
        <w:rPr>
          <w:b/>
        </w:rPr>
        <w:t>na nejméně 2 roky následující po roce, na který je sestavován rozpočet. Obsahuje předpokládané náklady a výnosy v jednotlivých letech.“.</w:t>
      </w:r>
    </w:p>
    <w:p>
      <w:pPr>
        <w:pStyle w:val="Paragraf"/>
        <w:shd w:val="clear" w:color="auto" w:fill="D9D9D9" w:themeFill="background1" w:themeFillShade="d9"/>
        <w:rPr>
          <w:b/>
          <w:b/>
        </w:rPr>
      </w:pPr>
      <w:r>
        <w:rPr>
          <w:b/>
        </w:rPr>
        <w:t>§ 28a</w:t>
      </w:r>
    </w:p>
    <w:p>
      <w:pPr>
        <w:pStyle w:val="Nadpisparagrafu"/>
        <w:shd w:val="clear" w:color="auto" w:fill="D9D9D9" w:themeFill="background1" w:themeFillShade="d9"/>
        <w:rPr/>
      </w:pPr>
      <w:r>
        <w:rPr/>
        <w:t>Zveřejňování střednědobého výhledu rozpočtu a rozpočtu příspěvkové organizace</w:t>
      </w:r>
    </w:p>
    <w:p>
      <w:pPr>
        <w:pStyle w:val="Textodstavce"/>
        <w:numPr>
          <w:ilvl w:val="6"/>
          <w:numId w:val="13"/>
        </w:numPr>
        <w:shd w:val="clear" w:color="auto" w:fill="D9D9D9" w:themeFill="background1" w:themeFillShade="d9"/>
        <w:ind w:left="0" w:firstLine="284"/>
        <w:rPr>
          <w:b/>
          <w:b/>
        </w:rPr>
      </w:pPr>
      <w:r>
        <w:rPr>
          <w:b/>
        </w:rPr>
        <w:t>Příspěvková organizace zveřejní návrh střednědobého výhledu rozpočtu na svých internetových stránkách, na internetových stránkách svého zřizovatele, nebo způsobem v místě obvyklým nejméně 15 dnů přede dnem zahájení jeho projednávání zřizovatelem. Zveřejnění musí trvat až do schválení střednědobého výhledu rozpočtu.</w:t>
      </w:r>
    </w:p>
    <w:p>
      <w:pPr>
        <w:pStyle w:val="Textodstavce"/>
        <w:numPr>
          <w:ilvl w:val="6"/>
          <w:numId w:val="4"/>
        </w:numPr>
        <w:shd w:val="clear" w:color="auto" w:fill="D9D9D9" w:themeFill="background1" w:themeFillShade="d9"/>
        <w:ind w:left="0" w:firstLine="284"/>
        <w:rPr>
          <w:b/>
          <w:b/>
        </w:rPr>
      </w:pPr>
      <w:r>
        <w:rPr>
          <w:b/>
        </w:rPr>
        <w:t>Příspěvková organizace zveřejní střednědobý výhled rozpočtu na svých internetových stránkách, na internetových stránkách svého zřizovatele, nebo způsobem v místě obvyklým do 30 dnů ode dne jeho schválení. Zveřejnění musí trvat až do schválení nového střednědobého výhledu rozpočtu.</w:t>
      </w:r>
    </w:p>
    <w:p>
      <w:pPr>
        <w:pStyle w:val="Textodstavce"/>
        <w:numPr>
          <w:ilvl w:val="6"/>
          <w:numId w:val="4"/>
        </w:numPr>
        <w:shd w:val="clear" w:color="auto" w:fill="D9D9D9" w:themeFill="background1" w:themeFillShade="d9"/>
        <w:ind w:left="0" w:firstLine="284"/>
        <w:rPr>
          <w:b/>
          <w:b/>
        </w:rPr>
      </w:pPr>
      <w:r>
        <w:rPr>
          <w:b/>
        </w:rPr>
        <w:t>Příspěvková organizace zveřejní návrh rozpočtu na svých internetových stránkách, na internetových stránkách svého zřizovatele, nebo způsobem v místě obvyklým nejméně 15 dnů přede dnem zahájení jeho projednávání zřizovatelem. Zveřejnění musí trvat až do schválení rozpočtu.</w:t>
      </w:r>
    </w:p>
    <w:p>
      <w:pPr>
        <w:pStyle w:val="Textodstavce"/>
        <w:numPr>
          <w:ilvl w:val="6"/>
          <w:numId w:val="4"/>
        </w:numPr>
        <w:shd w:val="clear" w:color="auto" w:fill="D9D9D9" w:themeFill="background1" w:themeFillShade="d9"/>
        <w:ind w:left="0" w:firstLine="284"/>
        <w:rPr>
          <w:b/>
          <w:b/>
        </w:rPr>
      </w:pPr>
      <w:r>
        <w:rPr>
          <w:b/>
        </w:rPr>
        <w:t>Příspěvková organizace zveřejní rozpočet na svých internetových stránkách, na internetových stránkách svého zřizovatele, nebo způsobem v místě obvyklým do 30 dnů od jeho schválení. Zveřejnění musí trvat až do schválení rozpočtu na následující rozpočtový rok.“.</w:t>
      </w:r>
    </w:p>
    <w:p>
      <w:pPr>
        <w:pStyle w:val="Normal"/>
        <w:jc w:val="both"/>
        <w:rPr>
          <w:b/>
          <w:b/>
          <w:u w:val="single"/>
        </w:rPr>
      </w:pPr>
      <w:r>
        <w:rPr>
          <w:b/>
          <w:u w:val="single"/>
        </w:rPr>
      </w:r>
    </w:p>
    <w:p>
      <w:pPr>
        <w:pStyle w:val="Normal"/>
        <w:jc w:val="both"/>
        <w:rPr>
          <w:b/>
          <w:b/>
        </w:rPr>
      </w:pPr>
      <w:r>
        <w:rPr>
          <w:b/>
        </w:rPr>
      </w:r>
    </w:p>
    <w:p>
      <w:pPr>
        <w:pStyle w:val="Normal"/>
        <w:jc w:val="both"/>
        <w:rPr>
          <w:b/>
          <w:b/>
        </w:rPr>
      </w:pPr>
      <w:r>
        <w:rPr>
          <w:b/>
        </w:rPr>
      </w:r>
    </w:p>
    <w:p>
      <w:pPr>
        <w:pStyle w:val="Normal"/>
        <w:jc w:val="both"/>
        <w:rPr>
          <w:b/>
          <w:b/>
        </w:rPr>
      </w:pPr>
      <w:r>
        <w:rPr>
          <w:b/>
        </w:rPr>
        <w:t>Důvodová zpráva k § 28 odst. 1-3:</w:t>
      </w:r>
    </w:p>
    <w:p>
      <w:pPr>
        <w:pStyle w:val="Normal"/>
        <w:shd w:val="clear" w:color="auto" w:fill="D9D9D9" w:themeFill="background1" w:themeFillShade="d9"/>
        <w:jc w:val="both"/>
        <w:rPr/>
      </w:pPr>
      <w:r>
        <w:rPr/>
        <w:t xml:space="preserve">Obsah rozpočtu střednědobého výhledu rozpočtu příspěvkové organizace a rozpočtu příspěvkové organizace se stanoví pouze obecně. </w:t>
      </w:r>
    </w:p>
    <w:p>
      <w:pPr>
        <w:pStyle w:val="Normal"/>
        <w:rPr/>
      </w:pPr>
      <w:r>
        <w:rPr/>
      </w:r>
    </w:p>
    <w:p>
      <w:pPr>
        <w:pStyle w:val="Normal"/>
        <w:spacing w:before="0" w:after="60"/>
        <w:jc w:val="both"/>
        <w:rPr>
          <w:b/>
          <w:b/>
        </w:rPr>
      </w:pPr>
      <w:r>
        <w:rPr>
          <w:b/>
        </w:rPr>
        <w:t xml:space="preserve">Z důvodové zprávy: </w:t>
      </w:r>
    </w:p>
    <w:p>
      <w:pPr>
        <w:pStyle w:val="Normal"/>
        <w:shd w:val="clear" w:color="auto" w:fill="D9D9D9" w:themeFill="background1" w:themeFillShade="d9"/>
        <w:jc w:val="both"/>
        <w:rPr>
          <w:b/>
          <w:b/>
        </w:rPr>
      </w:pPr>
      <w:r>
        <w:rPr/>
        <w:t xml:space="preserve">… </w:t>
      </w:r>
      <w:r>
        <w:rPr/>
        <w:t>U příspěvkových organizací se jejich zřizovatelé liší v názoru na způsob zveřejňování předmětných dokumentů. Většina příspěvkových organizací již má své internetové stránky, a proto řada zřizovatelů upřednostňuje zveřejnění dokumentů na internetových stránkách příspěvkové organizace. Podle názoru jiných je vhodnější zveřejnit tyto dokumenty na stránkách zřizovatele, kde je zveřejňován rozpočet a závěrečný účet zřizovatele, jejichž součástí jsou i finanční vztahy k příspěvkovým organizacím. Proto zákon umožňuje variantně zveřejnění na internetových stránkách příspěvkové organizace nebo na internetových stránkách zřizovatele, nebo jiným v místě obvyklým způsobem…</w:t>
      </w:r>
    </w:p>
    <w:p>
      <w:pPr>
        <w:pStyle w:val="Normal"/>
        <w:shd w:val="clear" w:color="auto" w:fill="D9D9D9" w:themeFill="background1" w:themeFillShade="d9"/>
        <w:spacing w:beforeAutospacing="1" w:afterAutospacing="1"/>
        <w:jc w:val="both"/>
        <w:rPr/>
      </w:pPr>
      <w:r>
        <w:rPr>
          <w:bCs/>
        </w:rPr>
        <w:t xml:space="preserve">… </w:t>
      </w:r>
      <w:r>
        <w:rPr>
          <w:bCs/>
        </w:rPr>
        <w:t xml:space="preserve">V době schvalování návrhu rozpočtu tedy bude tedy trvat elektronické zveřejnění schváleného rozpočtu na předchozí rozpočtový rok (případně rozpočtového provizoria), přijatých rozpočtových opatření a závěrečného účtu za předchozí rozpočtový rok.  </w:t>
      </w:r>
    </w:p>
    <w:p>
      <w:pPr>
        <w:pStyle w:val="Normal"/>
        <w:spacing w:beforeAutospacing="1" w:afterAutospacing="1"/>
        <w:jc w:val="both"/>
        <w:rPr>
          <w:b/>
          <w:b/>
          <w:u w:val="single"/>
        </w:rPr>
      </w:pPr>
      <w:r>
        <w:rPr>
          <w:b/>
          <w:u w:val="single"/>
        </w:rPr>
        <w:t>Povinnosti PO a jejich zřizovatelů ve vztahu k roku 2017</w:t>
      </w:r>
    </w:p>
    <w:p>
      <w:pPr>
        <w:pStyle w:val="Normal"/>
        <w:spacing w:beforeAutospacing="1" w:afterAutospacing="1"/>
        <w:jc w:val="both"/>
        <w:rPr>
          <w:b/>
          <w:b/>
        </w:rPr>
      </w:pPr>
      <w:r>
        <w:rPr>
          <w:b/>
        </w:rPr>
        <w:t>Střednědobý výhled rozpočtu</w:t>
      </w:r>
    </w:p>
    <w:p>
      <w:pPr>
        <w:pStyle w:val="Normal"/>
        <w:spacing w:beforeAutospacing="1" w:afterAutospacing="1"/>
        <w:jc w:val="both"/>
        <w:rPr>
          <w:i/>
          <w:i/>
        </w:rPr>
      </w:pPr>
      <w:r>
        <w:rPr/>
        <w:drawing>
          <wp:inline distT="0" distB="0" distL="19050" distR="0">
            <wp:extent cx="6021070" cy="1332230"/>
            <wp:effectExtent l="0" t="0" r="0" b="0"/>
            <wp:docPr id="2"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 descr=""/>
                    <pic:cNvPicPr>
                      <a:picLocks noChangeAspect="1" noChangeArrowheads="1"/>
                    </pic:cNvPicPr>
                  </pic:nvPicPr>
                  <pic:blipFill>
                    <a:blip r:embed="rId8"/>
                    <a:stretch>
                      <a:fillRect/>
                    </a:stretch>
                  </pic:blipFill>
                  <pic:spPr bwMode="auto">
                    <a:xfrm>
                      <a:off x="0" y="0"/>
                      <a:ext cx="6021070" cy="1332230"/>
                    </a:xfrm>
                    <a:prstGeom prst="rect">
                      <a:avLst/>
                    </a:prstGeom>
                  </pic:spPr>
                </pic:pic>
              </a:graphicData>
            </a:graphic>
          </wp:inline>
        </w:drawing>
      </w:r>
      <w:r>
        <w:rPr>
          <w:i/>
        </w:rPr>
        <w:t>Zdroj: Zprávy MF pro obce a kraje č. 2/2017</w:t>
      </w:r>
    </w:p>
    <w:p>
      <w:pPr>
        <w:pStyle w:val="Normal"/>
        <w:spacing w:beforeAutospacing="1" w:afterAutospacing="1"/>
        <w:jc w:val="both"/>
        <w:rPr>
          <w:i/>
          <w:i/>
        </w:rPr>
      </w:pPr>
      <w:r>
        <w:rPr>
          <w:i/>
        </w:rPr>
        <w:t xml:space="preserve">Ze zpráv MF plyne, že první SVR budou PO zpracovávat při přípravě svých rozpočtů na rok 2018 (tj. do 31. 12. 2017). Ve vztahu k rozpočtu obdobná informace chybí, MF se na dotaz kraje k tomuto problému vyjádřilo v rámci emailové odpovědi:  </w:t>
      </w:r>
    </w:p>
    <w:p>
      <w:pPr>
        <w:pStyle w:val="Normal"/>
        <w:spacing w:beforeAutospacing="1" w:afterAutospacing="1"/>
        <w:jc w:val="both"/>
        <w:rPr/>
      </w:pPr>
      <w:r>
        <w:rPr/>
        <w:t xml:space="preserve">K vyjasnění, že PO nemusí pro rok 2017 sestavovat a zřizovatelé schvalovat rozpočty PO, slouží emailová odpověď z MF na dotaz kraje (dotaz č. 2): </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b/>
          <w:bCs/>
        </w:rPr>
        <w:t>Dotaz</w:t>
      </w:r>
      <w:r>
        <w:rPr/>
        <w:t>:</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t>... Chceme se ujistit:</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t xml:space="preserve">1)      </w:t>
      </w:r>
      <w:r>
        <w:rPr>
          <w:b/>
          <w:bCs/>
        </w:rPr>
        <w:t>zda je možné schválit rozpočet příspěvkové organizace na rok 2018  až v průběhu roku 2018?</w:t>
      </w:r>
      <w:r>
        <w:rPr/>
        <w:t xml:space="preserve"> Protože </w:t>
      </w:r>
      <w:r>
        <w:rPr>
          <w:b/>
          <w:bCs/>
        </w:rPr>
        <w:t>v praxi</w:t>
      </w:r>
      <w:r>
        <w:rPr/>
        <w:t xml:space="preserve"> je většina organizací odvislá na příjmech od svého zřizovatele a na příjmech ze státního rozpočtu. Rozpočet příspěvkové organizace na rok 2018, který bude schvalován  v prosinci 2017, bude představovat formální rozpočet.  Příspěvková organizace nemá od zřizovatele schválený příspěvek na provoz a hlavně nejsou rozepsány státní dotace (např. školy nemají stanoveny přímé vzdělávací náklady, sociální služby jsou rovněž financovány převážně ze státní dotace). Tento rozpočet bude velice odlišný od rozpočtu sestaveného a schvalovaného např. v dubnu 2018 se zapracováním všech těchto plánovaných výnosů a nákladů pro rok 2018.</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t xml:space="preserve">2)      </w:t>
      </w:r>
      <w:r>
        <w:rPr>
          <w:b/>
          <w:bCs/>
        </w:rPr>
        <w:t>Opravdu není nutné schválit rozpočet příspěvkové organizace pro rok 2017?</w:t>
      </w:r>
      <w:r>
        <w:rPr/>
        <w:t xml:space="preserve"> Když v přechodných ustanoveních je uvedeno, že pokud byl rozpočet nákladů a výnosů na rok 2017 nebo střednědobý výhled nákladů a výnosů na následující roky příspěvkové organizace územního samosprávného celku přede dnem nabytí účinnosti tohoto zákona, musí být zveřejněn do 30 dnů ode dne nabytí účinnosti tohoto zákona.</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b/>
          <w:bCs/>
        </w:rPr>
        <w:t>Odpověď MF</w:t>
      </w:r>
      <w:r>
        <w:rPr/>
        <w:t>:</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t>1.       Zákon č. 250/2000 Sb. stanoví, že rozpočet příspěvkové organizace je plán výnosů a nákladů na rozpočtový rok, který je shodný s rokem kalendářním. Zákon č. 250/2000 Sb. neupravuje pro příspěvkovou organizaci možnost hospodařit na základě rozpočtového provizoria, proto je třeba její rozpočet na následující rok schválit zřizovatelem (radou) do konce roku, a to po předběžném projednání výše příspěvku na provoz se zřizovatelem. Návrh rozpočtu bude zveřejněn jedním ze způsobů uvedených v zákoně č. 250/2000 Sb.  15 dnů před jeho projednáním v radě; tam, kde se rada nevolí, před jeho projednáním starostou. Návrh rozpočtu bude zveřejněn do schválení rozpočtu zřizovatelem (radou nebo starostou). Podle nové právní úpravy bude příspěvková organizace sestavovat rozpočet na rok 2018 a střednědobý rozpočtový výhled na roky 2019 a 2020, případně na více let.</w:t>
      </w:r>
    </w:p>
    <w:p>
      <w:pPr>
        <w:pStyle w:val="Normal"/>
        <w:pBdr>
          <w:top w:val="single" w:sz="4" w:space="1" w:color="00000A"/>
          <w:left w:val="single" w:sz="4" w:space="4" w:color="00000A"/>
          <w:bottom w:val="single" w:sz="4" w:space="1" w:color="00000A"/>
          <w:right w:val="single" w:sz="4" w:space="4" w:color="00000A"/>
        </w:pBdr>
        <w:spacing w:beforeAutospacing="1" w:afterAutospacing="1"/>
        <w:jc w:val="both"/>
        <w:rPr/>
      </w:pPr>
      <w:r>
        <w:rPr/>
        <w:t>2.       Povinnost příspěvkové organizace sestavovat rozpočet vznikla ode dne nabytí účinnosti zákona č. 24/2017 Sb., kterým byl novelizován zákon č. 250/2000 Sb., tedy od 21. 2. 2017, proto bude příspěvková organizace sestavovat rozpočet podle § 28 zákona č. 250/2000 Sb. až na rok 2018. Ustanovení čl. XV Přechodná ustanovení zákona č. 24/2017 Sb. se vztahuje na subjekty, které měly ze zákona povinnost sestavovat rozpočet, což byl pouze zřizovatel příspěvkové organizace. Příspěvková organizace neměla zákonem stanovenou povinnost sestavovat rozpočet, proto jej bude poprvé sestavovat na rok 2018 a zveřejňovat jej dle § 28a zákona.</w:t>
      </w:r>
    </w:p>
    <w:p>
      <w:pPr>
        <w:pStyle w:val="Normal"/>
        <w:spacing w:beforeAutospacing="1" w:afterAutospacing="1"/>
        <w:jc w:val="both"/>
        <w:rPr>
          <w:i/>
          <w:i/>
        </w:rPr>
      </w:pPr>
      <w:r>
        <w:rPr>
          <w:i/>
        </w:rPr>
        <w:t xml:space="preserve">U odpovědi č. 1 vnímáme následující problém, který bude třeba ještě vyjasnit: </w:t>
      </w:r>
    </w:p>
    <w:p>
      <w:pPr>
        <w:pStyle w:val="Normal"/>
        <w:spacing w:beforeAutospacing="1" w:afterAutospacing="1"/>
        <w:jc w:val="both"/>
        <w:rPr/>
      </w:pPr>
      <w:r>
        <w:rPr>
          <w:rStyle w:val="Emphasis"/>
        </w:rPr>
        <w:t>Zákon č. 250/2000 Sb. neupravuje kromě rozpočtového provizoria PO ani změny rozpočtu PO. Měli bychom tedy analogicky dovodit, že se schválený rozpočet PO nesmí v průběhu roku měnit? Realizace rozpočtových změn bude ale podle našeho názoru téměř nutností. Celá řada PO nebude schopna do konce roku sestavit návrh rozpočtu, který by se později ukázal jako reálný, protože jsou závislé na dotacích ze státního rozpočtu (jak je popsáno v dotazu č. 1). Okolností, které budou vyžadovat změnu rozpočtu PO, bude samozřejmě v průběhu roku často více. Pokud tedy bude nutnost rozpočet PO sestavit a schválit do konce roku, o to větší pak bude nutnost rozpočet PO průběžně upravovat (rozpočet PO je opravdu také jen plán). Ale možnost upravovat rozpočet PO není v zákoně upravena (stejně jako provizorium). Tato problematika se bude muset ještě vyjasnit, protože pokud bychom byli v situaci, že PO nemůže hospodařit v rozpočtovém provozoriu a hlavně pokud by nebylo možné provádět změny rozpočtu PO v průběhu roku (podle okolností, které nastanou), byla by to opravdu hodně tristní situace.  </w:t>
      </w:r>
    </w:p>
    <w:p>
      <w:pPr>
        <w:pStyle w:val="Normal"/>
        <w:jc w:val="both"/>
        <w:rPr>
          <w:i/>
          <w:i/>
        </w:rPr>
      </w:pPr>
      <w:r>
        <w:rPr>
          <w:i/>
        </w:rPr>
        <w:t xml:space="preserve">PO by mohly nastat problémy při dodržování zákona o finanční kontrole, který definuje řídící kontrolu a pozici správce rozpočtu, který má provádět kontrolu rozpočtového krytí před vznikem závazku.  </w:t>
      </w:r>
    </w:p>
    <w:p>
      <w:pPr>
        <w:pStyle w:val="Normal"/>
        <w:jc w:val="both"/>
        <w:rPr>
          <w:u w:val="single"/>
          <w:lang w:eastAsia="en-US"/>
        </w:rPr>
      </w:pPr>
      <w:r>
        <w:rPr>
          <w:u w:val="single"/>
          <w:lang w:eastAsia="en-US"/>
        </w:rPr>
      </w:r>
    </w:p>
    <w:p>
      <w:pPr>
        <w:pStyle w:val="Normal"/>
        <w:jc w:val="both"/>
        <w:rPr>
          <w:i/>
          <w:i/>
        </w:rPr>
      </w:pPr>
      <w:r>
        <w:rPr>
          <w:u w:val="single"/>
          <w:lang w:eastAsia="en-US"/>
        </w:rPr>
        <w:t>Co z výše uvedeného lze vyčíst:</w:t>
      </w:r>
    </w:p>
    <w:p>
      <w:pPr>
        <w:pStyle w:val="Normal"/>
        <w:numPr>
          <w:ilvl w:val="0"/>
          <w:numId w:val="23"/>
        </w:numPr>
        <w:spacing w:before="120" w:after="0"/>
        <w:jc w:val="both"/>
        <w:rPr>
          <w:lang w:eastAsia="en-US"/>
        </w:rPr>
      </w:pPr>
      <w:r>
        <w:rPr>
          <w:lang w:eastAsia="en-US"/>
        </w:rPr>
        <w:t xml:space="preserve">střednědobý výhled rozpočtu schvaluje obecně příslušný orgán zřizovatele – tedy rada a v obcích bez rady starosta. </w:t>
      </w:r>
    </w:p>
    <w:p>
      <w:pPr>
        <w:pStyle w:val="Normal"/>
        <w:numPr>
          <w:ilvl w:val="0"/>
          <w:numId w:val="23"/>
        </w:numPr>
        <w:spacing w:before="120" w:after="0"/>
        <w:jc w:val="both"/>
        <w:rPr>
          <w:lang w:eastAsia="en-US"/>
        </w:rPr>
      </w:pPr>
      <w:r>
        <w:rPr>
          <w:lang w:eastAsia="en-US"/>
        </w:rPr>
        <w:t>prvotně má být připraven návrh rozpočtu, který se má zveřejnit nejméně 15 dní před projednáváním návrhu. V této souvislosti je asi vhodné podotknout, že asi bude logické, že se prvotně připraví pracovní návrh střednědobého výhledu, projedná se se zástupci zřizovatele (například kompetentního odboru) a teprve po tomto projednání se návrh střednědobého výhledu hospodaření zveřejní a nastane oficiální proces projednávání. Pokud by návrh zpracovávala autonomně příspěvková organizace a dala ho ke zveřejnění, tak by se mohlo jednat o „zbožná přání“ ředitele organizace bez nějaké vazby na požadavky zřizovatele v oblasti vymezení činností či možnosti financování.</w:t>
      </w:r>
    </w:p>
    <w:p>
      <w:pPr>
        <w:pStyle w:val="Normal"/>
        <w:numPr>
          <w:ilvl w:val="0"/>
          <w:numId w:val="23"/>
        </w:numPr>
        <w:spacing w:before="120" w:after="0"/>
        <w:jc w:val="both"/>
        <w:rPr>
          <w:lang w:eastAsia="en-US"/>
        </w:rPr>
      </w:pPr>
      <w:r>
        <w:rPr>
          <w:lang w:eastAsia="en-US"/>
        </w:rPr>
        <w:t>po schválení musí opět dojít ke zveřejnění s tím, že dokument je fakticky zveřejněn až do schválení dalšího.</w:t>
      </w:r>
    </w:p>
    <w:p>
      <w:pPr>
        <w:pStyle w:val="Normal"/>
        <w:numPr>
          <w:ilvl w:val="0"/>
          <w:numId w:val="23"/>
        </w:numPr>
        <w:spacing w:before="120" w:after="0"/>
        <w:jc w:val="both"/>
        <w:rPr>
          <w:lang w:eastAsia="en-US"/>
        </w:rPr>
      </w:pPr>
      <w:r>
        <w:rPr>
          <w:lang w:eastAsia="en-US"/>
        </w:rPr>
        <w:t>dále lze dle mého názoru dovodit, že střednědobý výhled rozpočtu zahrnuje jak výnosy a náklady hlavní činnosti, tak i výnosy a náklady činnosti doplňkové.</w:t>
      </w:r>
    </w:p>
    <w:p>
      <w:pPr>
        <w:pStyle w:val="Normal"/>
        <w:spacing w:lineRule="auto" w:line="276" w:beforeAutospacing="1" w:afterAutospacing="1"/>
        <w:jc w:val="both"/>
        <w:rPr>
          <w:b/>
          <w:b/>
          <w:sz w:val="28"/>
          <w:szCs w:val="28"/>
        </w:rPr>
      </w:pPr>
      <w:r>
        <w:rPr>
          <w:b/>
          <w:sz w:val="28"/>
          <w:szCs w:val="28"/>
        </w:rPr>
        <w:t>Zákon č. 23/2017 Sb., o pravidlech rozpočtové odpovědnosti (účinnost od 21. 2. 2017), vysvětlení nového pravidla pro povinné snižování dluhu ÚSC</w:t>
      </w:r>
    </w:p>
    <w:p>
      <w:pPr>
        <w:pStyle w:val="Normal"/>
        <w:spacing w:beforeAutospacing="1" w:afterAutospacing="1"/>
        <w:jc w:val="both"/>
        <w:rPr/>
      </w:pPr>
      <w:r>
        <w:rPr/>
        <w:t xml:space="preserve">Vymezení veřejných institucí v sektoru veřejných institucí (§ </w:t>
      </w:r>
      <w:r>
        <w:rPr>
          <w:highlight w:val="yellow"/>
        </w:rPr>
        <w:t>3</w:t>
      </w:r>
      <w:r>
        <w:rPr/>
        <w:t xml:space="preserve"> zákona), MF každoročně do konce října zveřejňuje seznam veřejných institucí (na základě údajů od ČSÚ). </w:t>
      </w:r>
      <w:hyperlink r:id="rId9">
        <w:r>
          <w:rPr>
            <w:rStyle w:val="InternetLink"/>
          </w:rPr>
          <w:t>http://www.mfcr.cz/cs/verejny-sektor/rozpoctove-ramce-statisticke-informace/verejny-sektor/sektor-vladnich-instituci/2016/seznam-vladnich-instituci-v-cr-2016-24749</w:t>
        </w:r>
      </w:hyperlink>
    </w:p>
    <w:p>
      <w:pPr>
        <w:pStyle w:val="Nadpisparagrafu"/>
        <w:shd w:val="clear" w:color="auto" w:fill="D9D9D9" w:themeFill="background1" w:themeFillShade="d9"/>
        <w:rPr/>
      </w:pPr>
      <w:r>
        <w:rPr/>
        <w:t>Hospodaření územního samosprávného celku</w:t>
      </w:r>
    </w:p>
    <w:p>
      <w:pPr>
        <w:pStyle w:val="Paragraf"/>
        <w:shd w:val="clear" w:color="auto" w:fill="D9D9D9" w:themeFill="background1" w:themeFillShade="d9"/>
        <w:rPr/>
      </w:pPr>
      <w:r>
        <w:rPr/>
        <w:t>§ 17</w:t>
      </w:r>
    </w:p>
    <w:p>
      <w:pPr>
        <w:pStyle w:val="Textodstavce"/>
        <w:numPr>
          <w:ilvl w:val="0"/>
          <w:numId w:val="22"/>
        </w:numPr>
        <w:shd w:val="clear" w:color="auto" w:fill="D9D9D9" w:themeFill="background1" w:themeFillShade="d9"/>
        <w:ind w:left="0" w:firstLine="284"/>
        <w:rPr/>
      </w:pPr>
      <w:r>
        <w:rPr/>
        <w:t>Územní samosprávný celek hospodaří v zájmu zdravých a udržitelných veřejných financí tak, aby výše jeho dluhu nepřekročila k rozvahovému dni 60 % průměru jeho příjmů za poslední 4 rozpočtové roky.</w:t>
      </w:r>
    </w:p>
    <w:p>
      <w:pPr>
        <w:pStyle w:val="Textodstavce"/>
        <w:numPr>
          <w:ilvl w:val="0"/>
          <w:numId w:val="22"/>
        </w:numPr>
        <w:shd w:val="clear" w:color="auto" w:fill="D9D9D9" w:themeFill="background1" w:themeFillShade="d9"/>
        <w:ind w:left="0" w:firstLine="284"/>
        <w:rPr/>
      </w:pPr>
      <w:r>
        <w:rPr/>
        <w:t>Překročí-li dluh územního samosprávného celku k rozvahovému dni 60 % průměru jeho příjmů za poslední 4 rozpočtové roky, územní samosprávný celek je povinen jej v následujícím kalendářním roce snížit nejméně o 5 % z rozdílu mezi výší svého dluhu a 60 % průměru svých příjmů za poslední 4 rozpočtové roky.</w:t>
      </w:r>
    </w:p>
    <w:p>
      <w:pPr>
        <w:pStyle w:val="Textodstavce"/>
        <w:numPr>
          <w:ilvl w:val="0"/>
          <w:numId w:val="22"/>
        </w:numPr>
        <w:shd w:val="clear" w:color="auto" w:fill="D9D9D9" w:themeFill="background1" w:themeFillShade="d9"/>
        <w:ind w:left="0" w:firstLine="284"/>
        <w:rPr/>
      </w:pPr>
      <w:r>
        <w:rPr/>
        <w:t>Nesníží-li územní samosprávný celek svůj dluh a jeho dluh k následujícímu rozvahovému dni převyšuje 60 % průměru jeho příjmů za poslední 4 rozpočtové roky, ministerstvo v následujícím kalendářním roce rozhodne podle zákona o rozpočtovém určení daní o pozastavení převodu jeho podílu na výnosu daní.</w:t>
      </w:r>
    </w:p>
    <w:p>
      <w:pPr>
        <w:pStyle w:val="Textodstavce"/>
        <w:numPr>
          <w:ilvl w:val="0"/>
          <w:numId w:val="22"/>
        </w:numPr>
        <w:shd w:val="clear" w:color="auto" w:fill="D9D9D9" w:themeFill="background1" w:themeFillShade="d9"/>
        <w:ind w:left="0" w:firstLine="284"/>
        <w:rPr/>
      </w:pPr>
      <w:r>
        <w:rPr/>
        <w:t>Příjmy územního samosprávného celku se pro účely tohoto zákona rozumí souhrn všech peněžitých plnění přijatých do rozpočtu v průběhu rozpočtového roku, konsolidovaných podle jiného právního předpisu.</w:t>
      </w:r>
    </w:p>
    <w:p>
      <w:pPr>
        <w:pStyle w:val="Textodstavce"/>
        <w:numPr>
          <w:ilvl w:val="0"/>
          <w:numId w:val="22"/>
        </w:numPr>
        <w:shd w:val="clear" w:color="auto" w:fill="D9D9D9" w:themeFill="background1" w:themeFillShade="d9"/>
        <w:ind w:left="0" w:firstLine="284"/>
        <w:rPr/>
      </w:pPr>
      <w:r>
        <w:rPr/>
        <w:t>Dluhem územního samosprávného celku se pro účely tohoto zákona rozumí hodnota nesplacených závazků z</w:t>
      </w:r>
    </w:p>
    <w:p>
      <w:pPr>
        <w:pStyle w:val="Textpsmene"/>
        <w:widowControl/>
        <w:numPr>
          <w:ilvl w:val="0"/>
          <w:numId w:val="21"/>
        </w:numPr>
        <w:shd w:val="clear" w:color="auto" w:fill="D9D9D9" w:themeFill="background1" w:themeFillShade="d9"/>
        <w:suppressAutoHyphens w:val="false"/>
        <w:textAlignment w:val="auto"/>
        <w:outlineLvl w:val="7"/>
        <w:rPr/>
      </w:pPr>
      <w:r>
        <w:rPr/>
        <w:t xml:space="preserve">vydaných dluhopisů, </w:t>
      </w:r>
    </w:p>
    <w:p>
      <w:pPr>
        <w:pStyle w:val="Textpsmene"/>
        <w:widowControl/>
        <w:numPr>
          <w:ilvl w:val="0"/>
          <w:numId w:val="21"/>
        </w:numPr>
        <w:shd w:val="clear" w:color="auto" w:fill="D9D9D9" w:themeFill="background1" w:themeFillShade="d9"/>
        <w:suppressAutoHyphens w:val="false"/>
        <w:textAlignment w:val="auto"/>
        <w:outlineLvl w:val="7"/>
        <w:rPr/>
      </w:pPr>
      <w:r>
        <w:rPr/>
        <w:t>přijatých úvěrů, zápůjček a návratných finančních výpomocí,</w:t>
      </w:r>
    </w:p>
    <w:p>
      <w:pPr>
        <w:pStyle w:val="Textpsmene"/>
        <w:widowControl/>
        <w:numPr>
          <w:ilvl w:val="0"/>
          <w:numId w:val="21"/>
        </w:numPr>
        <w:shd w:val="clear" w:color="auto" w:fill="D9D9D9" w:themeFill="background1" w:themeFillShade="d9"/>
        <w:suppressAutoHyphens w:val="false"/>
        <w:textAlignment w:val="auto"/>
        <w:outlineLvl w:val="7"/>
        <w:rPr/>
      </w:pPr>
      <w:r>
        <w:rPr/>
        <w:t xml:space="preserve">realizace plnění ze záruk, </w:t>
      </w:r>
    </w:p>
    <w:p>
      <w:pPr>
        <w:pStyle w:val="Textpsmene"/>
        <w:widowControl/>
        <w:numPr>
          <w:ilvl w:val="0"/>
          <w:numId w:val="21"/>
        </w:numPr>
        <w:shd w:val="clear" w:color="auto" w:fill="D9D9D9" w:themeFill="background1" w:themeFillShade="d9"/>
        <w:suppressAutoHyphens w:val="false"/>
        <w:textAlignment w:val="auto"/>
        <w:outlineLvl w:val="7"/>
        <w:rPr/>
      </w:pPr>
      <w:r>
        <w:rPr/>
        <w:t>vystavených směnek.</w:t>
      </w:r>
    </w:p>
    <w:p>
      <w:pPr>
        <w:pStyle w:val="Textpsmene"/>
        <w:widowControl/>
        <w:numPr>
          <w:ilvl w:val="0"/>
          <w:numId w:val="0"/>
        </w:numPr>
        <w:suppressAutoHyphens w:val="false"/>
        <w:ind w:left="0" w:hanging="0"/>
        <w:jc w:val="left"/>
        <w:textAlignment w:val="auto"/>
        <w:outlineLvl w:val="7"/>
        <w:rPr>
          <w:i/>
          <w:i/>
        </w:rPr>
      </w:pPr>
      <w:r>
        <w:rPr>
          <w:i/>
        </w:rPr>
        <w:t xml:space="preserve">Pozn: § 17 odst. 3 nabývá účinnosti dnem 1. ledna 2018. </w:t>
      </w:r>
    </w:p>
    <w:p>
      <w:pPr>
        <w:pStyle w:val="Heading4"/>
        <w:jc w:val="both"/>
        <w:rPr>
          <w:rStyle w:val="Emphasis"/>
          <w:b w:val="false"/>
          <w:b w:val="false"/>
          <w:iCs w:val="false"/>
          <w:sz w:val="24"/>
          <w:szCs w:val="24"/>
        </w:rPr>
      </w:pPr>
      <w:r>
        <w:rPr>
          <w:rStyle w:val="Emphasis"/>
          <w:b w:val="false"/>
          <w:sz w:val="24"/>
          <w:szCs w:val="24"/>
        </w:rPr>
        <w:t>Zákon o pravidlech rozpočtové odpovědnosti je pro obce významný v tom, že především stanoví, že ÚSC má hospodařit tak, aby výše jeho dluhu nepřesáhla 60 % průměru jeho příjmů za poslední 4 roky (jedná se o tzv. fiskální pravidlo a pozor, týká se pouze ÚSC, tedy obcí a krajů, nikoliv dobrovolných svazků obcí).</w:t>
      </w:r>
    </w:p>
    <w:p>
      <w:pPr>
        <w:pStyle w:val="Normal"/>
        <w:jc w:val="both"/>
        <w:rPr>
          <w:iCs/>
        </w:rPr>
      </w:pPr>
      <w:r>
        <w:rPr>
          <w:rStyle w:val="Emphasis"/>
        </w:rPr>
        <w:t>Pokud je tato hranice k 31. 12. překročena, má ÚSC zákonnou povinnost dluh v následujícím roce snížit, a to alespoň ve výši 5 % z rozdílu mezi skutečnou výší dluhu a 60 % průměru příjmů za poslední 4 roky. Pokud ÚSC o zákonem požadovanou částku dluh nesníží, MF v následujícím roce rozhodne o zadržení části daňových příjmů ÚSC. Např. k 31. 12. 2017 může nastat tato situace:</w:t>
      </w:r>
    </w:p>
    <w:p>
      <w:pPr>
        <w:pStyle w:val="Normal"/>
        <w:jc w:val="both"/>
        <w:rPr>
          <w:sz w:val="28"/>
          <w:szCs w:val="28"/>
        </w:rPr>
      </w:pPr>
      <w:r>
        <w:rPr>
          <w:sz w:val="28"/>
          <w:szCs w:val="28"/>
        </w:rPr>
      </w:r>
    </w:p>
    <w:tbl>
      <w:tblPr>
        <w:tblStyle w:val="Mkatabulky"/>
        <w:tblW w:w="8954" w:type="dxa"/>
        <w:jc w:val="left"/>
        <w:tblInd w:w="108" w:type="dxa"/>
        <w:tblCellMar>
          <w:top w:w="0" w:type="dxa"/>
          <w:left w:w="108" w:type="dxa"/>
          <w:bottom w:w="0" w:type="dxa"/>
          <w:right w:w="108" w:type="dxa"/>
        </w:tblCellMar>
        <w:tblLook w:val="04a0" w:noVBand="1" w:noHBand="0" w:lastColumn="0" w:firstColumn="1" w:lastRow="0" w:firstRow="1"/>
      </w:tblPr>
      <w:tblGrid>
        <w:gridCol w:w="7524"/>
        <w:gridCol w:w="1429"/>
      </w:tblGrid>
      <w:tr>
        <w:trPr/>
        <w:tc>
          <w:tcPr>
            <w:tcW w:w="7524" w:type="dxa"/>
            <w:tcBorders/>
            <w:shd w:fill="auto" w:val="clear"/>
            <w:tcMar>
              <w:left w:w="108" w:type="dxa"/>
            </w:tcMar>
          </w:tcPr>
          <w:p>
            <w:pPr>
              <w:pStyle w:val="Normal"/>
              <w:jc w:val="both"/>
              <w:rPr/>
            </w:pPr>
            <w:r>
              <w:rPr/>
              <w:t>Příjmy za poslední 4 roky (rok 2014 9 mil.; rok 2015 9 mil. Kč; rok 2016 11 mil. Kč; rok 2017 11 mil. Kč), tj. průměr příjmů za poslední 4 roky: 40 / 4 = 10 mil. Kč</w:t>
            </w:r>
          </w:p>
        </w:tc>
        <w:tc>
          <w:tcPr>
            <w:tcW w:w="1429" w:type="dxa"/>
            <w:tcBorders/>
            <w:shd w:fill="auto" w:val="clear"/>
            <w:tcMar>
              <w:left w:w="108" w:type="dxa"/>
            </w:tcMar>
            <w:vAlign w:val="center"/>
          </w:tcPr>
          <w:p>
            <w:pPr>
              <w:pStyle w:val="Normal"/>
              <w:jc w:val="right"/>
              <w:rPr/>
            </w:pPr>
            <w:r>
              <w:rPr/>
              <w:t>10 mil. Kč</w:t>
            </w:r>
          </w:p>
        </w:tc>
      </w:tr>
      <w:tr>
        <w:trPr/>
        <w:tc>
          <w:tcPr>
            <w:tcW w:w="7524" w:type="dxa"/>
            <w:tcBorders/>
            <w:shd w:fill="auto" w:val="clear"/>
            <w:tcMar>
              <w:left w:w="108" w:type="dxa"/>
            </w:tcMar>
          </w:tcPr>
          <w:p>
            <w:pPr>
              <w:pStyle w:val="Normal"/>
              <w:jc w:val="both"/>
              <w:rPr/>
            </w:pPr>
            <w:r>
              <w:rPr/>
              <w:t>Výše dluhů obce k 31.12.2017:</w:t>
            </w:r>
          </w:p>
        </w:tc>
        <w:tc>
          <w:tcPr>
            <w:tcW w:w="1429" w:type="dxa"/>
            <w:tcBorders/>
            <w:shd w:fill="auto" w:val="clear"/>
            <w:tcMar>
              <w:left w:w="108" w:type="dxa"/>
            </w:tcMar>
            <w:vAlign w:val="center"/>
          </w:tcPr>
          <w:p>
            <w:pPr>
              <w:pStyle w:val="Normal"/>
              <w:jc w:val="right"/>
              <w:rPr/>
            </w:pPr>
            <w:r>
              <w:rPr/>
              <w:t>8 mil. Kč</w:t>
            </w:r>
          </w:p>
        </w:tc>
      </w:tr>
      <w:tr>
        <w:trPr/>
        <w:tc>
          <w:tcPr>
            <w:tcW w:w="7524" w:type="dxa"/>
            <w:tcBorders/>
            <w:shd w:fill="auto" w:val="clear"/>
            <w:tcMar>
              <w:left w:w="108" w:type="dxa"/>
            </w:tcMar>
          </w:tcPr>
          <w:p>
            <w:pPr>
              <w:pStyle w:val="Normal"/>
              <w:jc w:val="both"/>
              <w:rPr/>
            </w:pPr>
            <w:r>
              <w:rPr/>
              <w:t>Poměr dluhu k průměru příjmů za poslední 4 roky (8/10):</w:t>
            </w:r>
          </w:p>
        </w:tc>
        <w:tc>
          <w:tcPr>
            <w:tcW w:w="1429" w:type="dxa"/>
            <w:tcBorders/>
            <w:shd w:fill="auto" w:val="clear"/>
            <w:tcMar>
              <w:left w:w="108" w:type="dxa"/>
            </w:tcMar>
            <w:vAlign w:val="center"/>
          </w:tcPr>
          <w:p>
            <w:pPr>
              <w:pStyle w:val="Normal"/>
              <w:jc w:val="right"/>
              <w:rPr/>
            </w:pPr>
            <w:r>
              <w:rPr/>
              <w:t>80 %</w:t>
            </w:r>
          </w:p>
        </w:tc>
      </w:tr>
      <w:tr>
        <w:trPr/>
        <w:tc>
          <w:tcPr>
            <w:tcW w:w="7524" w:type="dxa"/>
            <w:tcBorders/>
            <w:shd w:fill="auto" w:val="clear"/>
            <w:tcMar>
              <w:left w:w="108" w:type="dxa"/>
            </w:tcMar>
          </w:tcPr>
          <w:p>
            <w:pPr>
              <w:pStyle w:val="Normal"/>
              <w:jc w:val="both"/>
              <w:rPr/>
            </w:pPr>
            <w:r>
              <w:rPr/>
              <w:t xml:space="preserve">Výše dluhu obce odpovídající 60 % průměru příjmů za poslední 4 roky: </w:t>
            </w:r>
          </w:p>
        </w:tc>
        <w:tc>
          <w:tcPr>
            <w:tcW w:w="1429" w:type="dxa"/>
            <w:tcBorders/>
            <w:shd w:fill="auto" w:val="clear"/>
            <w:tcMar>
              <w:left w:w="108" w:type="dxa"/>
            </w:tcMar>
            <w:vAlign w:val="center"/>
          </w:tcPr>
          <w:p>
            <w:pPr>
              <w:pStyle w:val="Normal"/>
              <w:jc w:val="right"/>
              <w:rPr/>
            </w:pPr>
            <w:r>
              <w:rPr/>
              <w:t>6 mil. Kč</w:t>
            </w:r>
          </w:p>
        </w:tc>
      </w:tr>
      <w:tr>
        <w:trPr/>
        <w:tc>
          <w:tcPr>
            <w:tcW w:w="7524" w:type="dxa"/>
            <w:tcBorders/>
            <w:shd w:fill="auto" w:val="clear"/>
            <w:tcMar>
              <w:left w:w="108" w:type="dxa"/>
            </w:tcMar>
          </w:tcPr>
          <w:p>
            <w:pPr>
              <w:pStyle w:val="Normal"/>
              <w:jc w:val="both"/>
              <w:rPr/>
            </w:pPr>
            <w:r>
              <w:rPr/>
              <w:t>Rozdíl mezi skutečným dluhem a 60 % hranicí (8 mil. – 6 mil.):</w:t>
            </w:r>
          </w:p>
        </w:tc>
        <w:tc>
          <w:tcPr>
            <w:tcW w:w="1429" w:type="dxa"/>
            <w:tcBorders/>
            <w:shd w:fill="auto" w:val="clear"/>
            <w:tcMar>
              <w:left w:w="108" w:type="dxa"/>
            </w:tcMar>
            <w:vAlign w:val="center"/>
          </w:tcPr>
          <w:p>
            <w:pPr>
              <w:pStyle w:val="Normal"/>
              <w:jc w:val="right"/>
              <w:rPr/>
            </w:pPr>
            <w:r>
              <w:rPr/>
              <w:t>2 mil. Kč</w:t>
            </w:r>
          </w:p>
        </w:tc>
      </w:tr>
      <w:tr>
        <w:trPr/>
        <w:tc>
          <w:tcPr>
            <w:tcW w:w="7524" w:type="dxa"/>
            <w:tcBorders/>
            <w:shd w:fill="auto" w:val="clear"/>
            <w:tcMar>
              <w:left w:w="108" w:type="dxa"/>
            </w:tcMar>
          </w:tcPr>
          <w:p>
            <w:pPr>
              <w:pStyle w:val="Normal"/>
              <w:jc w:val="both"/>
              <w:rPr/>
            </w:pPr>
            <w:r>
              <w:rPr/>
              <w:t>5 % z rozdílu ve výši 2 mil. Kč</w:t>
            </w:r>
          </w:p>
        </w:tc>
        <w:tc>
          <w:tcPr>
            <w:tcW w:w="1429" w:type="dxa"/>
            <w:tcBorders/>
            <w:shd w:fill="auto" w:val="clear"/>
            <w:tcMar>
              <w:left w:w="108" w:type="dxa"/>
            </w:tcMar>
            <w:vAlign w:val="center"/>
          </w:tcPr>
          <w:p>
            <w:pPr>
              <w:pStyle w:val="Normal"/>
              <w:jc w:val="right"/>
              <w:rPr/>
            </w:pPr>
            <w:r>
              <w:rPr/>
              <w:t>100 tis. Kč</w:t>
            </w:r>
          </w:p>
        </w:tc>
      </w:tr>
    </w:tbl>
    <w:p>
      <w:pPr>
        <w:pStyle w:val="Normal"/>
        <w:jc w:val="both"/>
        <w:rPr/>
      </w:pPr>
      <w:r>
        <w:rPr/>
      </w:r>
    </w:p>
    <w:p>
      <w:pPr>
        <w:pStyle w:val="Normal"/>
        <w:jc w:val="both"/>
        <w:rPr/>
      </w:pPr>
      <w:r>
        <w:rPr/>
        <w:t xml:space="preserve">Obec by v tomto případě musela v průběhu roku 2018 snížit ze zákona výši svého dluhu nejméně o 100 tis. Kč (do 31. 12. 2018). Zákon v § 17 odst. 3 říká: </w:t>
      </w:r>
    </w:p>
    <w:p>
      <w:pPr>
        <w:pStyle w:val="Normal"/>
        <w:jc w:val="both"/>
        <w:rPr/>
      </w:pPr>
      <w:r>
        <w:rPr/>
      </w:r>
    </w:p>
    <w:p>
      <w:pPr>
        <w:pStyle w:val="Textodstavce"/>
        <w:numPr>
          <w:ilvl w:val="0"/>
          <w:numId w:val="0"/>
        </w:numPr>
        <w:shd w:val="clear" w:color="auto" w:fill="D9D9D9" w:themeFill="background1" w:themeFillShade="d9"/>
        <w:ind w:left="360" w:hanging="360"/>
        <w:jc w:val="center"/>
        <w:rPr/>
      </w:pPr>
      <w:r>
        <w:rPr/>
        <w:t>§ 17</w:t>
      </w:r>
    </w:p>
    <w:p>
      <w:pPr>
        <w:pStyle w:val="Textodstavce"/>
        <w:numPr>
          <w:ilvl w:val="0"/>
          <w:numId w:val="0"/>
        </w:numPr>
        <w:shd w:val="clear" w:color="auto" w:fill="D9D9D9" w:themeFill="background1" w:themeFillShade="d9"/>
        <w:ind w:firstLine="426"/>
        <w:rPr/>
      </w:pPr>
      <w:r>
        <w:rPr/>
        <w:t xml:space="preserve">(3) </w:t>
      </w:r>
      <w:r>
        <w:rPr>
          <w:b/>
        </w:rPr>
        <w:t>Nesníží-li územní samosprávný celek svůj dluh a jeho dluh k následujícímu rozvahovému dni převyšuje 60 % průměru jeho příjmů za poslední 4 rozpočtové roky</w:t>
      </w:r>
      <w:r>
        <w:rPr/>
        <w:t>, ministerstvo v následujícím kalendářním roce rozhodne podle zákona o rozpočtovém určení daní o pozastavení převodu jeho podílu na výnosu daní.</w:t>
      </w:r>
    </w:p>
    <w:p>
      <w:pPr>
        <w:pStyle w:val="Normal"/>
        <w:jc w:val="both"/>
        <w:rPr/>
      </w:pPr>
      <w:r>
        <w:rPr/>
      </w:r>
    </w:p>
    <w:p>
      <w:pPr>
        <w:pStyle w:val="Normal"/>
        <w:jc w:val="both"/>
        <w:rPr/>
      </w:pPr>
      <w:r>
        <w:rPr/>
        <w:t xml:space="preserve">Z ustanovení plyne, že se podíl dluhu na příjmech znovu přepočítá k 31. 12. 2018, a aby MF rozhodlo o pozastavení převodu podílu na sdílených daní, musí být splnění dvě podmínky (obě současně): </w:t>
      </w:r>
    </w:p>
    <w:p>
      <w:pPr>
        <w:pStyle w:val="ListParagraph"/>
        <w:numPr>
          <w:ilvl w:val="0"/>
          <w:numId w:val="15"/>
        </w:numPr>
        <w:ind w:left="567" w:hanging="360"/>
        <w:jc w:val="both"/>
        <w:rPr/>
      </w:pPr>
      <w:r>
        <w:rPr/>
        <w:t>ÚSC nesníží svůj dluh</w:t>
      </w:r>
    </w:p>
    <w:p>
      <w:pPr>
        <w:pStyle w:val="ListParagraph"/>
        <w:numPr>
          <w:ilvl w:val="0"/>
          <w:numId w:val="15"/>
        </w:numPr>
        <w:ind w:left="567" w:hanging="360"/>
        <w:jc w:val="both"/>
        <w:rPr/>
      </w:pPr>
      <w:r>
        <w:rPr/>
        <w:t xml:space="preserve">a zároveň k rozvahovému dni (v našem případě 31. 12. 2018) dluh převyšuje 60 % průměru příjmů za poslední 4 roky. </w:t>
      </w:r>
    </w:p>
    <w:p>
      <w:pPr>
        <w:pStyle w:val="Normal"/>
        <w:jc w:val="both"/>
        <w:rPr/>
      </w:pPr>
      <w:r>
        <w:rPr/>
      </w:r>
    </w:p>
    <w:p>
      <w:pPr>
        <w:pStyle w:val="Normal"/>
        <w:spacing w:before="0" w:after="120"/>
        <w:jc w:val="both"/>
        <w:rPr>
          <w:i/>
          <w:i/>
        </w:rPr>
      </w:pPr>
      <w:r>
        <w:rPr>
          <w:i/>
        </w:rPr>
        <w:t>Ustanovení podle nás připouští, že by mohla nastat situace, kdy ÚSC dluh nesníží a zároveň k dalšímu rozvahovému dni nebude jeho dluh převyšovat 60 % průměru příjmů za poslední 4 roky. Příklad (</w:t>
      </w:r>
      <w:r>
        <w:rPr>
          <w:b/>
          <w:i/>
          <w:u w:val="single"/>
        </w:rPr>
        <w:t>předem zdůrazňujeme, že výklad MF tuto možnost vyloučil</w:t>
      </w:r>
      <w:r>
        <w:rPr>
          <w:i/>
        </w:rPr>
        <w:t xml:space="preserve">): </w:t>
      </w:r>
    </w:p>
    <w:p>
      <w:pPr>
        <w:pStyle w:val="Normal"/>
        <w:spacing w:before="0" w:after="120"/>
        <w:jc w:val="both"/>
        <w:rPr>
          <w:i/>
          <w:i/>
        </w:rPr>
      </w:pPr>
      <w:r>
        <w:rPr>
          <w:i/>
          <w:color w:val="595959" w:themeColor="text1" w:themeTint="a6"/>
        </w:rPr>
        <w:t>V průběhu roku 2018 obec přijme zálohovou platbu dotace od SFŽP ve výši 12 mil. Kč, kterou zaúčtuje na pol. 4213. Podobně „mimořádný“příjem obec v posledních 4 letech neměla. Příjmy v roce 2018 se zvýší na 23 mil. Kč. Nový průměr obce za poslední 4 roky tak je: rok 2015 9 mil. Kč; rok 2016 11 mil. Kč; rok 2017 11 mil. Kč;  rok 2018 23 mil. Kč; tj. celkem 54/4 = 13,5 mil. Kč. Nových 60 % průměru příjmů za poslední 4 roky k 31. 12. 2018 je tak 60 % z 13,5 mil. Kč, což představuje 8,1 mil. Kč. Řekněme, že výše dluhu obce k 31. 12. 2018 se nezměnila a je stále 8 mil. Kč, což nově představuje 59,3 % průměru příjmů za poslední 4 roky. Vidíme, že ačkoliv obec dluh nesnížila, k 31. 12. 2018 již dluh nepřevyšuje hranici 60 % průměru příjmů za poslední roky.</w:t>
      </w:r>
      <w:r>
        <w:rPr>
          <w:i/>
        </w:rPr>
        <w:t xml:space="preserve"> </w:t>
      </w:r>
      <w:r>
        <w:rPr>
          <w:b/>
          <w:i/>
          <w:u w:val="single"/>
        </w:rPr>
        <w:t>Tento výklad však dle stanoviska MF není možný</w:t>
      </w:r>
      <w:r>
        <w:rPr>
          <w:b/>
          <w:i/>
        </w:rPr>
        <w:t xml:space="preserve">. </w:t>
      </w:r>
    </w:p>
    <w:p>
      <w:pPr>
        <w:pStyle w:val="Normal"/>
        <w:spacing w:before="0" w:after="120"/>
        <w:jc w:val="both"/>
        <w:rPr/>
      </w:pPr>
      <w:r>
        <w:rPr>
          <w:b/>
        </w:rPr>
        <w:t>Dle stanoviska MF</w:t>
      </w:r>
      <w:r>
        <w:rPr/>
        <w:t xml:space="preserve"> se má pro posuzování, zda ÚSC snížil svůj dluh o minimální určenou hranici, použít stejná základna, která byla použita pro výpočet v roce, v rámci kterého došlo k překročení hranice dluhu 60 % průměru příjmů za poslední 4 roky. V našem případě tak průměr příjmů za roky 2014 – 2017 ve výši 10 mil. Kč použijeme i pro výpočet míry dluhu k 31. 12. 2018. Z toho tedy plyne, že vypadává možnost, že ÚSC poklesne míra zadlužení tím, že se v posledním roce zvýší příjmy. </w:t>
      </w:r>
    </w:p>
    <w:p>
      <w:pPr>
        <w:pStyle w:val="Normal"/>
        <w:spacing w:before="0" w:after="120"/>
        <w:jc w:val="both"/>
        <w:rPr>
          <w:b/>
          <w:b/>
        </w:rPr>
      </w:pPr>
      <w:r>
        <w:rPr>
          <w:b/>
        </w:rPr>
        <w:t xml:space="preserve">V našem vzorovém příkladu může k 31. 12. 2018 nastat situace: </w:t>
      </w:r>
    </w:p>
    <w:p>
      <w:pPr>
        <w:pStyle w:val="Normal"/>
        <w:spacing w:before="0" w:after="120"/>
        <w:jc w:val="both"/>
        <w:rPr/>
      </w:pPr>
      <w:r>
        <w:rPr/>
        <w:t>Obec v průběhu roku 2018 splatila část úvěru ve výši 300 tis. Kč, k 31. 12. 2018 tak vykazuje zůstatek úvěru 7,7 mil. Kč. Obec splnila podmínku stanovenou zákonem, svůj dluh snížila o požadovaných alespoň 100 tis. Kč, proto je k 31. 12. 2018 v souladu se zákonem. Znovu však dojde k přepočtu. Pokud bude mít obec v roce 2018 příjmy např. 10 mil. Kč, bude situace:</w:t>
      </w:r>
    </w:p>
    <w:p>
      <w:pPr>
        <w:pStyle w:val="ListParagraph"/>
        <w:ind w:left="284" w:hanging="0"/>
        <w:jc w:val="both"/>
        <w:rPr/>
      </w:pPr>
      <w:r>
        <w:rPr/>
      </w:r>
    </w:p>
    <w:tbl>
      <w:tblPr>
        <w:tblStyle w:val="Mkatabulky"/>
        <w:tblW w:w="8954" w:type="dxa"/>
        <w:jc w:val="left"/>
        <w:tblInd w:w="108" w:type="dxa"/>
        <w:tblCellMar>
          <w:top w:w="0" w:type="dxa"/>
          <w:left w:w="108" w:type="dxa"/>
          <w:bottom w:w="0" w:type="dxa"/>
          <w:right w:w="108" w:type="dxa"/>
        </w:tblCellMar>
        <w:tblLook w:val="04a0" w:noVBand="1" w:noHBand="0" w:lastColumn="0" w:firstColumn="1" w:lastRow="0" w:firstRow="1"/>
      </w:tblPr>
      <w:tblGrid>
        <w:gridCol w:w="7507"/>
        <w:gridCol w:w="1446"/>
      </w:tblGrid>
      <w:tr>
        <w:trPr/>
        <w:tc>
          <w:tcPr>
            <w:tcW w:w="7507" w:type="dxa"/>
            <w:tcBorders/>
            <w:shd w:fill="auto" w:val="clear"/>
            <w:tcMar>
              <w:left w:w="108" w:type="dxa"/>
            </w:tcMar>
          </w:tcPr>
          <w:p>
            <w:pPr>
              <w:pStyle w:val="Normal"/>
              <w:jc w:val="both"/>
              <w:rPr/>
            </w:pPr>
            <w:r>
              <w:rPr/>
              <w:t>Příjmy za poslední 4 roky (rok 2015 9 mil. Kč; rok 2016 11 mil. Kč; rok 2017 11 mil. Kč; 2018 10 mil.), tj. 41/4</w:t>
            </w:r>
          </w:p>
        </w:tc>
        <w:tc>
          <w:tcPr>
            <w:tcW w:w="1446" w:type="dxa"/>
            <w:tcBorders/>
            <w:shd w:fill="auto" w:val="clear"/>
            <w:tcMar>
              <w:left w:w="108" w:type="dxa"/>
            </w:tcMar>
            <w:vAlign w:val="center"/>
          </w:tcPr>
          <w:p>
            <w:pPr>
              <w:pStyle w:val="Normal"/>
              <w:jc w:val="right"/>
              <w:rPr/>
            </w:pPr>
            <w:r>
              <w:rPr/>
              <w:t>10,25 mil. Kč</w:t>
            </w:r>
          </w:p>
        </w:tc>
      </w:tr>
      <w:tr>
        <w:trPr/>
        <w:tc>
          <w:tcPr>
            <w:tcW w:w="7507" w:type="dxa"/>
            <w:tcBorders/>
            <w:shd w:fill="auto" w:val="clear"/>
            <w:tcMar>
              <w:left w:w="108" w:type="dxa"/>
            </w:tcMar>
          </w:tcPr>
          <w:p>
            <w:pPr>
              <w:pStyle w:val="Normal"/>
              <w:jc w:val="both"/>
              <w:rPr/>
            </w:pPr>
            <w:r>
              <w:rPr/>
              <w:t>Výše dluhu obce k 31.12.2018:</w:t>
            </w:r>
          </w:p>
        </w:tc>
        <w:tc>
          <w:tcPr>
            <w:tcW w:w="1446" w:type="dxa"/>
            <w:tcBorders/>
            <w:shd w:fill="auto" w:val="clear"/>
            <w:tcMar>
              <w:left w:w="108" w:type="dxa"/>
            </w:tcMar>
            <w:vAlign w:val="center"/>
          </w:tcPr>
          <w:p>
            <w:pPr>
              <w:pStyle w:val="Normal"/>
              <w:jc w:val="right"/>
              <w:rPr/>
            </w:pPr>
            <w:r>
              <w:rPr/>
              <w:t>7,7 mil. Kč</w:t>
            </w:r>
          </w:p>
        </w:tc>
      </w:tr>
      <w:tr>
        <w:trPr/>
        <w:tc>
          <w:tcPr>
            <w:tcW w:w="7507" w:type="dxa"/>
            <w:tcBorders/>
            <w:shd w:fill="auto" w:val="clear"/>
            <w:tcMar>
              <w:left w:w="108" w:type="dxa"/>
            </w:tcMar>
          </w:tcPr>
          <w:p>
            <w:pPr>
              <w:pStyle w:val="Normal"/>
              <w:jc w:val="both"/>
              <w:rPr/>
            </w:pPr>
            <w:r>
              <w:rPr/>
              <w:t>Poměr dluhu k průměru příjmů za poslední 4 roky (7,7/10,25):</w:t>
            </w:r>
          </w:p>
        </w:tc>
        <w:tc>
          <w:tcPr>
            <w:tcW w:w="1446" w:type="dxa"/>
            <w:tcBorders/>
            <w:shd w:fill="auto" w:val="clear"/>
            <w:tcMar>
              <w:left w:w="108" w:type="dxa"/>
            </w:tcMar>
            <w:vAlign w:val="center"/>
          </w:tcPr>
          <w:p>
            <w:pPr>
              <w:pStyle w:val="Normal"/>
              <w:jc w:val="right"/>
              <w:rPr/>
            </w:pPr>
            <w:r>
              <w:rPr/>
              <w:t>75,1 %</w:t>
            </w:r>
          </w:p>
        </w:tc>
      </w:tr>
      <w:tr>
        <w:trPr/>
        <w:tc>
          <w:tcPr>
            <w:tcW w:w="7507" w:type="dxa"/>
            <w:tcBorders/>
            <w:shd w:fill="auto" w:val="clear"/>
            <w:tcMar>
              <w:left w:w="108" w:type="dxa"/>
            </w:tcMar>
          </w:tcPr>
          <w:p>
            <w:pPr>
              <w:pStyle w:val="Normal"/>
              <w:jc w:val="both"/>
              <w:rPr/>
            </w:pPr>
            <w:r>
              <w:rPr/>
              <w:t>Výše dluhu obce odpovídající 60 % průměru příjmů za poslední 4 roky k 31.12.2018</w:t>
            </w:r>
          </w:p>
        </w:tc>
        <w:tc>
          <w:tcPr>
            <w:tcW w:w="1446" w:type="dxa"/>
            <w:tcBorders/>
            <w:shd w:fill="auto" w:val="clear"/>
            <w:tcMar>
              <w:left w:w="108" w:type="dxa"/>
            </w:tcMar>
            <w:vAlign w:val="center"/>
          </w:tcPr>
          <w:p>
            <w:pPr>
              <w:pStyle w:val="Normal"/>
              <w:jc w:val="right"/>
              <w:rPr/>
            </w:pPr>
            <w:r>
              <w:rPr/>
              <w:t>6,15 mil. Kč</w:t>
            </w:r>
          </w:p>
        </w:tc>
      </w:tr>
      <w:tr>
        <w:trPr/>
        <w:tc>
          <w:tcPr>
            <w:tcW w:w="7507" w:type="dxa"/>
            <w:tcBorders/>
            <w:shd w:fill="auto" w:val="clear"/>
            <w:tcMar>
              <w:left w:w="108" w:type="dxa"/>
            </w:tcMar>
          </w:tcPr>
          <w:p>
            <w:pPr>
              <w:pStyle w:val="Normal"/>
              <w:jc w:val="both"/>
              <w:rPr/>
            </w:pPr>
            <w:r>
              <w:rPr/>
              <w:t>Rozdíl mezi skutečným dluhem a 60 % hranicí (7,7 mil. – 6,15 mil.):</w:t>
            </w:r>
          </w:p>
        </w:tc>
        <w:tc>
          <w:tcPr>
            <w:tcW w:w="1446" w:type="dxa"/>
            <w:tcBorders/>
            <w:shd w:fill="auto" w:val="clear"/>
            <w:tcMar>
              <w:left w:w="108" w:type="dxa"/>
            </w:tcMar>
            <w:vAlign w:val="center"/>
          </w:tcPr>
          <w:p>
            <w:pPr>
              <w:pStyle w:val="Normal"/>
              <w:jc w:val="right"/>
              <w:rPr/>
            </w:pPr>
            <w:r>
              <w:rPr/>
              <w:t>1,55 mil. Kč</w:t>
            </w:r>
          </w:p>
        </w:tc>
      </w:tr>
      <w:tr>
        <w:trPr/>
        <w:tc>
          <w:tcPr>
            <w:tcW w:w="7507" w:type="dxa"/>
            <w:tcBorders/>
            <w:shd w:fill="auto" w:val="clear"/>
            <w:tcMar>
              <w:left w:w="108" w:type="dxa"/>
            </w:tcMar>
          </w:tcPr>
          <w:p>
            <w:pPr>
              <w:pStyle w:val="Normal"/>
              <w:jc w:val="both"/>
              <w:rPr/>
            </w:pPr>
            <w:r>
              <w:rPr/>
              <w:t>5 % z rozdílu ve výši 1,55 mil. Kč</w:t>
            </w:r>
          </w:p>
        </w:tc>
        <w:tc>
          <w:tcPr>
            <w:tcW w:w="1446" w:type="dxa"/>
            <w:tcBorders/>
            <w:shd w:fill="auto" w:val="clear"/>
            <w:tcMar>
              <w:left w:w="108" w:type="dxa"/>
            </w:tcMar>
            <w:vAlign w:val="center"/>
          </w:tcPr>
          <w:p>
            <w:pPr>
              <w:pStyle w:val="Normal"/>
              <w:jc w:val="right"/>
              <w:rPr/>
            </w:pPr>
            <w:r>
              <w:rPr/>
              <w:t>77,5 tis. Kč</w:t>
            </w:r>
          </w:p>
        </w:tc>
      </w:tr>
    </w:tbl>
    <w:p>
      <w:pPr>
        <w:pStyle w:val="Normal"/>
        <w:jc w:val="both"/>
        <w:rPr/>
      </w:pPr>
      <w:r>
        <w:rPr/>
      </w:r>
    </w:p>
    <w:p>
      <w:pPr>
        <w:pStyle w:val="Normal"/>
        <w:jc w:val="both"/>
        <w:rPr/>
      </w:pPr>
      <w:r>
        <w:rPr/>
        <w:t xml:space="preserve">Opět bude mít obec povinnost v následujícím roce, tj. 2019, snížit svůj dluh, alespoň o 77,5 tis. Kč. </w:t>
      </w:r>
    </w:p>
    <w:p>
      <w:pPr>
        <w:pStyle w:val="Normal"/>
        <w:jc w:val="both"/>
        <w:rPr/>
      </w:pPr>
      <w:r>
        <w:rPr/>
      </w:r>
    </w:p>
    <w:p>
      <w:pPr>
        <w:pStyle w:val="Normal"/>
        <w:spacing w:before="0" w:after="60"/>
        <w:jc w:val="both"/>
        <w:rPr>
          <w:b/>
          <w:b/>
        </w:rPr>
      </w:pPr>
      <w:r>
        <w:rPr>
          <w:b/>
        </w:rPr>
        <w:t xml:space="preserve">V roce 2018 však může nastat také jiná situace: </w:t>
      </w:r>
    </w:p>
    <w:p>
      <w:pPr>
        <w:pStyle w:val="Normal"/>
        <w:spacing w:before="0" w:after="120"/>
        <w:jc w:val="both"/>
        <w:rPr/>
      </w:pPr>
      <w:r>
        <w:rPr/>
        <w:t xml:space="preserve">V roce 2018 obec svůj dluh nesníží, to znamená, že zůstane v objemu 8 mil. Provede se opět přepočet se základnou 2014 – 2017, tj. průměr příjmů za tyto roky ve výši 10 mil. Kč. Dluh je tedy stále ve výši 80 %. Vzhledem k tomu, že obec měla v roce 2018 svůj dluh snížit a neučinila tak, rozhodne Ministerstvo financí v roce 2019 o pozastavení převodu podílu obce na sdílených daních a to ve výši, o kterou měla obec svůj dluh snížit a nesnížila, tedy ve výši 100 tis. Kč. </w:t>
      </w:r>
    </w:p>
    <w:p>
      <w:pPr>
        <w:pStyle w:val="Normal"/>
        <w:spacing w:before="0" w:after="120"/>
        <w:jc w:val="both"/>
        <w:rPr/>
      </w:pPr>
      <w:r>
        <w:rPr/>
        <w:t xml:space="preserve">Sdílené daně, které byly obci na základě rozhodnutí MF zadrženy, budou obci za určitých okolností opět uvolněny. K uvolnění může dojít v rámci těchto dvou situací:  </w:t>
      </w:r>
    </w:p>
    <w:p>
      <w:pPr>
        <w:pStyle w:val="ListParagraph"/>
        <w:numPr>
          <w:ilvl w:val="0"/>
          <w:numId w:val="14"/>
        </w:numPr>
        <w:spacing w:before="0" w:after="120"/>
        <w:jc w:val="both"/>
        <w:rPr/>
      </w:pPr>
      <w:r>
        <w:rPr/>
        <w:t>Za prvé tzv. z moci úřední – pokud k 31. 12. následujícího roku bude dluh obce pod 60 % průměru příjmů za poslední 4 roky, MF peníze uvolní. Uvědomme si, že to by se ale posuzovalo až k 31. 12. 2019 a o uvolnění prostředků by tak mohla být řeč až v roce 2020.</w:t>
      </w:r>
    </w:p>
    <w:p>
      <w:pPr>
        <w:pStyle w:val="ListParagraph"/>
        <w:numPr>
          <w:ilvl w:val="0"/>
          <w:numId w:val="14"/>
        </w:numPr>
        <w:spacing w:before="0" w:after="120"/>
        <w:jc w:val="both"/>
        <w:rPr/>
      </w:pPr>
      <w:r>
        <w:rPr/>
        <w:t xml:space="preserve">Za druhé na základě žádosti obce -  obec může požádat o zrušení pozastavení převodu svého podílu na sdílených daní, ale jen k úhradě dluhu.  V žádosti bude muset uvést výši pozastaveného podílu, o který žádá a dluh, k jehož úhradě bude použit. MF následně v rozhodnutí dluh, na jehož splátku se mají peníze použít, uvede. Jakmile obec obdrží takto uvolněné peníze, musí je do 90 dnů po obdržení použít na splátku dluhu, který je uveden v rozhodnutí. Pokud tak obec neučiní, budou ji prostředky opět zadrženy. O uvolněném převodu podílu na sdílených daní musí obec účtovat odděleně (zvláštní analytika, např. org. či orj.). </w:t>
      </w:r>
    </w:p>
    <w:p>
      <w:pPr>
        <w:pStyle w:val="Normal"/>
        <w:spacing w:before="0" w:after="120"/>
        <w:jc w:val="both"/>
        <w:rPr/>
      </w:pPr>
      <w:r>
        <w:rPr/>
        <w:t xml:space="preserve">Tyto mechanismy jsou popsány v novele zákona o rozpočtovém určení daní, viz ustanovení: </w:t>
      </w:r>
    </w:p>
    <w:p>
      <w:pPr>
        <w:pStyle w:val="Normal"/>
        <w:rPr>
          <w:b/>
          <w:b/>
          <w:u w:val="single"/>
        </w:rPr>
      </w:pPr>
      <w:r>
        <w:rPr>
          <w:b/>
          <w:u w:val="single"/>
        </w:rPr>
        <w:t>Změna zákona č. 243/2000 Sb., o rozpočtovém určení daní (ve znění zákona č. 24/2017 Sb.):</w:t>
      </w:r>
    </w:p>
    <w:p>
      <w:pPr>
        <w:pStyle w:val="Normal"/>
        <w:rPr>
          <w:b/>
          <w:b/>
          <w:u w:val="single"/>
        </w:rPr>
      </w:pPr>
      <w:r>
        <w:rPr>
          <w:b/>
          <w:u w:val="single"/>
        </w:rPr>
      </w:r>
    </w:p>
    <w:p>
      <w:pPr>
        <w:pStyle w:val="Normal"/>
        <w:shd w:val="clear" w:color="auto" w:fill="D9D9D9" w:themeFill="background1" w:themeFillShade="d9"/>
        <w:spacing w:before="0" w:after="0"/>
        <w:contextualSpacing/>
        <w:jc w:val="center"/>
        <w:rPr>
          <w:b/>
          <w:b/>
          <w:u w:val="single"/>
        </w:rPr>
      </w:pPr>
      <w:r>
        <w:rPr/>
        <w:t>„</w:t>
      </w:r>
      <w:r>
        <w:rPr/>
        <w:t>§ 6a</w:t>
      </w:r>
    </w:p>
    <w:p>
      <w:pPr>
        <w:pStyle w:val="Nadpisparagrafu"/>
        <w:shd w:val="clear" w:color="auto" w:fill="D9D9D9" w:themeFill="background1" w:themeFillShade="d9"/>
        <w:spacing w:before="0" w:after="0"/>
        <w:contextualSpacing/>
        <w:rPr>
          <w:szCs w:val="24"/>
        </w:rPr>
      </w:pPr>
      <w:r>
        <w:rPr>
          <w:szCs w:val="24"/>
        </w:rPr>
        <w:t>Pozastavení převodu podílu na výnosu daní</w:t>
      </w:r>
    </w:p>
    <w:p>
      <w:pPr>
        <w:pStyle w:val="Textodstavce"/>
        <w:numPr>
          <w:ilvl w:val="0"/>
          <w:numId w:val="24"/>
        </w:numPr>
        <w:shd w:val="clear" w:color="auto" w:fill="D9D9D9" w:themeFill="background1" w:themeFillShade="d9"/>
        <w:ind w:left="0" w:firstLine="284"/>
        <w:rPr/>
      </w:pPr>
      <w:r>
        <w:rPr/>
        <w:t>Nesníží-li územní samosprávný celek svůj dluh podle zákona o pravidlech rozpočtové odpovědnosti a jeho dluh k následujícímu rozvahovému dni převyšuje 60 % průměru jeho příjmů za poslední 4 rozpočtové roky, Ministerstvo financí v následujícím kalendářním roce rozhodne o pozastavení převodu jeho podílu na výnosu daní ve výši 5 % z rozdílu mezi dosaženým dluhem a 60 % průměru jeho příjmů za poslední 4 rozpočtové roky.</w:t>
      </w:r>
    </w:p>
    <w:p>
      <w:pPr>
        <w:pStyle w:val="Textodstavce"/>
        <w:numPr>
          <w:ilvl w:val="0"/>
          <w:numId w:val="24"/>
        </w:numPr>
        <w:shd w:val="clear" w:color="auto" w:fill="D9D9D9" w:themeFill="background1" w:themeFillShade="d9"/>
        <w:ind w:left="0" w:firstLine="284"/>
        <w:rPr/>
      </w:pPr>
      <w:r>
        <w:rPr/>
        <w:t xml:space="preserve">Pozastaven může být převod podílu územního samosprávného celku na výnosu </w:t>
      </w:r>
    </w:p>
    <w:p>
      <w:pPr>
        <w:pStyle w:val="Textpsmene"/>
        <w:widowControl/>
        <w:numPr>
          <w:ilvl w:val="0"/>
          <w:numId w:val="17"/>
        </w:numPr>
        <w:shd w:val="clear" w:color="auto" w:fill="D9D9D9" w:themeFill="background1" w:themeFillShade="d9"/>
        <w:suppressAutoHyphens w:val="false"/>
        <w:textAlignment w:val="auto"/>
        <w:outlineLvl w:val="7"/>
        <w:rPr/>
      </w:pPr>
      <w:r>
        <w:rPr/>
        <w:t>daně z přidané hodnoty,</w:t>
      </w:r>
    </w:p>
    <w:p>
      <w:pPr>
        <w:pStyle w:val="Textpsmene"/>
        <w:widowControl/>
        <w:numPr>
          <w:ilvl w:val="0"/>
          <w:numId w:val="17"/>
        </w:numPr>
        <w:shd w:val="clear" w:color="auto" w:fill="D9D9D9" w:themeFill="background1" w:themeFillShade="d9"/>
        <w:suppressAutoHyphens w:val="false"/>
        <w:textAlignment w:val="auto"/>
        <w:outlineLvl w:val="7"/>
        <w:rPr/>
      </w:pPr>
      <w:r>
        <w:rPr/>
        <w:t>daní z příjmů právnických osob, s výjimkou daně z příjmů právnických osob, jejímž poplatníkem je příslušný územní samosprávný celek.</w:t>
      </w:r>
    </w:p>
    <w:p>
      <w:pPr>
        <w:pStyle w:val="Textpsmene"/>
        <w:widowControl/>
        <w:numPr>
          <w:ilvl w:val="0"/>
          <w:numId w:val="0"/>
        </w:numPr>
        <w:shd w:val="clear" w:color="auto" w:fill="D9D9D9" w:themeFill="background1" w:themeFillShade="d9"/>
        <w:suppressAutoHyphens w:val="false"/>
        <w:ind w:left="425" w:hanging="425"/>
        <w:textAlignment w:val="auto"/>
        <w:outlineLvl w:val="7"/>
        <w:rPr/>
      </w:pPr>
      <w:r>
        <w:rPr/>
      </w:r>
    </w:p>
    <w:p>
      <w:pPr>
        <w:pStyle w:val="Textpsmene"/>
        <w:widowControl/>
        <w:numPr>
          <w:ilvl w:val="0"/>
          <w:numId w:val="24"/>
        </w:numPr>
        <w:shd w:val="clear" w:color="auto" w:fill="D9D9D9" w:themeFill="background1" w:themeFillShade="d9"/>
        <w:suppressAutoHyphens w:val="false"/>
        <w:ind w:left="0" w:firstLine="284"/>
        <w:textAlignment w:val="auto"/>
        <w:outlineLvl w:val="7"/>
        <w:rPr/>
      </w:pPr>
      <w:r>
        <w:rPr/>
        <w:t>Správce daně na základě rozhodnutí Ministerstva financí nepřevede podíl územního samosprávného celku na výnosu daní do výše uvedené v rozhodnutí.</w:t>
      </w:r>
    </w:p>
    <w:p>
      <w:pPr>
        <w:pStyle w:val="Paragraf"/>
        <w:shd w:val="clear" w:color="auto" w:fill="D9D9D9" w:themeFill="background1" w:themeFillShade="d9"/>
        <w:rPr/>
      </w:pPr>
      <w:r>
        <w:rPr/>
        <w:t>§ 6b</w:t>
      </w:r>
    </w:p>
    <w:p>
      <w:pPr>
        <w:pStyle w:val="Nadpisparagrafu"/>
        <w:shd w:val="clear" w:color="auto" w:fill="D9D9D9" w:themeFill="background1" w:themeFillShade="d9"/>
        <w:rPr/>
      </w:pPr>
      <w:r>
        <w:rPr/>
        <w:t>Zrušení pozastavení převodu podílu z moci úřední</w:t>
      </w:r>
    </w:p>
    <w:p>
      <w:pPr>
        <w:pStyle w:val="Textodstavce"/>
        <w:numPr>
          <w:ilvl w:val="0"/>
          <w:numId w:val="18"/>
        </w:numPr>
        <w:shd w:val="clear" w:color="auto" w:fill="D9D9D9" w:themeFill="background1" w:themeFillShade="d9"/>
        <w:ind w:left="0" w:firstLine="284"/>
        <w:rPr/>
      </w:pPr>
      <w:r>
        <w:rPr/>
        <w:t>Nepřevyšuje-li dluh územního samosprávného celku, jemuž byl pozastaven převod podílu na výnosu daní, k následujícímu rozvahovému dni 60 % průměru jeho příjmů za poslední 4 rozpočtové roky, Ministerstvo financí rozhodne o zrušení pozastavení převodu podílu na výnosu daní.</w:t>
      </w:r>
    </w:p>
    <w:p>
      <w:pPr>
        <w:pStyle w:val="Textodstavce"/>
        <w:numPr>
          <w:ilvl w:val="0"/>
          <w:numId w:val="18"/>
        </w:numPr>
        <w:shd w:val="clear" w:color="auto" w:fill="D9D9D9" w:themeFill="background1" w:themeFillShade="d9"/>
        <w:ind w:left="0" w:firstLine="284"/>
        <w:rPr/>
      </w:pPr>
      <w:r>
        <w:rPr/>
        <w:t>Správce daně převede podíl na výnosu daní, jehož pozastavení převodu bylo zrušeno, územnímu samosprávnému celku do 14 dnů ode dne, kdy obdržel rozhodnutí Ministerstva financí o zrušení pozastavení převodu podílu na výnosu daní.</w:t>
      </w:r>
    </w:p>
    <w:p>
      <w:pPr>
        <w:pStyle w:val="Paragraf"/>
        <w:shd w:val="clear" w:color="auto" w:fill="D9D9D9" w:themeFill="background1" w:themeFillShade="d9"/>
        <w:rPr/>
      </w:pPr>
      <w:r>
        <w:rPr/>
        <w:t>§ 6c</w:t>
      </w:r>
    </w:p>
    <w:p>
      <w:pPr>
        <w:pStyle w:val="Nadpisparagrafu"/>
        <w:shd w:val="clear" w:color="auto" w:fill="D9D9D9" w:themeFill="background1" w:themeFillShade="d9"/>
        <w:rPr/>
      </w:pPr>
      <w:r>
        <w:rPr/>
        <w:t>Zrušení pozastavení převodu podílu na žádost</w:t>
      </w:r>
    </w:p>
    <w:p>
      <w:pPr>
        <w:pStyle w:val="Textodstavce"/>
        <w:numPr>
          <w:ilvl w:val="0"/>
          <w:numId w:val="19"/>
        </w:numPr>
        <w:shd w:val="clear" w:color="auto" w:fill="D9D9D9" w:themeFill="background1" w:themeFillShade="d9"/>
        <w:ind w:left="0" w:firstLine="284"/>
        <w:rPr/>
      </w:pPr>
      <w:r>
        <w:rPr/>
        <w:t>Územní samosprávný celek může požádat Ministerstvo financí o zrušení pozastavení převodu podílu na výnosu daní k uhrazení svého dluhu vzniklého do konce rozpočtového roku, v němž dluh územního samosprávného celku převýšil 60 % průměru jeho příjmů za poslední 4 rozpočtové roky.</w:t>
      </w:r>
    </w:p>
    <w:p>
      <w:pPr>
        <w:pStyle w:val="Textodstavce"/>
        <w:numPr>
          <w:ilvl w:val="0"/>
          <w:numId w:val="19"/>
        </w:numPr>
        <w:shd w:val="clear" w:color="auto" w:fill="D9D9D9" w:themeFill="background1" w:themeFillShade="d9"/>
        <w:ind w:left="0" w:firstLine="284"/>
        <w:rPr/>
      </w:pPr>
      <w:r>
        <w:rPr/>
        <w:t>Územní samosprávný celek v žádosti uvede výši podílu na výnosu daně, o jehož zrušení pozastavení převodu žádá, a dluh, k jehož úhradě bude použit.</w:t>
      </w:r>
    </w:p>
    <w:p>
      <w:pPr>
        <w:pStyle w:val="Textodstavce"/>
        <w:numPr>
          <w:ilvl w:val="0"/>
          <w:numId w:val="19"/>
        </w:numPr>
        <w:shd w:val="clear" w:color="auto" w:fill="D9D9D9" w:themeFill="background1" w:themeFillShade="d9"/>
        <w:ind w:left="0" w:firstLine="284"/>
        <w:rPr/>
      </w:pPr>
      <w:r>
        <w:rPr/>
        <w:t>Ministerstvo financí v rozhodnutí uvede výši podílu na výnosu daně, jehož pozastavení převodu se zrušuje a dluh, na jehož úhradu je podíl určen.</w:t>
      </w:r>
    </w:p>
    <w:p>
      <w:pPr>
        <w:pStyle w:val="Paragraf"/>
        <w:shd w:val="clear" w:color="auto" w:fill="D9D9D9" w:themeFill="background1" w:themeFillShade="d9"/>
        <w:rPr/>
      </w:pPr>
      <w:r>
        <w:rPr/>
        <w:t>§ 6d</w:t>
      </w:r>
    </w:p>
    <w:p>
      <w:pPr>
        <w:pStyle w:val="Nadpisparagrafu"/>
        <w:shd w:val="clear" w:color="auto" w:fill="D9D9D9" w:themeFill="background1" w:themeFillShade="d9"/>
        <w:rPr/>
      </w:pPr>
      <w:r>
        <w:rPr/>
        <w:t>Převod podílu po zrušení pozastavení na žádost</w:t>
      </w:r>
    </w:p>
    <w:p>
      <w:pPr>
        <w:pStyle w:val="Textodstavce"/>
        <w:numPr>
          <w:ilvl w:val="0"/>
          <w:numId w:val="20"/>
        </w:numPr>
        <w:shd w:val="clear" w:color="auto" w:fill="D9D9D9" w:themeFill="background1" w:themeFillShade="d9"/>
        <w:ind w:left="0" w:firstLine="284"/>
        <w:rPr/>
      </w:pPr>
      <w:r>
        <w:rPr/>
        <w:t>Správce daně převede podíl na výnosu daní územnímu samosprávnému celku do 14 dnů ode dne, kdy obdržel rozhodnutí o žádosti o zrušení pozastavení převodu podílu.</w:t>
      </w:r>
    </w:p>
    <w:p>
      <w:pPr>
        <w:pStyle w:val="Textodstavce"/>
        <w:numPr>
          <w:ilvl w:val="0"/>
          <w:numId w:val="20"/>
        </w:numPr>
        <w:shd w:val="clear" w:color="auto" w:fill="D9D9D9" w:themeFill="background1" w:themeFillShade="d9"/>
        <w:ind w:left="0" w:firstLine="284"/>
        <w:rPr/>
      </w:pPr>
      <w:r>
        <w:rPr/>
        <w:t>Územní samosprávný celek použije převedený podíl na výnosu daní na úhradu dluhu uvedeného v rozhodnutí do 90 dnů od připsání na jeho účet.</w:t>
      </w:r>
    </w:p>
    <w:p>
      <w:pPr>
        <w:pStyle w:val="Textodstavce"/>
        <w:numPr>
          <w:ilvl w:val="0"/>
          <w:numId w:val="20"/>
        </w:numPr>
        <w:shd w:val="clear" w:color="auto" w:fill="D9D9D9" w:themeFill="background1" w:themeFillShade="d9"/>
        <w:ind w:left="0" w:firstLine="284"/>
        <w:rPr/>
      </w:pPr>
      <w:r>
        <w:rPr/>
        <w:t>Územní samosprávný celek účtuje o převedeném podílu odděleně.</w:t>
      </w:r>
    </w:p>
    <w:p>
      <w:pPr>
        <w:pStyle w:val="Textodstavce"/>
        <w:numPr>
          <w:ilvl w:val="0"/>
          <w:numId w:val="20"/>
        </w:numPr>
        <w:shd w:val="clear" w:color="auto" w:fill="D9D9D9" w:themeFill="background1" w:themeFillShade="d9"/>
        <w:ind w:left="0" w:firstLine="284"/>
        <w:rPr/>
      </w:pPr>
      <w:r>
        <w:rPr/>
        <w:t>Nepoužije-li územní samosprávný celek podíl na výnosu daní převedený podle odstavce 1 na úhradu dluhu uvedeného v rozhodnutí do 90 dnů ode dne jejich připsání na svůj účet, Ministerstvo financí rozhodne o dalším pozastavení podílu územního samosprávného celku na výnosu daní ve výši peněžních prostředků, které nebyly použity na úhradu dluhu.“.</w:t>
      </w:r>
    </w:p>
    <w:p>
      <w:pPr>
        <w:pStyle w:val="Normal"/>
        <w:jc w:val="both"/>
        <w:rPr>
          <w:i/>
          <w:i/>
        </w:rPr>
      </w:pPr>
      <w:r>
        <w:rPr>
          <w:i/>
        </w:rPr>
        <w:t>Novela zákona o RUD je účinná až od 1. 1. 2018</w:t>
      </w:r>
    </w:p>
    <w:p>
      <w:pPr>
        <w:pStyle w:val="Normal"/>
        <w:jc w:val="both"/>
        <w:rPr>
          <w:b/>
          <w:b/>
        </w:rPr>
      </w:pPr>
      <w:r>
        <w:rPr>
          <w:b/>
        </w:rPr>
      </w:r>
    </w:p>
    <w:p>
      <w:pPr>
        <w:pStyle w:val="Normal"/>
        <w:spacing w:before="0" w:after="120"/>
        <w:jc w:val="both"/>
        <w:rPr>
          <w:b/>
          <w:b/>
        </w:rPr>
      </w:pPr>
      <w:r>
        <w:rPr>
          <w:b/>
        </w:rPr>
        <w:t xml:space="preserve">Co se rozumí průměrem příjmů za poslední 4 roky: </w:t>
      </w:r>
    </w:p>
    <w:p>
      <w:pPr>
        <w:pStyle w:val="Normal"/>
        <w:jc w:val="both"/>
        <w:rPr/>
      </w:pPr>
      <w:r>
        <w:rPr/>
        <w:t xml:space="preserve">Do příjmů se budou započítávat příjmy po konsolidaci na úrovni účetní jednotky, to znamená s vyloučením položek pro převody mezi účty, příp. mezi účty a oddělenou pokladnou. Příjmy po konsolidaci jsou uvedené v části IV. výkazu FIN 2-12 M. </w:t>
      </w:r>
    </w:p>
    <w:p>
      <w:pPr>
        <w:pStyle w:val="Normal"/>
        <w:jc w:val="both"/>
        <w:rPr>
          <w:b/>
          <w:b/>
        </w:rPr>
      </w:pPr>
      <w:r>
        <w:rPr>
          <w:b/>
        </w:rPr>
      </w:r>
    </w:p>
    <w:p>
      <w:pPr>
        <w:pStyle w:val="Normal"/>
        <w:spacing w:before="0" w:after="120"/>
        <w:jc w:val="both"/>
        <w:rPr>
          <w:b/>
          <w:b/>
        </w:rPr>
      </w:pPr>
      <w:r>
        <w:rPr>
          <w:b/>
        </w:rPr>
        <w:t xml:space="preserve">Co se rozumí dluhem: </w:t>
      </w:r>
    </w:p>
    <w:p>
      <w:pPr>
        <w:pStyle w:val="Normal"/>
        <w:jc w:val="both"/>
        <w:rPr/>
      </w:pPr>
      <w:r>
        <w:rPr/>
        <w:t xml:space="preserve">Do dluhu se budou započítávat konečné zůstatky na těchto účtech. Účty v textu zákona nenajdeme, jsou uvedeny v důvodové zprávě k zákonu a také ve Zprávách MF č. 2/2017. </w:t>
      </w:r>
    </w:p>
    <w:p>
      <w:pPr>
        <w:pStyle w:val="Normal"/>
        <w:spacing w:before="240" w:after="0"/>
        <w:jc w:val="both"/>
        <w:rPr/>
      </w:pPr>
      <w:r>
        <w:rPr/>
      </w:r>
      <w:r>
        <mc:AlternateContent>
          <mc:Choice Requires="wps">
            <w:drawing>
              <wp:anchor behindDoc="0" distT="0" distB="0" distL="89535" distR="89535" simplePos="0" locked="0" layoutInCell="1" allowOverlap="1" relativeHeight="9">
                <wp:simplePos x="0" y="0"/>
                <wp:positionH relativeFrom="margin">
                  <wp:posOffset>-3175</wp:posOffset>
                </wp:positionH>
                <wp:positionV relativeFrom="paragraph">
                  <wp:posOffset>166370</wp:posOffset>
                </wp:positionV>
                <wp:extent cx="3880485" cy="2482850"/>
                <wp:effectExtent l="0" t="0" r="0" b="0"/>
                <wp:wrapSquare wrapText="bothSides"/>
                <wp:docPr id="3" name="Frame1"/>
                <a:graphic xmlns:a="http://schemas.openxmlformats.org/drawingml/2006/main">
                  <a:graphicData uri="http://schemas.microsoft.com/office/word/2010/wordprocessingShape">
                    <wps:wsp>
                      <wps:cNvSpPr txBox="1"/>
                      <wps:spPr>
                        <a:xfrm>
                          <a:off x="0" y="0"/>
                          <a:ext cx="3880485" cy="2482850"/>
                        </a:xfrm>
                        <a:prstGeom prst="rect"/>
                      </wps:spPr>
                      <wps:txbx>
                        <w:txbxContent>
                          <w:tbl>
                            <w:tblPr>
                              <w:tblpPr w:bottomFromText="0" w:horzAnchor="margin" w:leftFromText="141" w:rightFromText="141" w:tblpX="70" w:tblpY="262" w:topFromText="0" w:vertAnchor="text"/>
                              <w:tblW w:w="6111"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5402"/>
                              <w:gridCol w:w="708"/>
                            </w:tblGrid>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5" w:type="dxa"/>
                                  </w:tcMar>
                                  <w:vAlign w:val="bottom"/>
                                </w:tcPr>
                                <w:p>
                                  <w:pPr>
                                    <w:pStyle w:val="Normal"/>
                                    <w:rPr/>
                                  </w:pPr>
                                  <w:r>
                                    <w:rPr>
                                      <w:b/>
                                      <w:color w:val="000000"/>
                                    </w:rPr>
                                    <w:t>Název účtu</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5" w:type="dxa"/>
                                  </w:tcMar>
                                  <w:vAlign w:val="bottom"/>
                                </w:tcPr>
                                <w:p>
                                  <w:pPr>
                                    <w:pStyle w:val="Normal"/>
                                    <w:jc w:val="center"/>
                                    <w:rPr/>
                                  </w:pPr>
                                  <w:r>
                                    <w:rPr>
                                      <w:b/>
                                      <w:color w:val="000000"/>
                                    </w:rPr>
                                    <w:t>SU</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Krátkodobé úvěry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281</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Eskontované krátkodobé dluhopisy (směnky)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Krátkodobé závazky z vydaných dluhopisů</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283</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Jiné krátkodobé půjčky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289</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Směnky k úhradě</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322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Přijaté návratné finanční výpomoci krátkodobé</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326</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Krátkodobé závazky z ručení</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362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úvěry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451</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Přijaté návratné finanční výpomoci dlouhodobé</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závazky z vydaných dluhopisů</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453</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závazky z ručení</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456</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směnky k úhradě</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457</w:t>
                                  </w:r>
                                </w:p>
                              </w:tc>
                            </w:tr>
                          </w:tbl>
                        </w:txbxContent>
                      </wps:txbx>
                      <wps:bodyPr anchor="t" lIns="0" tIns="0" rIns="0" bIns="0">
                        <a:spAutoFit/>
                      </wps:bodyPr>
                    </wps:wsp>
                  </a:graphicData>
                </a:graphic>
              </wp:anchor>
            </w:drawing>
          </mc:Choice>
          <mc:Fallback>
            <w:pict>
              <v:rect style="position:absolute;rotation:0;width:305.55pt;height:195.5pt;mso-wrap-distance-left:7.05pt;mso-wrap-distance-right:7.05pt;mso-wrap-distance-top:0pt;mso-wrap-distance-bottom:0pt;margin-top:13.1pt;mso-position-vertical-relative:text;margin-left:-0.25pt;mso-position-horizontal-relative:margin">
                <v:textbox inset="0in,0in,0in,0in">
                  <w:txbxContent>
                    <w:tbl>
                      <w:tblPr>
                        <w:tblpPr w:bottomFromText="0" w:horzAnchor="margin" w:leftFromText="141" w:rightFromText="141" w:tblpX="70" w:tblpY="262" w:topFromText="0" w:vertAnchor="text"/>
                        <w:tblW w:w="6111"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5402"/>
                        <w:gridCol w:w="708"/>
                      </w:tblGrid>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5" w:type="dxa"/>
                            </w:tcMar>
                            <w:vAlign w:val="bottom"/>
                          </w:tcPr>
                          <w:p>
                            <w:pPr>
                              <w:pStyle w:val="Normal"/>
                              <w:rPr/>
                            </w:pPr>
                            <w:r>
                              <w:rPr>
                                <w:b/>
                                <w:color w:val="000000"/>
                              </w:rPr>
                              <w:t>Název účtu</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5" w:type="dxa"/>
                            </w:tcMar>
                            <w:vAlign w:val="bottom"/>
                          </w:tcPr>
                          <w:p>
                            <w:pPr>
                              <w:pStyle w:val="Normal"/>
                              <w:jc w:val="center"/>
                              <w:rPr/>
                            </w:pPr>
                            <w:r>
                              <w:rPr>
                                <w:b/>
                                <w:color w:val="000000"/>
                              </w:rPr>
                              <w:t>SU</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Krátkodobé úvěry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281</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Eskontované krátkodobé dluhopisy (směnky)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Krátkodobé závazky z vydaných dluhopisů</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283</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Jiné krátkodobé půjčky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289</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Směnky k úhradě</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322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Přijaté návratné finanční výpomoci krátkodobé</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326</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Krátkodobé závazky z ručení</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362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úvěry</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451</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Přijaté návratné finanční výpomoci dlouhodobé</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452</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závazky z vydaných dluhopisů</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453</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závazky z ručení</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456</w:t>
                            </w:r>
                          </w:p>
                        </w:tc>
                      </w:tr>
                      <w:tr>
                        <w:trPr>
                          <w:trHeight w:val="300" w:hRule="atLeast"/>
                        </w:trPr>
                        <w:tc>
                          <w:tcPr>
                            <w:tcW w:w="5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pPr>
                            <w:r>
                              <w:rPr>
                                <w:color w:val="000000"/>
                              </w:rPr>
                              <w:t>Dlouhodobé směnky k úhradě</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pPr>
                            <w:r>
                              <w:rPr>
                                <w:color w:val="000000"/>
                              </w:rPr>
                              <w:t>457</w:t>
                            </w:r>
                          </w:p>
                        </w:tc>
                      </w:tr>
                    </w:tbl>
                  </w:txbxContent>
                </v:textbox>
                <w10:wrap type="square"/>
              </v:rect>
            </w:pict>
          </mc:Fallback>
        </mc:AlternateContent>
      </w:r>
    </w:p>
    <w:p>
      <w:pPr>
        <w:pStyle w:val="Normal"/>
        <w:spacing w:before="240" w:after="0"/>
        <w:jc w:val="both"/>
        <w:rPr/>
      </w:pPr>
      <w:r>
        <w:rPr/>
      </w:r>
    </w:p>
    <w:p>
      <w:pPr>
        <w:pStyle w:val="Normal"/>
        <w:spacing w:before="240" w:after="0"/>
        <w:jc w:val="both"/>
        <w:rPr/>
      </w:pPr>
      <w:r>
        <w:rPr/>
      </w:r>
    </w:p>
    <w:p>
      <w:pPr>
        <w:pStyle w:val="Normal"/>
        <w:spacing w:before="240" w:after="0"/>
        <w:jc w:val="both"/>
        <w:rPr/>
      </w:pPr>
      <w:r>
        <w:rPr/>
      </w:r>
    </w:p>
    <w:p>
      <w:pPr>
        <w:pStyle w:val="Normal"/>
        <w:spacing w:before="240" w:after="0"/>
        <w:jc w:val="both"/>
        <w:rPr/>
      </w:pPr>
      <w:r>
        <w:rPr/>
      </w:r>
    </w:p>
    <w:p>
      <w:pPr>
        <w:pStyle w:val="Normal"/>
        <w:spacing w:before="240" w:after="0"/>
        <w:jc w:val="both"/>
        <w:rPr/>
      </w:pPr>
      <w:r>
        <w:rPr/>
      </w:r>
    </w:p>
    <w:p>
      <w:pPr>
        <w:pStyle w:val="Normal"/>
        <w:spacing w:before="240" w:after="0"/>
        <w:jc w:val="both"/>
        <w:rPr/>
      </w:pPr>
      <w:r>
        <w:rPr/>
      </w:r>
    </w:p>
    <w:p>
      <w:pPr>
        <w:pStyle w:val="Normal"/>
        <w:spacing w:before="240" w:after="0"/>
        <w:jc w:val="both"/>
        <w:rPr/>
      </w:pPr>
      <w:r>
        <w:rPr/>
      </w:r>
    </w:p>
    <w:p>
      <w:pPr>
        <w:pStyle w:val="Normal"/>
        <w:spacing w:before="240" w:after="0"/>
        <w:jc w:val="both"/>
        <w:rPr/>
      </w:pPr>
      <w:r>
        <w:rPr/>
      </w:r>
    </w:p>
    <w:p>
      <w:pPr>
        <w:pStyle w:val="Normal"/>
        <w:jc w:val="both"/>
        <w:rPr>
          <w:bCs/>
        </w:rPr>
      </w:pPr>
      <w:r>
        <w:rPr/>
        <w:t xml:space="preserve">MF bude výsledky vyhodnocování hospodaření ÚSC za předchozí rok zveřejňovat na svém informačním portálu MONITOR. </w:t>
      </w:r>
      <w:r>
        <w:rPr>
          <w:bCs/>
        </w:rPr>
        <w:t>Tyto informace budou zveřejněny nejpozději do konce dubna (např. za rok 2017 do konce dubna 2018). Současně zveřejní seznam územních samosprávných celků, jejichž dluh přesáhl 60 % průměru jejich příjmů za poslední čtyři roky. O výsledcích vyhodnocení údajů o příjmech a dluzích obcí a krajů bude ministr financí každý rok informovat vládu.</w:t>
      </w:r>
    </w:p>
    <w:p>
      <w:pPr>
        <w:pStyle w:val="Normal"/>
        <w:jc w:val="both"/>
        <w:rPr>
          <w:bCs/>
        </w:rPr>
      </w:pPr>
      <w:r>
        <w:rPr>
          <w:bCs/>
        </w:rPr>
      </w:r>
    </w:p>
    <w:p>
      <w:pPr>
        <w:pStyle w:val="Normal"/>
        <w:jc w:val="both"/>
        <w:rPr>
          <w:bCs/>
        </w:rPr>
      </w:pPr>
      <w:r>
        <w:rPr>
          <w:bCs/>
        </w:rPr>
      </w:r>
    </w:p>
    <w:p>
      <w:pPr>
        <w:pStyle w:val="Normal"/>
        <w:jc w:val="both"/>
        <w:rPr>
          <w:b/>
          <w:b/>
        </w:rPr>
      </w:pPr>
      <w:r>
        <w:rPr>
          <w:b/>
        </w:rPr>
      </w:r>
    </w:p>
    <w:p>
      <w:pPr>
        <w:pStyle w:val="Normal"/>
        <w:spacing w:before="0" w:after="120"/>
        <w:jc w:val="both"/>
        <w:rPr>
          <w:b/>
          <w:b/>
        </w:rPr>
      </w:pPr>
      <w:r>
        <w:rPr>
          <w:b/>
        </w:rPr>
        <w:t xml:space="preserve">Důležitý aspekt nového pravidla: </w:t>
      </w:r>
    </w:p>
    <w:p>
      <w:pPr>
        <w:pStyle w:val="Normal"/>
        <w:jc w:val="both"/>
        <w:rPr/>
      </w:pPr>
      <w:r>
        <w:rPr/>
        <w:t xml:space="preserve">Zákon nestanoví, že ÚSC, který má k 31. 12. výši svého dluhu nad 60 % průměru příjmů za poslední 4 roky, nemůže čerpat další úvěr. Čerpat může, je ale povinen své dluhy umět snižovat alespoň o minimální, podle zákona určenou, částku. </w:t>
      </w:r>
    </w:p>
    <w:p>
      <w:pPr>
        <w:pStyle w:val="Normal"/>
        <w:spacing w:before="0" w:after="120"/>
        <w:contextualSpacing/>
        <w:jc w:val="both"/>
        <w:rPr>
          <w:i/>
          <w:i/>
          <w:u w:val="single"/>
        </w:rPr>
      </w:pPr>
      <w:r>
        <w:rPr>
          <w:i/>
          <w:u w:val="single"/>
        </w:rPr>
      </w:r>
    </w:p>
    <w:p>
      <w:pPr>
        <w:pStyle w:val="Normal"/>
        <w:spacing w:before="0" w:after="120"/>
        <w:contextualSpacing/>
        <w:jc w:val="both"/>
        <w:rPr>
          <w:i/>
          <w:i/>
          <w:u w:val="single"/>
        </w:rPr>
      </w:pPr>
      <w:r>
        <w:rPr>
          <w:i/>
          <w:u w:val="single"/>
        </w:rPr>
        <w:t xml:space="preserve">Komentář: </w:t>
      </w:r>
    </w:p>
    <w:p>
      <w:pPr>
        <w:pStyle w:val="ListParagraph"/>
        <w:numPr>
          <w:ilvl w:val="0"/>
          <w:numId w:val="14"/>
        </w:numPr>
        <w:spacing w:before="0" w:after="120"/>
        <w:ind w:left="284" w:hanging="284"/>
        <w:jc w:val="both"/>
        <w:rPr>
          <w:i/>
          <w:i/>
        </w:rPr>
      </w:pPr>
      <w:r>
        <w:rPr>
          <w:i/>
        </w:rPr>
        <w:t xml:space="preserve">Podle analýzy MF má problém se zadlužením opravdu málo obcí. Hranici zadlužení 60 % průměru příjmů za poslední 4 roky překračovalo v r. 2013 jen 500 obcí, tj. 8 % z celkového počtu cca 6 250 obcí v ČR. </w:t>
      </w:r>
    </w:p>
    <w:p>
      <w:pPr>
        <w:pStyle w:val="ListParagraph"/>
        <w:numPr>
          <w:ilvl w:val="0"/>
          <w:numId w:val="14"/>
        </w:numPr>
        <w:spacing w:before="0" w:after="120"/>
        <w:ind w:left="284" w:hanging="284"/>
        <w:jc w:val="both"/>
        <w:rPr>
          <w:i/>
          <w:i/>
        </w:rPr>
      </w:pPr>
      <w:r>
        <w:rPr>
          <w:i/>
        </w:rPr>
        <w:t xml:space="preserve">Zdá se nám nedomyšlené, že obce mohou být nuceni i do mimořádných splátek svých úvěrů, které jsou bankami často sankcionovány. To považujeme za neseriózní požadavek zákona. </w:t>
      </w:r>
    </w:p>
    <w:p>
      <w:pPr>
        <w:pStyle w:val="ListParagraph"/>
        <w:numPr>
          <w:ilvl w:val="0"/>
          <w:numId w:val="14"/>
        </w:numPr>
        <w:spacing w:before="0" w:after="120"/>
        <w:ind w:left="284" w:hanging="284"/>
        <w:jc w:val="both"/>
        <w:rPr>
          <w:i/>
          <w:i/>
        </w:rPr>
      </w:pPr>
      <w:r>
        <w:rPr>
          <w:i/>
        </w:rPr>
        <w:t xml:space="preserve">Do celkového objemu příjmů se započítávají i nekonsolidační pol. 4131 a 4132 (převody z podnikatelské činnosti a z účtů cizích prostředků). Obdobně se má podle všeho započítávat i pol. 4140, která je zavedena od 2017. Položka se bude používat pro meziroční převody mezi účty, pokud jsou peníze odepsány z jednoho účtu v běžném roce a na druhý účet se připíší až v roce následujícím. ÚSC si takto na přelomu roku mohou přeposílat z účtu na účet i hodně významné částky a ovlivnit tak výši příjmů v následujícím roce. </w:t>
      </w:r>
    </w:p>
    <w:p>
      <w:pPr>
        <w:pStyle w:val="Normal"/>
        <w:spacing w:before="0" w:after="120"/>
        <w:jc w:val="both"/>
        <w:rPr>
          <w:b/>
          <w:b/>
        </w:rPr>
      </w:pPr>
      <w:r>
        <w:rPr>
          <w:b/>
        </w:rPr>
        <w:t>Z důvodové zprávy k zákonu</w:t>
      </w:r>
    </w:p>
    <w:p>
      <w:pPr>
        <w:pStyle w:val="Normal"/>
        <w:shd w:val="clear" w:color="auto" w:fill="D9D9D9" w:themeFill="background1" w:themeFillShade="d9"/>
        <w:spacing w:before="0" w:after="240"/>
        <w:jc w:val="both"/>
        <w:rPr/>
      </w:pPr>
      <w:r>
        <w:rPr/>
        <w:t xml:space="preserve">… </w:t>
      </w:r>
      <w:r>
        <w:rPr/>
        <w:t xml:space="preserve">Z analýzy provedené ministerstvem financí dále vyplývá, že zásadu rozpočtového hospodaření by </w:t>
      </w:r>
      <w:r>
        <w:rPr>
          <w:bCs/>
        </w:rPr>
        <w:t xml:space="preserve">k 31. prosinci 2013 nedodrželo 500 obcí </w:t>
      </w:r>
      <w:r>
        <w:rPr/>
        <w:t>(v tom 33 měst, z toho 4 statutární města)</w:t>
      </w:r>
      <w:r>
        <w:rPr>
          <w:bCs/>
        </w:rPr>
        <w:t xml:space="preserve">, tj. cca 8 % všech obcí. </w:t>
      </w:r>
      <w:r>
        <w:rPr/>
        <w:t>V intervalu mezi 60 a 70 % se ve stejném období nachází 122 obcí, v intervalu 70 až 80 % 73 obcí, v intervalu 80 až 90 % pak 62 obcí a intervalu 90 až 100 % 45 obcí. Ukazatel vyšší než 100 % v daném období vykázalo celkem 198 obcí. Přibližně 81 % obcí vykazuje hodnotu ukazatele pod 30 %, přičemž zcela bez dluhových závazků je cca 56 % obcí. U krajů se nejvyšší hodnota ukazatele pohybuje okolo 45 %, přičemž jeho průměrná hodnota u krajů (bez hl. m. Prahy) činí necelých 19 %...</w:t>
      </w:r>
    </w:p>
    <w:p>
      <w:pPr>
        <w:pStyle w:val="Normal"/>
        <w:shd w:val="clear" w:color="auto" w:fill="D9D9D9" w:themeFill="background1" w:themeFillShade="d9"/>
        <w:spacing w:before="0" w:after="240"/>
        <w:jc w:val="both"/>
        <w:rPr/>
      </w:pPr>
      <w:r>
        <w:rPr/>
        <w:t>…</w:t>
      </w:r>
      <w:r>
        <w:rPr/>
        <w:t>V </w:t>
      </w:r>
      <w:r>
        <w:rPr>
          <w:bCs/>
        </w:rPr>
        <w:t xml:space="preserve">rámci analýzy nápravného mechanismu provedené Ministerstvem financí bylo zkoumáno, zda jeho aplikací nedojde k ohrožení fungování některé z obcí. Bylo zjištěno, že u více než 84 % obcí by činil pozastavený podíl na sdílených daňových příjmech méně než 5 % jejich celkových příjmů. U více než 93 % by to pak bylo méně než 10 %. Téměř 80 % obcí, u nichž by podíl pozastavených daňových příjmů na celkových příjmech přesáhl 10 %, by bylo dle stavu ke konci loňského roku schopno výpadek příjmů financovat prostřednictvím zůstatků na svých účtech. Více než polovina z nich pak po více než jedno rozpočtové období. </w:t>
      </w:r>
      <w:r>
        <w:rPr/>
        <w:t>Z analýzy tak vyplývá, že případné navrhované pozastavení převodu výnosu daní by mělo být pro dotčené obce finančně únosné. Hodnotu 10 % celkových příjmů převyšuje pozastavení 10 % pouze u 33 obcí, z toho se 25 obcí nachází v intervalu 10-20 %, 6 obcí v intervalu 20-30 %, 1 obec v intervalu 30-40 % a 1 obec v intervalu 40-50 %. Průměrná hodnota ukazatele u dotčených obcí činí 3 % celkových příjmů…</w:t>
      </w:r>
    </w:p>
    <w:p>
      <w:pPr>
        <w:pStyle w:val="Normal"/>
        <w:spacing w:before="0" w:after="120"/>
        <w:jc w:val="both"/>
        <w:rPr>
          <w:i/>
          <w:i/>
        </w:rPr>
      </w:pPr>
      <w:r>
        <w:rPr/>
        <w:t xml:space="preserve">Do zákona č. 250/2000 Sb. doplněna dvě ustanovení, která odkazují na </w:t>
      </w:r>
      <w:r>
        <w:rPr>
          <w:b/>
        </w:rPr>
        <w:t>„opatření podle zákona o pravidlech rozpočtové odpovědnosti“</w:t>
      </w:r>
      <w:r>
        <w:rPr/>
        <w:t xml:space="preserve">. Jsou to: </w:t>
      </w:r>
    </w:p>
    <w:p>
      <w:pPr>
        <w:pStyle w:val="Normal"/>
        <w:shd w:val="clear" w:color="auto" w:fill="D9D9D9" w:themeFill="background1" w:themeFillShade="d9"/>
        <w:jc w:val="center"/>
        <w:rPr/>
      </w:pPr>
      <w:r>
        <w:rPr/>
        <w:t>§ 4</w:t>
      </w:r>
    </w:p>
    <w:p>
      <w:pPr>
        <w:pStyle w:val="Normal"/>
        <w:shd w:val="clear" w:color="auto" w:fill="D9D9D9" w:themeFill="background1" w:themeFillShade="d9"/>
        <w:jc w:val="center"/>
        <w:rPr>
          <w:b/>
          <w:b/>
        </w:rPr>
      </w:pPr>
      <w:r>
        <w:rPr>
          <w:b/>
        </w:rPr>
        <w:t>Rozpočet</w:t>
      </w:r>
    </w:p>
    <w:p>
      <w:pPr>
        <w:pStyle w:val="Textlnku"/>
        <w:shd w:val="clear" w:color="auto" w:fill="D9D9D9" w:themeFill="background1" w:themeFillShade="d9"/>
        <w:rPr>
          <w:b/>
          <w:b/>
        </w:rPr>
      </w:pPr>
      <w:r>
        <w:rPr>
          <w:b/>
        </w:rPr>
        <w:t>„</w:t>
      </w:r>
      <w:r>
        <w:rPr>
          <w:b/>
        </w:rPr>
        <w:t>(6) Při uplatnění opatření podle zákona o pravidlech rozpočtové odpovědnosti</w:t>
      </w:r>
      <w:r>
        <w:rPr>
          <w:b/>
          <w:vertAlign w:val="superscript"/>
        </w:rPr>
        <w:t xml:space="preserve"> </w:t>
      </w:r>
      <w:r>
        <w:rPr>
          <w:b/>
        </w:rPr>
        <w:t>může být rozpočet územního samosprávného celku schválen jako schodkový jen v případě, že schodek bude možné uhradit finančními prostředky z minulých let nebo návratnou finanční výpomocí. Smluvně zabezpečenou půjčkou</w:t>
      </w:r>
      <w:r>
        <w:rPr>
          <w:b/>
          <w:vertAlign w:val="superscript"/>
        </w:rPr>
        <w:t>5)</w:t>
      </w:r>
      <w:r>
        <w:rPr>
          <w:b/>
        </w:rPr>
        <w:t>, úvěrem</w:t>
      </w:r>
      <w:r>
        <w:rPr>
          <w:b/>
          <w:vertAlign w:val="superscript"/>
        </w:rPr>
        <w:t>6)</w:t>
      </w:r>
      <w:r>
        <w:rPr>
          <w:b/>
        </w:rPr>
        <w:t xml:space="preserve"> nebo příjmem z prodeje komunálních dluhopisů územního samosprávného celku je možné uhradit pouze schodek vzniklý z důvodu předfinancování projektů spolufinancovaných z rozpočtu Evropské unie.“.</w:t>
      </w:r>
    </w:p>
    <w:p>
      <w:pPr>
        <w:pStyle w:val="Normal"/>
        <w:spacing w:before="0" w:after="120"/>
        <w:jc w:val="both"/>
        <w:rPr/>
      </w:pPr>
      <w:r>
        <w:rPr/>
      </w:r>
    </w:p>
    <w:p>
      <w:pPr>
        <w:pStyle w:val="Normal"/>
        <w:shd w:val="clear" w:color="auto" w:fill="D9D9D9" w:themeFill="background1" w:themeFillShade="d9"/>
        <w:spacing w:before="0" w:after="120"/>
        <w:jc w:val="center"/>
        <w:rPr/>
      </w:pPr>
      <w:r>
        <w:rPr/>
        <w:t>§ 13</w:t>
      </w:r>
    </w:p>
    <w:p>
      <w:pPr>
        <w:pStyle w:val="Normal"/>
        <w:shd w:val="clear" w:color="auto" w:fill="D9D9D9" w:themeFill="background1" w:themeFillShade="d9"/>
        <w:spacing w:before="0" w:after="120"/>
        <w:jc w:val="center"/>
        <w:rPr/>
      </w:pPr>
      <w:r>
        <w:rPr/>
        <w:t>Rozpočtové provizorium</w:t>
      </w:r>
    </w:p>
    <w:p>
      <w:pPr>
        <w:pStyle w:val="Normal"/>
        <w:shd w:val="clear" w:color="auto" w:fill="D9D9D9" w:themeFill="background1" w:themeFillShade="d9"/>
        <w:spacing w:before="0" w:after="120"/>
        <w:jc w:val="both"/>
        <w:rPr>
          <w:b/>
          <w:b/>
          <w:bCs/>
        </w:rPr>
      </w:pPr>
      <w:r>
        <w:rPr>
          <w:b/>
          <w:bCs/>
        </w:rPr>
        <w:t>(4) Při uplatnění opatření podle zákona o pravidlech rozpočtové odpovědnosti</w:t>
      </w:r>
      <w:r>
        <w:rPr>
          <w:b/>
          <w:bCs/>
          <w:vertAlign w:val="superscript"/>
        </w:rPr>
        <w:t xml:space="preserve"> </w:t>
      </w:r>
      <w:r>
        <w:rPr>
          <w:b/>
          <w:bCs/>
        </w:rPr>
        <w:t xml:space="preserve">nesmí měsíční výdaje územního samosprávného celku stanovené v pravidlech rozpočtového provizoria překročit jednu dvanáctinu výdajů rozpočtu schváleného pro předchozí rozpočtový rok. Vyšší výdaje lze stanovit pouze  v případě, že jejich zvýšení přímo souvisí se zvýšením financování výdajů stanovených jiným zákonem nebo v případě výdajů z důvodu předfinancování projektů spolufinancovaných z rozpočtu Evropské unie. </w:t>
      </w:r>
    </w:p>
    <w:p>
      <w:pPr>
        <w:pStyle w:val="Normal"/>
        <w:spacing w:before="0" w:after="120"/>
        <w:jc w:val="both"/>
        <w:rPr/>
      </w:pPr>
      <w:r>
        <w:rPr/>
        <w:t xml:space="preserve">Pro správnou interpretaci těchto ustanovení je rozhodující definovat, co se rozumí </w:t>
      </w:r>
      <w:r>
        <w:rPr>
          <w:u w:val="single"/>
        </w:rPr>
        <w:t>opatřeními podle zákona o pravidlech rozpočtové odpovědnosti</w:t>
      </w:r>
      <w:r>
        <w:rPr/>
        <w:t xml:space="preserve">. Těmito opatření </w:t>
      </w:r>
      <w:r>
        <w:rPr>
          <w:b/>
          <w:u w:val="single"/>
        </w:rPr>
        <w:t>není</w:t>
      </w:r>
      <w:r>
        <w:rPr/>
        <w:t xml:space="preserve"> situace, kdy dluh ÚSC převýší 60 % příjmů za poslední 4 roky. Opatření jsou stanovena v § 14 zákona o pravidlech rozpočtové odpovědnosti:</w:t>
      </w:r>
    </w:p>
    <w:p>
      <w:pPr>
        <w:pStyle w:val="Normal"/>
        <w:spacing w:before="0" w:after="120"/>
        <w:jc w:val="both"/>
        <w:rPr/>
      </w:pPr>
      <w:r>
        <w:rPr/>
        <w:t xml:space="preserve">Uvedené plyne z důvodové zprávy: </w:t>
      </w:r>
    </w:p>
    <w:p>
      <w:pPr>
        <w:pStyle w:val="Normal"/>
        <w:shd w:val="clear" w:color="auto" w:fill="D9D9D9" w:themeFill="background1" w:themeFillShade="d9"/>
        <w:rPr>
          <w:b/>
          <w:b/>
        </w:rPr>
      </w:pPr>
      <w:r>
        <w:rPr>
          <w:b/>
        </w:rPr>
        <w:t>K § 4 odst. 6:</w:t>
      </w:r>
    </w:p>
    <w:p>
      <w:pPr>
        <w:pStyle w:val="Normal"/>
        <w:shd w:val="clear" w:color="auto" w:fill="D9D9D9" w:themeFill="background1" w:themeFillShade="d9"/>
        <w:spacing w:before="0" w:after="120"/>
        <w:jc w:val="both"/>
        <w:rPr>
          <w:bCs/>
        </w:rPr>
      </w:pPr>
      <w:r>
        <w:rPr/>
        <w:t>Právní</w:t>
      </w:r>
      <w:r>
        <w:rPr>
          <w:bCs/>
        </w:rPr>
        <w:t xml:space="preserve"> úprava je navrhována v souvislosti s právní úpravou obsaženou v zákoně o pravidlech rozpočtové odpovědnosti, která by měla zabránit zadlužování územních samosprávných celků a tím i nárůstu celkové výše dluhu veřejných institucí. Jedná se o výjimku pro schvalování schodkového rozpočtu v případě, kdy dluh veřejných institucí dosáhne nejméně výše 55 % nominálního hrubého domácího produktu a podle zákona pravidlech rozpočtové odpovědnosti jsou přijímána opatření k zabránění jeho dalšího nárůstu.</w:t>
      </w:r>
      <w:r>
        <w:rPr/>
        <w:t xml:space="preserve"> </w:t>
      </w:r>
    </w:p>
    <w:p>
      <w:pPr>
        <w:pStyle w:val="Normal"/>
        <w:shd w:val="clear" w:color="auto" w:fill="D9D9D9" w:themeFill="background1" w:themeFillShade="d9"/>
        <w:jc w:val="both"/>
        <w:rPr>
          <w:b/>
          <w:b/>
        </w:rPr>
      </w:pPr>
      <w:r>
        <w:rPr>
          <w:b/>
        </w:rPr>
        <w:t>K § 13 odst. 4</w:t>
      </w:r>
    </w:p>
    <w:p>
      <w:pPr>
        <w:pStyle w:val="Normal"/>
        <w:shd w:val="clear" w:color="auto" w:fill="D9D9D9" w:themeFill="background1" w:themeFillShade="d9"/>
        <w:jc w:val="both"/>
        <w:rPr/>
      </w:pPr>
      <w:r>
        <w:rPr>
          <w:bCs/>
        </w:rPr>
        <w:t>…</w:t>
      </w:r>
      <w:r>
        <w:rPr/>
        <w:t xml:space="preserve"> </w:t>
      </w:r>
      <w:r>
        <w:rPr/>
        <w:t>Navrhuje se pro případ rozpočtového provizoria stanovit maximální výši výdajů. Současně je však třeba, s ohledem na možnou změnu výše mandatorních výdajů poskytovaných z rozpočtu územního samosprávného celku a rovněž na problematiku předfinancování projektů spolufinancovaných z EU, umožnit překročení takto stanovené maximální výše.</w:t>
      </w:r>
    </w:p>
    <w:p>
      <w:pPr>
        <w:pStyle w:val="Normal"/>
        <w:spacing w:before="0" w:after="120"/>
        <w:jc w:val="both"/>
        <w:rPr/>
      </w:pPr>
      <w:r>
        <w:rPr/>
      </w:r>
    </w:p>
    <w:p>
      <w:pPr>
        <w:pStyle w:val="Normal"/>
        <w:spacing w:before="0" w:after="120"/>
        <w:jc w:val="both"/>
        <w:rPr/>
      </w:pPr>
      <w:r>
        <w:rPr/>
        <w:t xml:space="preserve">§ 14 zákona o pravidlech rozpočtové odpovědnosti: </w:t>
      </w:r>
    </w:p>
    <w:p>
      <w:pPr>
        <w:pStyle w:val="Normal"/>
        <w:shd w:val="clear" w:color="auto" w:fill="D9D9D9" w:themeFill="background1" w:themeFillShade="d9"/>
        <w:spacing w:before="0" w:after="120"/>
        <w:jc w:val="center"/>
        <w:rPr/>
      </w:pPr>
      <w:r>
        <w:rPr/>
        <w:t xml:space="preserve">§ </w:t>
      </w:r>
      <w:r>
        <w:rPr/>
        <w:fldChar w:fldCharType="begin"/>
      </w:r>
      <w:r>
        <w:instrText> SEQ § \* ARABIC </w:instrText>
      </w:r>
      <w:r>
        <w:fldChar w:fldCharType="separate"/>
      </w:r>
      <w:r>
        <w:t>0</w:t>
      </w:r>
      <w:r>
        <w:fldChar w:fldCharType="end"/>
      </w:r>
      <w:r>
        <w:rPr/>
        <w:t>4</w:t>
      </w:r>
    </w:p>
    <w:p>
      <w:pPr>
        <w:pStyle w:val="Textlnku"/>
        <w:shd w:val="clear" w:color="auto" w:fill="D9D9D9" w:themeFill="background1" w:themeFillShade="d9"/>
        <w:rPr/>
      </w:pPr>
      <w:r>
        <w:rPr>
          <w:b/>
        </w:rPr>
        <w:t>Činí-li výše dluhu sektoru veřejných institucí po odečtení rezervy peněžních prostředků při financování státního dluhu nejméně 55 % nominálního hrubého domácího produktu</w:t>
      </w:r>
      <w:r>
        <w:rPr/>
        <w:t xml:space="preserve">, uplatní se od prvního dne druhého kalendářního měsíce následujícího po dni vyhlášení takto upravené výše dluhu následující </w:t>
      </w:r>
      <w:r>
        <w:rPr>
          <w:b/>
        </w:rPr>
        <w:t>opatření</w:t>
      </w:r>
      <w:r>
        <w:rPr/>
        <w:t xml:space="preserve"> vedoucí k dlouhodobě udržitelnému stavu veřejných financí</w:t>
      </w:r>
    </w:p>
    <w:p>
      <w:pPr>
        <w:pStyle w:val="Textpsmene"/>
        <w:widowControl/>
        <w:numPr>
          <w:ilvl w:val="0"/>
          <w:numId w:val="16"/>
        </w:numPr>
        <w:shd w:val="clear" w:color="auto" w:fill="D9D9D9" w:themeFill="background1" w:themeFillShade="d9"/>
        <w:suppressAutoHyphens w:val="false"/>
        <w:spacing w:before="120" w:after="120"/>
        <w:ind w:left="284" w:hanging="284"/>
        <w:textAlignment w:val="auto"/>
        <w:outlineLvl w:val="7"/>
        <w:rPr>
          <w:sz w:val="18"/>
          <w:szCs w:val="18"/>
        </w:rPr>
      </w:pPr>
      <w:r>
        <w:rPr>
          <w:sz w:val="18"/>
          <w:szCs w:val="18"/>
        </w:rPr>
        <w:t>vláda schválí a předloží Poslanecké sněmovně návrh a střednědobý výhled státního rozpočtu a rozpočtů státních fondů, které vedou k dlouhodobě udržitelnému stavu veřejných financí; byl-li již návrh zákona o státním rozpočtu nebo návrh rozpočtu státního fondu předložen bez splnění této podmínky, vláda takový návrh vezme zpět a neprodleně předloží návrh nový,</w:t>
      </w:r>
    </w:p>
    <w:p>
      <w:pPr>
        <w:pStyle w:val="Textpsmene"/>
        <w:widowControl/>
        <w:numPr>
          <w:ilvl w:val="0"/>
          <w:numId w:val="16"/>
        </w:numPr>
        <w:shd w:val="clear" w:color="auto" w:fill="D9D9D9" w:themeFill="background1" w:themeFillShade="d9"/>
        <w:suppressAutoHyphens w:val="false"/>
        <w:ind w:left="284" w:hanging="284"/>
        <w:textAlignment w:val="auto"/>
        <w:outlineLvl w:val="7"/>
        <w:rPr>
          <w:sz w:val="18"/>
          <w:szCs w:val="18"/>
        </w:rPr>
      </w:pPr>
      <w:r>
        <w:rPr>
          <w:sz w:val="18"/>
          <w:szCs w:val="18"/>
        </w:rPr>
        <w:t>vláda předloží Poslanecké sněmovně návrhy vyrovnaných rozpočtů zdravotních pojišťoven; návrhy schodkových rozpočtů může předložit jen při splnění podmínek stanovených zákony upravujícími veřejné zdravotní pojištění,</w:t>
      </w:r>
    </w:p>
    <w:p>
      <w:pPr>
        <w:pStyle w:val="Textpsmene"/>
        <w:widowControl/>
        <w:numPr>
          <w:ilvl w:val="0"/>
          <w:numId w:val="16"/>
        </w:numPr>
        <w:shd w:val="clear" w:color="auto" w:fill="D9D9D9" w:themeFill="background1" w:themeFillShade="d9"/>
        <w:suppressAutoHyphens w:val="false"/>
        <w:ind w:left="284" w:hanging="284"/>
        <w:textAlignment w:val="auto"/>
        <w:outlineLvl w:val="7"/>
        <w:rPr>
          <w:b/>
          <w:b/>
        </w:rPr>
      </w:pPr>
      <w:r>
        <w:rPr>
          <w:b/>
        </w:rPr>
        <w:t>územní samosprávný celek schválí svůj rozpočet na následující rok jako vyrovnaný nebo přebytkový; rozpočet územního samosprávného celku může být schválen jako schodkový jen při splnění podmínek stanovených zákonem upravujícím rozpočtová pravidla územních rozpočtů,</w:t>
      </w:r>
    </w:p>
    <w:p>
      <w:pPr>
        <w:pStyle w:val="Textpsmene"/>
        <w:widowControl/>
        <w:numPr>
          <w:ilvl w:val="0"/>
          <w:numId w:val="16"/>
        </w:numPr>
        <w:shd w:val="clear" w:color="auto" w:fill="D9D9D9" w:themeFill="background1" w:themeFillShade="d9"/>
        <w:suppressAutoHyphens w:val="false"/>
        <w:ind w:left="284" w:hanging="284"/>
        <w:textAlignment w:val="auto"/>
        <w:outlineLvl w:val="7"/>
        <w:rPr>
          <w:sz w:val="18"/>
          <w:szCs w:val="18"/>
        </w:rPr>
      </w:pPr>
      <w:r>
        <w:rPr>
          <w:sz w:val="18"/>
          <w:szCs w:val="18"/>
        </w:rPr>
        <w:t>veřejné instituce, na něž se nevztahuje písmeno a) až c), nesmí po období, v němž výše dluhu činí nejméně 55 % hrubého domácího produktu, zřizovat nové závazky ze smluv, s výjimkou závazků týkajících se projektů spolufinancovaných z rozpočtu Evropské unie nebo závazků nezbytných k plnění  rozhodnutí soudu nebo orgánu státní moci, vedoucí k navýšení dluhu sektoru veřejných institucí na dobu delší než jeden kalendářní rok.</w:t>
      </w:r>
    </w:p>
    <w:p>
      <w:pPr>
        <w:pStyle w:val="Normal"/>
        <w:spacing w:before="0" w:after="120"/>
        <w:jc w:val="both"/>
        <w:rPr/>
      </w:pPr>
      <w:r>
        <w:rPr/>
      </w:r>
    </w:p>
    <w:p>
      <w:pPr>
        <w:pStyle w:val="Normal"/>
        <w:spacing w:before="0" w:after="120"/>
        <w:jc w:val="both"/>
        <w:rPr/>
      </w:pPr>
      <w:r>
        <w:rPr>
          <w:b/>
        </w:rPr>
        <w:t>Opatření podle zákona o pravidlech rozpočtové odpovědnosti</w:t>
      </w:r>
      <w:r>
        <w:rPr/>
        <w:t xml:space="preserve"> uvedená v rámci úpravy rozpočtu (§ 4) a rozpočtového provizoria (§ 13) v zákoně o rozpočtových pravidlech (zákon č. 250/2000 Sb.), odkazují právě na § 14 zákona o pravidlech rozpočtové odpovědnosti. Opatření by se tedy uplatnily v případě, že by dluh sektoru veřejných institucí dosáhl 55 % HDP. Současný dluh vládního sektoru k HDP je v ČR cca 41 % HDP.  </w:t>
      </w:r>
    </w:p>
    <w:p>
      <w:pPr>
        <w:pStyle w:val="Normal"/>
        <w:spacing w:before="0" w:after="120"/>
        <w:jc w:val="both"/>
        <w:rPr/>
      </w:pPr>
      <w:r>
        <w:rPr/>
        <w:t xml:space="preserve">Zákon stanoví, kdy se opatření podle § 14 neuplatní (viz § 15). </w:t>
      </w:r>
    </w:p>
    <w:p>
      <w:pPr>
        <w:pStyle w:val="Normal"/>
        <w:spacing w:lineRule="auto" w:line="276" w:beforeAutospacing="1" w:afterAutospacing="1"/>
        <w:rPr>
          <w:b/>
          <w:b/>
        </w:rPr>
      </w:pPr>
      <w:r>
        <w:rPr>
          <w:b/>
        </w:rPr>
        <w:t>Kalkulačka rozpočtové odpovědnosti MF (umístěna v aplikaci Monitor):</w:t>
      </w:r>
    </w:p>
    <w:p>
      <w:pPr>
        <w:pStyle w:val="Normal"/>
        <w:spacing w:lineRule="auto" w:line="276" w:beforeAutospacing="1" w:afterAutospacing="1"/>
        <w:rPr/>
      </w:pPr>
      <w:hyperlink r:id="rId10">
        <w:r>
          <w:rPr>
            <w:rStyle w:val="InternetLink"/>
          </w:rPr>
          <w:t>http://www.mfcr.cz/cs/aktualne/tiskove-zpravy/2017/mf-vytvorilo-pro-obce-kalkulacku-rozpoct-28166</w:t>
        </w:r>
      </w:hyperlink>
    </w:p>
    <w:p>
      <w:pPr>
        <w:pStyle w:val="NADPISSTI"/>
        <w:jc w:val="both"/>
        <w:rPr>
          <w:u w:val="single"/>
        </w:rPr>
      </w:pPr>
      <w:r>
        <w:rPr>
          <w:u w:val="single"/>
        </w:rPr>
        <w:t>Změna zákona č. 420/2004 Sb. o přezkoumávání hospodaření územních samosprávných celků a dobrovolných svazků obcí</w:t>
      </w:r>
    </w:p>
    <w:p>
      <w:pPr>
        <w:pStyle w:val="Novelizanbod"/>
        <w:keepLines/>
        <w:widowControl/>
        <w:numPr>
          <w:ilvl w:val="0"/>
          <w:numId w:val="0"/>
        </w:numPr>
        <w:tabs>
          <w:tab w:val="left" w:pos="851" w:leader="none"/>
        </w:tabs>
        <w:suppressAutoHyphens w:val="false"/>
        <w:spacing w:before="0" w:after="120"/>
        <w:textAlignment w:val="auto"/>
        <w:rPr/>
      </w:pPr>
      <w:r>
        <w:rPr/>
      </w:r>
    </w:p>
    <w:p>
      <w:pPr>
        <w:pStyle w:val="Novelizanbod"/>
        <w:keepLines/>
        <w:widowControl/>
        <w:numPr>
          <w:ilvl w:val="0"/>
          <w:numId w:val="0"/>
        </w:numPr>
        <w:tabs>
          <w:tab w:val="left" w:pos="851" w:leader="none"/>
        </w:tabs>
        <w:suppressAutoHyphens w:val="false"/>
        <w:spacing w:before="0" w:after="120"/>
        <w:textAlignment w:val="auto"/>
        <w:rPr/>
      </w:pPr>
      <w:r>
        <w:rPr/>
        <w:t xml:space="preserve">V § 2 (předmět přezkoumání) odst. 2 se doplňuje písm. i): </w:t>
      </w:r>
    </w:p>
    <w:p>
      <w:pPr>
        <w:pStyle w:val="Psmeno"/>
        <w:keepNext/>
        <w:shd w:val="clear" w:color="auto" w:fill="D9D9D9" w:themeFill="background1" w:themeFillShade="d9"/>
        <w:rPr/>
      </w:pPr>
      <w:r>
        <w:rPr>
          <w:b/>
        </w:rPr>
        <w:t>i) ověření poměru dluhu územního celku k průměru jeho příjmů za poslední 4 rozpočtové roky podle právního předpisu upravujícího rozpočtovou odpovědnost.</w:t>
      </w:r>
    </w:p>
    <w:p>
      <w:pPr>
        <w:pStyle w:val="Normal"/>
        <w:widowControl w:val="false"/>
        <w:spacing w:before="0" w:after="120"/>
        <w:jc w:val="both"/>
        <w:rPr/>
      </w:pPr>
      <w:r>
        <w:rPr/>
      </w:r>
    </w:p>
    <w:p>
      <w:pPr>
        <w:pStyle w:val="Normal"/>
        <w:widowControl w:val="false"/>
        <w:spacing w:before="0" w:after="120"/>
        <w:jc w:val="both"/>
        <w:rPr>
          <w:bCs/>
        </w:rPr>
      </w:pPr>
      <w:r>
        <w:rPr/>
        <w:t>V § 10 (</w:t>
      </w:r>
      <w:r>
        <w:rPr>
          <w:bCs/>
        </w:rPr>
        <w:t>Zpráva o výsledku přezkoumání hospodaření a její náležitosti) odst. 4 se doplňuje písm. c)</w:t>
      </w:r>
    </w:p>
    <w:p>
      <w:pPr>
        <w:pStyle w:val="Normal"/>
        <w:widowControl w:val="false"/>
        <w:shd w:val="clear" w:color="auto" w:fill="D9D9D9"/>
        <w:jc w:val="both"/>
        <w:rPr>
          <w:b/>
          <w:b/>
          <w:bCs/>
        </w:rPr>
      </w:pPr>
      <w:r>
        <w:rPr>
          <w:b/>
        </w:rPr>
        <w:t>c) výrok o tom, že dluh územního celku nepřekročil 60 % průměru jeho příjmů za poslední 4 rozpočtové roky; v opačném případě se uvede, o kolik jeho dluh překročil průměr jeho příjmů.</w:t>
      </w:r>
    </w:p>
    <w:p>
      <w:pPr>
        <w:pStyle w:val="Normal"/>
        <w:rPr>
          <w:b/>
          <w:b/>
          <w:smallCaps/>
          <w:u w:val="single"/>
        </w:rPr>
      </w:pPr>
      <w:r>
        <w:rPr>
          <w:b/>
          <w:smallCaps/>
          <w:u w:val="single"/>
        </w:rPr>
      </w:r>
    </w:p>
    <w:p>
      <w:pPr>
        <w:pStyle w:val="Normal"/>
        <w:jc w:val="center"/>
        <w:rPr>
          <w:b/>
          <w:b/>
          <w:smallCaps/>
          <w:u w:val="single"/>
        </w:rPr>
      </w:pPr>
      <w:r>
        <w:rPr>
          <w:b/>
          <w:smallCaps/>
          <w:u w:val="single"/>
        </w:rPr>
      </w:r>
    </w:p>
    <w:p>
      <w:pPr>
        <w:pStyle w:val="Normal"/>
        <w:jc w:val="center"/>
        <w:rPr>
          <w:b/>
          <w:b/>
          <w:u w:val="single"/>
        </w:rPr>
      </w:pPr>
      <w:r>
        <w:rPr>
          <w:b/>
          <w:smallCaps/>
          <w:u w:val="single"/>
        </w:rPr>
        <w:t>FINANCOVÁNÍ (</w:t>
      </w:r>
      <w:r>
        <w:rPr>
          <w:b/>
          <w:u w:val="single"/>
        </w:rPr>
        <w:t>tř. 8)</w:t>
      </w:r>
    </w:p>
    <w:p>
      <w:pPr>
        <w:pStyle w:val="Normal"/>
        <w:jc w:val="center"/>
        <w:rPr>
          <w:b/>
          <w:b/>
          <w:smallCaps/>
          <w:u w:val="single"/>
        </w:rPr>
      </w:pPr>
      <w:r>
        <w:rPr>
          <w:b/>
          <w:smallCaps/>
          <w:u w:val="single"/>
        </w:rPr>
      </w:r>
    </w:p>
    <w:p>
      <w:pPr>
        <w:pStyle w:val="Normal"/>
        <w:spacing w:before="0" w:after="120"/>
        <w:rPr>
          <w:u w:val="single"/>
        </w:rPr>
      </w:pPr>
      <w:r>
        <w:rPr>
          <w:u w:val="single"/>
        </w:rPr>
        <w:t xml:space="preserve">Rozpočtová skladba se používá pro tyto syntetické účty: </w:t>
      </w:r>
    </w:p>
    <w:p>
      <w:pPr>
        <w:pStyle w:val="Normal"/>
        <w:rPr/>
      </w:pPr>
      <w:r>
        <w:rPr/>
        <w:t>231 – Základní běžný účet ÚSC</w:t>
      </w:r>
    </w:p>
    <w:p>
      <w:pPr>
        <w:pStyle w:val="Normal"/>
        <w:rPr/>
      </w:pPr>
      <w:r>
        <w:rPr/>
        <w:t>236 – Běžné účty fondů ÚSC</w:t>
      </w:r>
    </w:p>
    <w:p>
      <w:pPr>
        <w:pStyle w:val="Normal"/>
        <w:rPr/>
      </w:pPr>
      <w:r>
        <w:rPr/>
        <w:t>261 – Pokladna (v režimu oddělených pokladen)</w:t>
      </w:r>
    </w:p>
    <w:p>
      <w:pPr>
        <w:pStyle w:val="Normal"/>
        <w:rPr>
          <w:i/>
          <w:i/>
        </w:rPr>
      </w:pPr>
      <w:r>
        <w:rPr>
          <w:i/>
        </w:rPr>
        <w:t>281 – Krátkodobé úvěry</w:t>
      </w:r>
    </w:p>
    <w:p>
      <w:pPr>
        <w:pStyle w:val="Normal"/>
        <w:rPr>
          <w:i/>
          <w:i/>
        </w:rPr>
      </w:pPr>
      <w:r>
        <w:rPr>
          <w:i/>
        </w:rPr>
        <w:t xml:space="preserve">451 – Dlouhodobé úvěry </w:t>
      </w:r>
    </w:p>
    <w:p>
      <w:pPr>
        <w:pStyle w:val="Normal"/>
        <w:jc w:val="both"/>
        <w:rPr>
          <w:b/>
          <w:b/>
        </w:rPr>
      </w:pPr>
      <w:r>
        <w:rPr>
          <w:b/>
        </w:rPr>
      </w:r>
    </w:p>
    <w:p>
      <w:pPr>
        <w:pStyle w:val="Normal"/>
        <w:spacing w:before="0" w:after="120"/>
        <w:jc w:val="both"/>
        <w:rPr/>
      </w:pPr>
      <w:r>
        <w:rPr/>
        <w:t>Termín</w:t>
      </w:r>
      <w:r>
        <w:rPr>
          <w:b/>
        </w:rPr>
        <w:t xml:space="preserve"> peněžní fond</w:t>
      </w:r>
      <w:r>
        <w:rPr/>
        <w:t xml:space="preserve"> je ve vyhlášce o rozpočtové skladbě používán pro účty, jejichž pohyby se třídí rozpočtovou skladbou (nejedná se tedy o peněžní fond ve smyslu účtu 236). Peněžním fondem se tak v dikci RS rozumí ZBÚ (231), účty fondů (236) i oddělené pokladny (261). Od roku 2016 se za peněžní fond nepovažují účty termínovaných vkladů (244, 068). Peněžní fond musí splňovat podmínku placení nebo výběrů na požádání.  </w:t>
      </w:r>
    </w:p>
    <w:p>
      <w:pPr>
        <w:pStyle w:val="Normal"/>
        <w:spacing w:before="0" w:after="60"/>
        <w:jc w:val="both"/>
        <w:rPr>
          <w:u w:val="single"/>
        </w:rPr>
      </w:pPr>
      <w:r>
        <w:rPr>
          <w:u w:val="single"/>
        </w:rPr>
        <w:t>Z náplně podsesk. 413:</w:t>
      </w:r>
    </w:p>
    <w:p>
      <w:pPr>
        <w:pStyle w:val="Normal"/>
        <w:shd w:val="clear" w:color="auto" w:fill="D9D9D9" w:themeFill="background1" w:themeFillShade="d9"/>
        <w:jc w:val="both"/>
        <w:rPr>
          <w:i/>
          <w:i/>
        </w:rPr>
      </w:pPr>
      <w:r>
        <w:rPr>
          <w:i/>
          <w:color w:val="000000"/>
        </w:rPr>
        <w:t xml:space="preserve">(3) </w:t>
      </w:r>
      <w:r>
        <w:rPr>
          <w:b/>
          <w:i/>
          <w:color w:val="000000"/>
        </w:rPr>
        <w:t>Peněžním fondem</w:t>
      </w:r>
      <w:r>
        <w:rPr>
          <w:i/>
          <w:color w:val="000000"/>
        </w:rPr>
        <w:t xml:space="preserve"> se rozumí nástroj pro shromažďování, ukládání a vydávání peněžních prostředků umožňující placení nebo výběry na požádání, jemuž právní předpis nebo jeho vlastník stanovil režim spočívající zejména v tom, z jakých zdrojů se naplňuje a na financování čeho se používá. …</w:t>
      </w:r>
    </w:p>
    <w:p>
      <w:pPr>
        <w:pStyle w:val="Normal"/>
        <w:jc w:val="both"/>
        <w:rPr>
          <w:i/>
          <w:i/>
          <w:u w:val="single"/>
        </w:rPr>
      </w:pPr>
      <w:r>
        <w:rPr>
          <w:i/>
          <w:u w:val="single"/>
        </w:rPr>
      </w:r>
    </w:p>
    <w:p>
      <w:pPr>
        <w:pStyle w:val="Normal"/>
        <w:shd w:val="clear" w:color="auto" w:fill="D9D9D9" w:themeFill="background1" w:themeFillShade="d9"/>
        <w:jc w:val="both"/>
        <w:rPr>
          <w:i/>
          <w:i/>
        </w:rPr>
      </w:pPr>
      <w:r>
        <w:rPr>
          <w:i/>
        </w:rPr>
        <w:t xml:space="preserve"> </w:t>
      </w:r>
      <w:r>
        <w:rPr>
          <w:i/>
        </w:rPr>
        <w:t xml:space="preserve">(4) </w:t>
      </w:r>
      <w:r>
        <w:rPr>
          <w:i/>
          <w:color w:val="000000"/>
        </w:rPr>
        <w:t xml:space="preserve">Na položky podseskupení 413 patří příjmy z převodů mezi </w:t>
      </w:r>
      <w:r>
        <w:rPr>
          <w:b/>
          <w:i/>
          <w:color w:val="000000"/>
        </w:rPr>
        <w:t>peněžními fondy</w:t>
      </w:r>
      <w:r>
        <w:rPr>
          <w:i/>
          <w:color w:val="000000"/>
        </w:rPr>
        <w:t xml:space="preserve"> téže organizace bez ohledu na to, zda se převod uskutečňuje mezi bankovními účty, bankovním účtem a oddělenou pokladnou (odstavec 1 náplně položky 4138) nebo mezi oddělenými pokladnami. Patří na ně i příjmy z převodů uvnitř peněžních fondů s výjimkou převodů mezi účty státního rozpočtu a převodů mezi bankovním účtem a vyúčtovávanou pokladnou.</w:t>
      </w:r>
    </w:p>
    <w:p>
      <w:pPr>
        <w:pStyle w:val="Normal"/>
        <w:jc w:val="both"/>
        <w:rPr>
          <w:i/>
          <w:i/>
        </w:rPr>
      </w:pPr>
      <w:r>
        <w:rPr>
          <w:i/>
        </w:rPr>
      </w:r>
    </w:p>
    <w:p>
      <w:pPr>
        <w:pStyle w:val="Normal"/>
        <w:jc w:val="both"/>
        <w:rPr>
          <w:b/>
          <w:b/>
        </w:rPr>
      </w:pPr>
      <w:r>
        <w:rPr>
          <w:b/>
        </w:rPr>
      </w:r>
    </w:p>
    <w:p>
      <w:pPr>
        <w:pStyle w:val="Normal"/>
        <w:jc w:val="both"/>
        <w:rPr/>
      </w:pPr>
      <w:r>
        <w:rPr>
          <w:b/>
        </w:rPr>
        <w:t xml:space="preserve">Základní rovnice rozpočtové skladby, </w:t>
      </w:r>
      <w:r>
        <w:rPr/>
        <w:t>na které je postaven systém rozpočtové skladby:</w:t>
      </w:r>
    </w:p>
    <w:p>
      <w:pPr>
        <w:pStyle w:val="Normal"/>
        <w:jc w:val="both"/>
        <w:rPr/>
      </w:pPr>
      <w:r>
        <w:rPr/>
      </w:r>
    </w:p>
    <w:tbl>
      <w:tblPr>
        <w:tblW w:w="3940" w:type="dxa"/>
        <w:jc w:val="center"/>
        <w:tblInd w:w="0" w:type="dxa"/>
        <w:tblBorders>
          <w:top w:val="single" w:sz="4" w:space="0" w:color="333333"/>
          <w:left w:val="single" w:sz="4" w:space="0" w:color="333333"/>
          <w:right w:val="single" w:sz="4" w:space="0" w:color="333333"/>
          <w:insideV w:val="single" w:sz="4" w:space="0" w:color="333333"/>
        </w:tblBorders>
        <w:tblCellMar>
          <w:top w:w="0" w:type="dxa"/>
          <w:left w:w="70" w:type="dxa"/>
          <w:bottom w:w="0" w:type="dxa"/>
          <w:right w:w="70" w:type="dxa"/>
        </w:tblCellMar>
        <w:tblLook w:val="04a0" w:noVBand="1" w:noHBand="0" w:lastColumn="0" w:firstColumn="1" w:lastRow="0" w:firstRow="1"/>
      </w:tblPr>
      <w:tblGrid>
        <w:gridCol w:w="3940"/>
      </w:tblGrid>
      <w:tr>
        <w:trPr>
          <w:trHeight w:val="300" w:hRule="atLeast"/>
        </w:trPr>
        <w:tc>
          <w:tcPr>
            <w:tcW w:w="3940" w:type="dxa"/>
            <w:tcBorders>
              <w:top w:val="single" w:sz="4" w:space="0" w:color="333333"/>
              <w:left w:val="single" w:sz="4" w:space="0" w:color="333333"/>
              <w:right w:val="single" w:sz="4" w:space="0" w:color="333333"/>
              <w:insideV w:val="single" w:sz="4" w:space="0" w:color="333333"/>
            </w:tcBorders>
            <w:shd w:color="auto" w:fill="auto" w:val="clear"/>
            <w:tcMar>
              <w:left w:w="70" w:type="dxa"/>
            </w:tcMar>
            <w:vAlign w:val="center"/>
          </w:tcPr>
          <w:p>
            <w:pPr>
              <w:pStyle w:val="Normal"/>
              <w:jc w:val="center"/>
              <w:rPr>
                <w:color w:val="000000"/>
              </w:rPr>
            </w:pPr>
            <w:r>
              <w:rPr>
                <w:color w:val="000000"/>
              </w:rPr>
              <w:t xml:space="preserve">Příjmy (tř. 1 - 4) – výdaje (tř. 5 - 6) </w:t>
            </w:r>
          </w:p>
        </w:tc>
      </w:tr>
      <w:tr>
        <w:trPr>
          <w:trHeight w:val="300" w:hRule="atLeast"/>
        </w:trPr>
        <w:tc>
          <w:tcPr>
            <w:tcW w:w="3940" w:type="dxa"/>
            <w:tcBorders>
              <w:left w:val="single" w:sz="4" w:space="0" w:color="333333"/>
              <w:right w:val="single" w:sz="4" w:space="0" w:color="333333"/>
              <w:insideV w:val="single" w:sz="4" w:space="0" w:color="333333"/>
            </w:tcBorders>
            <w:shd w:color="auto" w:fill="auto" w:val="clear"/>
            <w:tcMar>
              <w:left w:w="70" w:type="dxa"/>
            </w:tcMar>
            <w:vAlign w:val="center"/>
          </w:tcPr>
          <w:p>
            <w:pPr>
              <w:pStyle w:val="Normal"/>
              <w:jc w:val="center"/>
              <w:rPr>
                <w:color w:val="000000"/>
              </w:rPr>
            </w:pPr>
            <w:r>
              <w:rPr>
                <w:color w:val="000000"/>
              </w:rPr>
              <w:t>=</w:t>
            </w:r>
          </w:p>
        </w:tc>
      </w:tr>
      <w:tr>
        <w:trPr>
          <w:trHeight w:val="300" w:hRule="atLeast"/>
        </w:trPr>
        <w:tc>
          <w:tcPr>
            <w:tcW w:w="3940" w:type="dxa"/>
            <w:tcBorders>
              <w:left w:val="single" w:sz="4" w:space="0" w:color="333333"/>
              <w:right w:val="single" w:sz="4" w:space="0" w:color="333333"/>
              <w:insideV w:val="single" w:sz="4" w:space="0" w:color="333333"/>
            </w:tcBorders>
            <w:shd w:color="auto" w:fill="auto" w:val="clear"/>
            <w:tcMar>
              <w:left w:w="70" w:type="dxa"/>
            </w:tcMar>
            <w:vAlign w:val="center"/>
          </w:tcPr>
          <w:p>
            <w:pPr>
              <w:pStyle w:val="Normal"/>
              <w:jc w:val="center"/>
              <w:rPr>
                <w:color w:val="000000"/>
              </w:rPr>
            </w:pPr>
            <w:r>
              <w:rPr>
                <w:color w:val="000000"/>
              </w:rPr>
              <w:t xml:space="preserve">Rozdíl mezi příjmy a výdaji </w:t>
            </w:r>
          </w:p>
        </w:tc>
      </w:tr>
      <w:tr>
        <w:trPr>
          <w:trHeight w:val="300" w:hRule="atLeast"/>
        </w:trPr>
        <w:tc>
          <w:tcPr>
            <w:tcW w:w="3940" w:type="dxa"/>
            <w:tcBorders>
              <w:left w:val="single" w:sz="4" w:space="0" w:color="333333"/>
              <w:right w:val="single" w:sz="4" w:space="0" w:color="333333"/>
              <w:insideV w:val="single" w:sz="4" w:space="0" w:color="333333"/>
            </w:tcBorders>
            <w:shd w:color="auto" w:fill="auto" w:val="clear"/>
            <w:tcMar>
              <w:left w:w="70" w:type="dxa"/>
            </w:tcMar>
            <w:vAlign w:val="center"/>
          </w:tcPr>
          <w:p>
            <w:pPr>
              <w:pStyle w:val="Normal"/>
              <w:jc w:val="center"/>
              <w:rPr>
                <w:i/>
                <w:i/>
                <w:color w:val="000000"/>
              </w:rPr>
            </w:pPr>
            <w:r>
              <w:rPr>
                <w:i/>
                <w:color w:val="000000"/>
              </w:rPr>
              <w:t>(+ přebytek/ - schodek)</w:t>
            </w:r>
          </w:p>
        </w:tc>
      </w:tr>
      <w:tr>
        <w:trPr>
          <w:trHeight w:val="300" w:hRule="atLeast"/>
        </w:trPr>
        <w:tc>
          <w:tcPr>
            <w:tcW w:w="3940" w:type="dxa"/>
            <w:tcBorders>
              <w:left w:val="single" w:sz="4" w:space="0" w:color="333333"/>
              <w:right w:val="single" w:sz="4" w:space="0" w:color="333333"/>
              <w:insideV w:val="single" w:sz="4" w:space="0" w:color="333333"/>
            </w:tcBorders>
            <w:shd w:color="auto" w:fill="auto" w:val="clear"/>
            <w:tcMar>
              <w:left w:w="70" w:type="dxa"/>
            </w:tcMar>
            <w:vAlign w:val="center"/>
          </w:tcPr>
          <w:p>
            <w:pPr>
              <w:pStyle w:val="Normal"/>
              <w:jc w:val="center"/>
              <w:rPr>
                <w:color w:val="000000"/>
              </w:rPr>
            </w:pPr>
            <w:r>
              <w:rPr>
                <w:color w:val="000000"/>
              </w:rPr>
              <w:t>=</w:t>
            </w:r>
          </w:p>
        </w:tc>
      </w:tr>
      <w:tr>
        <w:trPr>
          <w:trHeight w:val="300" w:hRule="atLeast"/>
        </w:trPr>
        <w:tc>
          <w:tcPr>
            <w:tcW w:w="3940"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center"/>
              <w:rPr>
                <w:b/>
                <w:b/>
                <w:color w:val="000000"/>
              </w:rPr>
            </w:pPr>
            <w:r>
              <w:rPr>
                <w:b/>
                <w:color w:val="000000"/>
              </w:rPr>
              <w:t>+/- Financování (tř. 8)</w:t>
            </w:r>
          </w:p>
        </w:tc>
      </w:tr>
    </w:tbl>
    <w:p>
      <w:pPr>
        <w:pStyle w:val="Normal"/>
        <w:rPr>
          <w:b/>
          <w:b/>
          <w:i/>
          <w:i/>
        </w:rPr>
      </w:pPr>
      <w:r>
        <w:rPr>
          <w:b/>
          <w:i/>
        </w:rPr>
      </w:r>
    </w:p>
    <w:p>
      <w:pPr>
        <w:pStyle w:val="Normal"/>
        <w:rPr>
          <w:b/>
          <w:b/>
          <w:i/>
          <w:i/>
        </w:rPr>
      </w:pPr>
      <w:r>
        <w:rPr>
          <w:b/>
          <w:i/>
        </w:rPr>
      </w:r>
    </w:p>
    <w:p>
      <w:pPr>
        <w:pStyle w:val="Normal"/>
        <w:spacing w:before="0" w:after="120"/>
        <w:jc w:val="both"/>
        <w:rPr/>
      </w:pPr>
      <w:r>
        <w:rPr/>
        <w:t xml:space="preserve">Základní rovnice RS platí vždy, výňatek z části IV. výkazu FIN 2-12 M za část roku: </w:t>
      </w:r>
    </w:p>
    <w:p>
      <w:pPr>
        <w:pStyle w:val="Normal"/>
        <w:rPr>
          <w:b/>
          <w:b/>
          <w:i/>
          <w:i/>
        </w:rPr>
      </w:pPr>
      <w:r>
        <w:rPr/>
        <w:drawing>
          <wp:inline distT="0" distB="0" distL="19050" distR="0">
            <wp:extent cx="5760720" cy="496570"/>
            <wp:effectExtent l="0" t="0" r="0" b="0"/>
            <wp:docPr id="4"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0" descr=""/>
                    <pic:cNvPicPr>
                      <a:picLocks noChangeAspect="1" noChangeArrowheads="1"/>
                    </pic:cNvPicPr>
                  </pic:nvPicPr>
                  <pic:blipFill>
                    <a:blip r:embed="rId11"/>
                    <a:stretch>
                      <a:fillRect/>
                    </a:stretch>
                  </pic:blipFill>
                  <pic:spPr bwMode="auto">
                    <a:xfrm>
                      <a:off x="0" y="0"/>
                      <a:ext cx="5760720" cy="496570"/>
                    </a:xfrm>
                    <a:prstGeom prst="rect">
                      <a:avLst/>
                    </a:prstGeom>
                  </pic:spPr>
                </pic:pic>
              </a:graphicData>
            </a:graphic>
          </wp:inline>
        </w:drawing>
      </w:r>
    </w:p>
    <w:p>
      <w:pPr>
        <w:pStyle w:val="Normal"/>
        <w:rPr>
          <w:b/>
          <w:b/>
          <w:i/>
          <w:i/>
        </w:rPr>
      </w:pPr>
      <w:r>
        <w:rPr/>
        <w:drawing>
          <wp:inline distT="0" distB="0" distL="19050" distR="0">
            <wp:extent cx="5760720" cy="171450"/>
            <wp:effectExtent l="0" t="0" r="0" b="0"/>
            <wp:docPr id="5"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4" descr=""/>
                    <pic:cNvPicPr>
                      <a:picLocks noChangeAspect="1" noChangeArrowheads="1"/>
                    </pic:cNvPicPr>
                  </pic:nvPicPr>
                  <pic:blipFill>
                    <a:blip r:embed="rId12"/>
                    <a:stretch>
                      <a:fillRect/>
                    </a:stretch>
                  </pic:blipFill>
                  <pic:spPr bwMode="auto">
                    <a:xfrm>
                      <a:off x="0" y="0"/>
                      <a:ext cx="5760720" cy="171450"/>
                    </a:xfrm>
                    <a:prstGeom prst="rect">
                      <a:avLst/>
                    </a:prstGeom>
                  </pic:spPr>
                </pic:pic>
              </a:graphicData>
            </a:graphic>
          </wp:inline>
        </w:drawing>
      </w:r>
    </w:p>
    <w:p>
      <w:pPr>
        <w:pStyle w:val="Normal"/>
        <w:rPr>
          <w:b/>
          <w:b/>
          <w:i/>
          <w:i/>
        </w:rPr>
      </w:pPr>
      <w:r>
        <w:rPr/>
        <w:drawing>
          <wp:inline distT="0" distB="0" distL="19050" distR="0">
            <wp:extent cx="5760720" cy="11823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3"/>
                    <a:stretch>
                      <a:fillRect/>
                    </a:stretch>
                  </pic:blipFill>
                  <pic:spPr bwMode="auto">
                    <a:xfrm>
                      <a:off x="0" y="0"/>
                      <a:ext cx="5760720" cy="118237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2584450</wp:posOffset>
                </wp:positionH>
                <wp:positionV relativeFrom="paragraph">
                  <wp:posOffset>208280</wp:posOffset>
                </wp:positionV>
                <wp:extent cx="2493645" cy="607060"/>
                <wp:effectExtent l="17145" t="17780" r="13970" b="13970"/>
                <wp:wrapNone/>
                <wp:docPr id="6" name="Rectangle 2"/>
                <a:graphic xmlns:a="http://schemas.openxmlformats.org/drawingml/2006/main">
                  <a:graphicData uri="http://schemas.microsoft.com/office/word/2010/wordprocessingShape">
                    <wps:wsp>
                      <wps:cNvSpPr/>
                      <wps:spPr>
                        <a:xfrm>
                          <a:off x="0" y="0"/>
                          <a:ext cx="2493000" cy="606600"/>
                        </a:xfrm>
                        <a:prstGeom prst="rect">
                          <a:avLst/>
                        </a:prstGeom>
                        <a:noFill/>
                        <a:ln w="19080">
                          <a:solidFill>
                            <a:srgbClr val="000000"/>
                          </a:solidFill>
                          <a:miter/>
                        </a:ln>
                      </wps:spPr>
                      <wps:style>
                        <a:lnRef idx="0"/>
                        <a:fillRef idx="0"/>
                        <a:effectRef idx="0"/>
                        <a:fontRef idx="minor"/>
                      </wps:style>
                      <wps:bodyPr/>
                    </wps:wsp>
                  </a:graphicData>
                </a:graphic>
              </wp:anchor>
            </w:drawing>
          </mc:Choice>
          <mc:Fallback>
            <w:pict>
              <v:rect id="shape_0" ID="Rectangle 2" stroked="t" style="position:absolute;margin-left:203.5pt;margin-top:16.4pt;width:196.25pt;height:47.7pt">
                <w10:wrap type="none"/>
                <v:fill o:detectmouseclick="t" on="false"/>
                <v:stroke color="black" weight="19080" joinstyle="miter" endcap="flat"/>
              </v:rect>
            </w:pict>
          </mc:Fallback>
        </mc:AlternateContent>
      </w:r>
    </w:p>
    <w:p>
      <w:pPr>
        <w:pStyle w:val="Normal"/>
        <w:spacing w:before="120" w:after="0"/>
        <w:jc w:val="both"/>
        <w:rPr/>
      </w:pPr>
      <w:r>
        <w:rPr/>
        <w:t>Třída 8 (financování) vyjadřuje, jak je naloženo s přebytkem rozpočtu nebo jak je kryt schodek rozpočtu.</w:t>
      </w:r>
    </w:p>
    <w:p>
      <w:pPr>
        <w:pStyle w:val="Normal"/>
        <w:rPr>
          <w:i/>
          <w:i/>
        </w:rPr>
      </w:pPr>
      <w:r>
        <w:rPr>
          <w:i/>
        </w:rPr>
      </w:r>
    </w:p>
    <w:p>
      <w:pPr>
        <w:pStyle w:val="Normal"/>
        <w:spacing w:before="0" w:after="120"/>
        <w:rPr>
          <w:i/>
          <w:i/>
        </w:rPr>
      </w:pPr>
      <w:r>
        <w:rPr>
          <w:i/>
        </w:rPr>
        <w:t>Klasifikace rozpočtu - přebytkový / schodkový / vyrovnaný:</w:t>
      </w:r>
    </w:p>
    <w:tbl>
      <w:tblPr>
        <w:tblW w:w="8800" w:type="dxa"/>
        <w:jc w:val="left"/>
        <w:tblInd w:w="56" w:type="dxa"/>
        <w:tblBorders/>
        <w:tblCellMar>
          <w:top w:w="0" w:type="dxa"/>
          <w:left w:w="70" w:type="dxa"/>
          <w:bottom w:w="0" w:type="dxa"/>
          <w:right w:w="70" w:type="dxa"/>
        </w:tblCellMar>
        <w:tblLook w:val="04a0" w:noVBand="1" w:noHBand="0" w:lastColumn="0" w:firstColumn="1" w:lastRow="0" w:firstRow="1"/>
      </w:tblPr>
      <w:tblGrid>
        <w:gridCol w:w="1959"/>
        <w:gridCol w:w="681"/>
        <w:gridCol w:w="440"/>
        <w:gridCol w:w="1959"/>
        <w:gridCol w:w="681"/>
        <w:gridCol w:w="440"/>
        <w:gridCol w:w="1959"/>
        <w:gridCol w:w="680"/>
      </w:tblGrid>
      <w:tr>
        <w:trPr>
          <w:trHeight w:val="300" w:hRule="atLeast"/>
        </w:trPr>
        <w:tc>
          <w:tcPr>
            <w:tcW w:w="1959" w:type="dxa"/>
            <w:tcBorders/>
            <w:shd w:color="auto" w:fill="auto" w:val="clear"/>
            <w:vAlign w:val="center"/>
          </w:tcPr>
          <w:p>
            <w:pPr>
              <w:pStyle w:val="Normal"/>
              <w:rPr>
                <w:b/>
                <w:b/>
                <w:bCs/>
                <w:color w:val="000000"/>
              </w:rPr>
            </w:pPr>
            <w:r>
              <w:rPr>
                <w:b/>
                <w:bCs/>
                <w:color w:val="000000"/>
              </w:rPr>
              <w:t>Var. I</w:t>
            </w:r>
          </w:p>
        </w:tc>
        <w:tc>
          <w:tcPr>
            <w:tcW w:w="681" w:type="dxa"/>
            <w:tcBorders/>
            <w:shd w:color="auto" w:fill="auto" w:val="clear"/>
            <w:vAlign w:val="center"/>
          </w:tcPr>
          <w:p>
            <w:pPr>
              <w:pStyle w:val="Normal"/>
              <w:rPr>
                <w:b/>
                <w:b/>
                <w:color w:val="000000"/>
              </w:rPr>
            </w:pPr>
            <w:r>
              <w:rPr>
                <w:b/>
                <w:color w:val="000000"/>
              </w:rPr>
            </w:r>
          </w:p>
        </w:tc>
        <w:tc>
          <w:tcPr>
            <w:tcW w:w="440" w:type="dxa"/>
            <w:tcBorders/>
            <w:shd w:color="auto" w:fill="auto" w:val="clear"/>
            <w:vAlign w:val="center"/>
          </w:tcPr>
          <w:p>
            <w:pPr>
              <w:pStyle w:val="Normal"/>
              <w:rPr>
                <w:b/>
                <w:b/>
                <w:color w:val="000000"/>
              </w:rPr>
            </w:pPr>
            <w:r>
              <w:rPr>
                <w:b/>
                <w:color w:val="000000"/>
              </w:rPr>
            </w:r>
          </w:p>
        </w:tc>
        <w:tc>
          <w:tcPr>
            <w:tcW w:w="1959" w:type="dxa"/>
            <w:tcBorders/>
            <w:shd w:color="auto" w:fill="auto" w:val="clear"/>
            <w:vAlign w:val="center"/>
          </w:tcPr>
          <w:p>
            <w:pPr>
              <w:pStyle w:val="Normal"/>
              <w:rPr>
                <w:b/>
                <w:b/>
                <w:bCs/>
                <w:color w:val="000000"/>
              </w:rPr>
            </w:pPr>
            <w:r>
              <w:rPr>
                <w:b/>
                <w:bCs/>
                <w:color w:val="000000"/>
              </w:rPr>
              <w:t>Var. II</w:t>
            </w:r>
          </w:p>
        </w:tc>
        <w:tc>
          <w:tcPr>
            <w:tcW w:w="681" w:type="dxa"/>
            <w:tcBorders/>
            <w:shd w:color="auto" w:fill="auto" w:val="clear"/>
            <w:vAlign w:val="center"/>
          </w:tcPr>
          <w:p>
            <w:pPr>
              <w:pStyle w:val="Normal"/>
              <w:rPr>
                <w:b/>
                <w:b/>
                <w:color w:val="000000"/>
              </w:rPr>
            </w:pPr>
            <w:r>
              <w:rPr>
                <w:b/>
                <w:color w:val="000000"/>
              </w:rPr>
            </w:r>
          </w:p>
        </w:tc>
        <w:tc>
          <w:tcPr>
            <w:tcW w:w="440" w:type="dxa"/>
            <w:tcBorders/>
            <w:shd w:color="auto" w:fill="auto" w:val="clear"/>
            <w:vAlign w:val="center"/>
          </w:tcPr>
          <w:p>
            <w:pPr>
              <w:pStyle w:val="Normal"/>
              <w:rPr>
                <w:b/>
                <w:b/>
                <w:color w:val="000000"/>
              </w:rPr>
            </w:pPr>
            <w:r>
              <w:rPr>
                <w:b/>
                <w:color w:val="000000"/>
              </w:rPr>
            </w:r>
          </w:p>
        </w:tc>
        <w:tc>
          <w:tcPr>
            <w:tcW w:w="1959" w:type="dxa"/>
            <w:tcBorders/>
            <w:shd w:color="auto" w:fill="auto" w:val="clear"/>
            <w:vAlign w:val="center"/>
          </w:tcPr>
          <w:p>
            <w:pPr>
              <w:pStyle w:val="Normal"/>
              <w:rPr>
                <w:b/>
                <w:b/>
                <w:bCs/>
                <w:color w:val="000000"/>
              </w:rPr>
            </w:pPr>
            <w:r>
              <w:rPr>
                <w:b/>
                <w:bCs/>
                <w:color w:val="000000"/>
              </w:rPr>
              <w:t>Var. III</w:t>
            </w:r>
          </w:p>
        </w:tc>
        <w:tc>
          <w:tcPr>
            <w:tcW w:w="680" w:type="dxa"/>
            <w:tcBorders/>
            <w:shd w:color="auto" w:fill="auto" w:val="clear"/>
            <w:vAlign w:val="center"/>
          </w:tcPr>
          <w:p>
            <w:pPr>
              <w:pStyle w:val="Normal"/>
              <w:rPr>
                <w:b/>
                <w:b/>
                <w:i/>
                <w:i/>
                <w:color w:val="000000"/>
              </w:rPr>
            </w:pPr>
            <w:r>
              <w:rPr>
                <w:b/>
                <w:i/>
                <w:color w:val="000000"/>
              </w:rPr>
            </w:r>
          </w:p>
        </w:tc>
      </w:tr>
      <w:tr>
        <w:trPr>
          <w:trHeight w:val="300" w:hRule="atLeast"/>
        </w:trPr>
        <w:tc>
          <w:tcPr>
            <w:tcW w:w="195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Příjmy (tř. 1-4)</w:t>
            </w:r>
          </w:p>
        </w:tc>
        <w:tc>
          <w:tcPr>
            <w:tcW w:w="681" w:type="dxa"/>
            <w:tcBorders>
              <w:top w:val="single" w:sz="4" w:space="0" w:color="00000A"/>
              <w:right w:val="single" w:sz="4" w:space="0" w:color="00000A"/>
              <w:insideV w:val="single" w:sz="4" w:space="0" w:color="00000A"/>
            </w:tcBorders>
            <w:shd w:color="auto" w:fill="auto" w:val="clear"/>
            <w:vAlign w:val="center"/>
          </w:tcPr>
          <w:p>
            <w:pPr>
              <w:pStyle w:val="Normal"/>
              <w:jc w:val="right"/>
              <w:rPr>
                <w:color w:val="000000"/>
              </w:rPr>
            </w:pPr>
            <w:r>
              <w:rPr>
                <w:color w:val="000000"/>
              </w:rPr>
              <w:t>20</w:t>
            </w:r>
          </w:p>
        </w:tc>
        <w:tc>
          <w:tcPr>
            <w:tcW w:w="440" w:type="dxa"/>
            <w:tcBorders/>
            <w:shd w:color="auto" w:fill="auto" w:val="clear"/>
            <w:vAlign w:val="center"/>
          </w:tcPr>
          <w:p>
            <w:pPr>
              <w:pStyle w:val="Normal"/>
              <w:rPr>
                <w:color w:val="000000"/>
              </w:rPr>
            </w:pPr>
            <w:r>
              <w:rPr>
                <w:color w:val="000000"/>
              </w:rPr>
            </w:r>
          </w:p>
        </w:tc>
        <w:tc>
          <w:tcPr>
            <w:tcW w:w="195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Příjmy (tř. 1-4)</w:t>
            </w:r>
          </w:p>
        </w:tc>
        <w:tc>
          <w:tcPr>
            <w:tcW w:w="681" w:type="dxa"/>
            <w:tcBorders>
              <w:top w:val="single" w:sz="4" w:space="0" w:color="00000A"/>
              <w:right w:val="single" w:sz="4" w:space="0" w:color="00000A"/>
              <w:insideV w:val="single" w:sz="4" w:space="0" w:color="00000A"/>
            </w:tcBorders>
            <w:shd w:color="auto" w:fill="auto" w:val="clear"/>
            <w:vAlign w:val="center"/>
          </w:tcPr>
          <w:p>
            <w:pPr>
              <w:pStyle w:val="Normal"/>
              <w:jc w:val="right"/>
              <w:rPr>
                <w:color w:val="000000"/>
              </w:rPr>
            </w:pPr>
            <w:r>
              <w:rPr>
                <w:color w:val="000000"/>
              </w:rPr>
              <w:t>18</w:t>
            </w:r>
          </w:p>
        </w:tc>
        <w:tc>
          <w:tcPr>
            <w:tcW w:w="440" w:type="dxa"/>
            <w:tcBorders/>
            <w:shd w:color="auto" w:fill="auto" w:val="clear"/>
            <w:vAlign w:val="center"/>
          </w:tcPr>
          <w:p>
            <w:pPr>
              <w:pStyle w:val="Normal"/>
              <w:rPr>
                <w:color w:val="000000"/>
              </w:rPr>
            </w:pPr>
            <w:r>
              <w:rPr>
                <w:color w:val="000000"/>
              </w:rPr>
            </w:r>
          </w:p>
        </w:tc>
        <w:tc>
          <w:tcPr>
            <w:tcW w:w="1959"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Příjmy (tř. 1-4)</w:t>
            </w:r>
          </w:p>
        </w:tc>
        <w:tc>
          <w:tcPr>
            <w:tcW w:w="680" w:type="dxa"/>
            <w:tcBorders>
              <w:top w:val="single" w:sz="4" w:space="0" w:color="00000A"/>
              <w:right w:val="single" w:sz="4" w:space="0" w:color="00000A"/>
              <w:insideV w:val="single" w:sz="4" w:space="0" w:color="00000A"/>
            </w:tcBorders>
            <w:shd w:color="auto" w:fill="auto" w:val="clear"/>
            <w:vAlign w:val="center"/>
          </w:tcPr>
          <w:p>
            <w:pPr>
              <w:pStyle w:val="Normal"/>
              <w:jc w:val="right"/>
              <w:rPr>
                <w:color w:val="000000"/>
              </w:rPr>
            </w:pPr>
            <w:r>
              <w:rPr>
                <w:color w:val="000000"/>
              </w:rPr>
              <w:t>20</w:t>
            </w:r>
          </w:p>
        </w:tc>
      </w:tr>
      <w:tr>
        <w:trPr>
          <w:trHeight w:val="300" w:hRule="atLeast"/>
        </w:trPr>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Výdaje (tř. 5-6)</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17</w:t>
            </w:r>
          </w:p>
        </w:tc>
        <w:tc>
          <w:tcPr>
            <w:tcW w:w="440" w:type="dxa"/>
            <w:tcBorders/>
            <w:shd w:color="auto" w:fill="auto" w:val="clear"/>
            <w:vAlign w:val="center"/>
          </w:tcPr>
          <w:p>
            <w:pPr>
              <w:pStyle w:val="Normal"/>
              <w:rPr>
                <w:color w:val="000000"/>
              </w:rPr>
            </w:pPr>
            <w:r>
              <w:rPr>
                <w:color w:val="000000"/>
              </w:rPr>
            </w:r>
          </w:p>
        </w:tc>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Výdaje (tř. 5-6)</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w:t>
            </w:r>
          </w:p>
        </w:tc>
        <w:tc>
          <w:tcPr>
            <w:tcW w:w="440" w:type="dxa"/>
            <w:tcBorders/>
            <w:shd w:color="auto" w:fill="auto" w:val="clear"/>
            <w:vAlign w:val="center"/>
          </w:tcPr>
          <w:p>
            <w:pPr>
              <w:pStyle w:val="Normal"/>
              <w:rPr>
                <w:color w:val="000000"/>
              </w:rPr>
            </w:pPr>
            <w:r>
              <w:rPr>
                <w:color w:val="000000"/>
              </w:rPr>
            </w:r>
          </w:p>
        </w:tc>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Výdaje (tř. 5-6)</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w:t>
            </w:r>
          </w:p>
        </w:tc>
      </w:tr>
      <w:tr>
        <w:trPr>
          <w:trHeight w:val="300" w:hRule="atLeast"/>
        </w:trPr>
        <w:tc>
          <w:tcPr>
            <w:tcW w:w="1959" w:type="dxa"/>
            <w:tcBorders>
              <w:left w:val="single" w:sz="4" w:space="0" w:color="00000A"/>
              <w:right w:val="single" w:sz="4" w:space="0" w:color="00000A"/>
              <w:insideV w:val="single" w:sz="4" w:space="0" w:color="00000A"/>
            </w:tcBorders>
            <w:shd w:color="auto" w:fill="auto" w:val="clear"/>
            <w:tcMar>
              <w:left w:w="65" w:type="dxa"/>
            </w:tcMar>
            <w:vAlign w:val="center"/>
          </w:tcPr>
          <w:p>
            <w:pPr>
              <w:pStyle w:val="Normal"/>
              <w:rPr>
                <w:b/>
                <w:b/>
                <w:color w:val="000000"/>
              </w:rPr>
            </w:pPr>
            <w:r>
              <w:rPr>
                <w:b/>
                <w:color w:val="000000"/>
              </w:rPr>
              <w:t>Saldo</w:t>
            </w:r>
          </w:p>
        </w:tc>
        <w:tc>
          <w:tcPr>
            <w:tcW w:w="681" w:type="dxa"/>
            <w:tcBorders>
              <w:right w:val="single" w:sz="4" w:space="0" w:color="00000A"/>
              <w:insideV w:val="single" w:sz="4" w:space="0" w:color="00000A"/>
            </w:tcBorders>
            <w:shd w:color="auto" w:fill="auto" w:val="clear"/>
            <w:vAlign w:val="center"/>
          </w:tcPr>
          <w:p>
            <w:pPr>
              <w:pStyle w:val="Normal"/>
              <w:jc w:val="right"/>
              <w:rPr>
                <w:b/>
                <w:b/>
                <w:color w:val="000000"/>
              </w:rPr>
            </w:pPr>
            <w:r>
              <w:rPr>
                <w:b/>
                <w:color w:val="000000"/>
              </w:rPr>
              <w:t>3</w:t>
            </w:r>
          </w:p>
        </w:tc>
        <w:tc>
          <w:tcPr>
            <w:tcW w:w="440" w:type="dxa"/>
            <w:tcBorders/>
            <w:shd w:color="auto" w:fill="auto" w:val="clear"/>
            <w:vAlign w:val="center"/>
          </w:tcPr>
          <w:p>
            <w:pPr>
              <w:pStyle w:val="Normal"/>
              <w:rPr>
                <w:b/>
                <w:b/>
                <w:color w:val="000000"/>
              </w:rPr>
            </w:pPr>
            <w:r>
              <w:rPr>
                <w:b/>
                <w:color w:val="000000"/>
              </w:rPr>
            </w:r>
          </w:p>
        </w:tc>
        <w:tc>
          <w:tcPr>
            <w:tcW w:w="1959" w:type="dxa"/>
            <w:tcBorders>
              <w:left w:val="single" w:sz="4" w:space="0" w:color="00000A"/>
              <w:right w:val="single" w:sz="4" w:space="0" w:color="00000A"/>
              <w:insideV w:val="single" w:sz="4" w:space="0" w:color="00000A"/>
            </w:tcBorders>
            <w:shd w:color="auto" w:fill="auto" w:val="clear"/>
            <w:tcMar>
              <w:left w:w="65" w:type="dxa"/>
            </w:tcMar>
            <w:vAlign w:val="center"/>
          </w:tcPr>
          <w:p>
            <w:pPr>
              <w:pStyle w:val="Normal"/>
              <w:rPr>
                <w:b/>
                <w:b/>
                <w:color w:val="000000"/>
              </w:rPr>
            </w:pPr>
            <w:r>
              <w:rPr>
                <w:b/>
                <w:color w:val="000000"/>
              </w:rPr>
              <w:t>Saldo</w:t>
            </w:r>
          </w:p>
        </w:tc>
        <w:tc>
          <w:tcPr>
            <w:tcW w:w="681" w:type="dxa"/>
            <w:tcBorders>
              <w:right w:val="single" w:sz="4" w:space="0" w:color="00000A"/>
              <w:insideV w:val="single" w:sz="4" w:space="0" w:color="00000A"/>
            </w:tcBorders>
            <w:shd w:color="auto" w:fill="auto" w:val="clear"/>
            <w:vAlign w:val="center"/>
          </w:tcPr>
          <w:p>
            <w:pPr>
              <w:pStyle w:val="Normal"/>
              <w:jc w:val="right"/>
              <w:rPr>
                <w:b/>
                <w:b/>
                <w:color w:val="000000"/>
              </w:rPr>
            </w:pPr>
            <w:r>
              <w:rPr>
                <w:b/>
                <w:color w:val="000000"/>
              </w:rPr>
              <w:t>-2</w:t>
            </w:r>
          </w:p>
        </w:tc>
        <w:tc>
          <w:tcPr>
            <w:tcW w:w="440" w:type="dxa"/>
            <w:tcBorders/>
            <w:shd w:color="auto" w:fill="auto" w:val="clear"/>
            <w:vAlign w:val="center"/>
          </w:tcPr>
          <w:p>
            <w:pPr>
              <w:pStyle w:val="Normal"/>
              <w:rPr>
                <w:b/>
                <w:b/>
                <w:color w:val="000000"/>
              </w:rPr>
            </w:pPr>
            <w:r>
              <w:rPr>
                <w:b/>
                <w:color w:val="000000"/>
              </w:rPr>
            </w:r>
          </w:p>
        </w:tc>
        <w:tc>
          <w:tcPr>
            <w:tcW w:w="1959" w:type="dxa"/>
            <w:tcBorders>
              <w:left w:val="single" w:sz="4" w:space="0" w:color="00000A"/>
              <w:right w:val="single" w:sz="4" w:space="0" w:color="00000A"/>
              <w:insideV w:val="single" w:sz="4" w:space="0" w:color="00000A"/>
            </w:tcBorders>
            <w:shd w:color="auto" w:fill="auto" w:val="clear"/>
            <w:tcMar>
              <w:left w:w="65" w:type="dxa"/>
            </w:tcMar>
            <w:vAlign w:val="center"/>
          </w:tcPr>
          <w:p>
            <w:pPr>
              <w:pStyle w:val="Normal"/>
              <w:rPr>
                <w:b/>
                <w:b/>
                <w:color w:val="000000"/>
              </w:rPr>
            </w:pPr>
            <w:r>
              <w:rPr>
                <w:b/>
                <w:color w:val="000000"/>
              </w:rPr>
              <w:t>Saldo</w:t>
            </w:r>
          </w:p>
        </w:tc>
        <w:tc>
          <w:tcPr>
            <w:tcW w:w="680" w:type="dxa"/>
            <w:tcBorders>
              <w:right w:val="single" w:sz="4" w:space="0" w:color="00000A"/>
              <w:insideV w:val="single" w:sz="4" w:space="0" w:color="00000A"/>
            </w:tcBorders>
            <w:shd w:color="auto" w:fill="auto" w:val="clear"/>
            <w:vAlign w:val="center"/>
          </w:tcPr>
          <w:p>
            <w:pPr>
              <w:pStyle w:val="Normal"/>
              <w:jc w:val="right"/>
              <w:rPr>
                <w:b/>
                <w:b/>
                <w:color w:val="000000"/>
              </w:rPr>
            </w:pPr>
            <w:r>
              <w:rPr>
                <w:b/>
                <w:color w:val="000000"/>
              </w:rPr>
              <w:t>0</w:t>
            </w:r>
          </w:p>
        </w:tc>
      </w:tr>
      <w:tr>
        <w:trPr>
          <w:trHeight w:val="300" w:hRule="atLeast"/>
        </w:trPr>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Financování (tř. 8)</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-3</w:t>
            </w:r>
          </w:p>
        </w:tc>
        <w:tc>
          <w:tcPr>
            <w:tcW w:w="440" w:type="dxa"/>
            <w:tcBorders/>
            <w:shd w:color="auto" w:fill="auto" w:val="clear"/>
            <w:vAlign w:val="center"/>
          </w:tcPr>
          <w:p>
            <w:pPr>
              <w:pStyle w:val="Normal"/>
              <w:rPr>
                <w:color w:val="000000"/>
              </w:rPr>
            </w:pPr>
            <w:r>
              <w:rPr>
                <w:color w:val="000000"/>
              </w:rPr>
            </w:r>
          </w:p>
        </w:tc>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Financování (tř. 8)</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w:t>
            </w:r>
          </w:p>
        </w:tc>
        <w:tc>
          <w:tcPr>
            <w:tcW w:w="440" w:type="dxa"/>
            <w:tcBorders/>
            <w:shd w:color="auto" w:fill="auto" w:val="clear"/>
            <w:vAlign w:val="center"/>
          </w:tcPr>
          <w:p>
            <w:pPr>
              <w:pStyle w:val="Normal"/>
              <w:rPr>
                <w:color w:val="000000"/>
              </w:rPr>
            </w:pPr>
            <w:r>
              <w:rPr>
                <w:color w:val="000000"/>
              </w:rPr>
            </w:r>
          </w:p>
        </w:tc>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Financování (tř. 8)</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0</w:t>
            </w:r>
          </w:p>
        </w:tc>
      </w:tr>
      <w:tr>
        <w:trPr>
          <w:trHeight w:val="300" w:hRule="atLeast"/>
        </w:trPr>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Součet salda a F</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0</w:t>
            </w:r>
          </w:p>
        </w:tc>
        <w:tc>
          <w:tcPr>
            <w:tcW w:w="440" w:type="dxa"/>
            <w:tcBorders/>
            <w:shd w:color="auto" w:fill="auto" w:val="clear"/>
            <w:vAlign w:val="center"/>
          </w:tcPr>
          <w:p>
            <w:pPr>
              <w:pStyle w:val="Normal"/>
              <w:rPr>
                <w:color w:val="000000"/>
              </w:rPr>
            </w:pPr>
            <w:r>
              <w:rPr>
                <w:color w:val="000000"/>
              </w:rPr>
            </w:r>
          </w:p>
        </w:tc>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Součet salda a F</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0</w:t>
            </w:r>
          </w:p>
        </w:tc>
        <w:tc>
          <w:tcPr>
            <w:tcW w:w="440" w:type="dxa"/>
            <w:tcBorders/>
            <w:shd w:color="auto" w:fill="auto" w:val="clear"/>
            <w:vAlign w:val="center"/>
          </w:tcPr>
          <w:p>
            <w:pPr>
              <w:pStyle w:val="Normal"/>
              <w:rPr>
                <w:color w:val="000000"/>
              </w:rPr>
            </w:pPr>
            <w:r>
              <w:rPr>
                <w:color w:val="000000"/>
              </w:rPr>
            </w:r>
          </w:p>
        </w:tc>
        <w:tc>
          <w:tcPr>
            <w:tcW w:w="1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rPr>
                <w:color w:val="000000"/>
              </w:rPr>
            </w:pPr>
            <w:r>
              <w:rPr>
                <w:color w:val="000000"/>
              </w:rPr>
              <w:t>Součet salda a F</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0</w:t>
            </w:r>
          </w:p>
        </w:tc>
      </w:tr>
    </w:tbl>
    <w:p>
      <w:pPr>
        <w:pStyle w:val="Normal"/>
        <w:tabs>
          <w:tab w:val="left" w:pos="993" w:leader="none"/>
        </w:tabs>
        <w:spacing w:before="40" w:after="120"/>
        <w:rPr>
          <w:i/>
          <w:i/>
        </w:rPr>
      </w:pPr>
      <w:r>
        <w:rPr>
          <w:i/>
        </w:rPr>
        <w:t xml:space="preserve">Rozpočet přebytkový </w:t>
        <w:tab/>
        <w:tab/>
        <w:t xml:space="preserve">     Rozpočet schodkový</w:t>
        <w:tab/>
        <w:t xml:space="preserve">         Rozpočet vyrovnaný</w:t>
      </w:r>
    </w:p>
    <w:p>
      <w:pPr>
        <w:pStyle w:val="Normal"/>
        <w:tabs>
          <w:tab w:val="left" w:pos="993" w:leader="none"/>
        </w:tabs>
        <w:spacing w:before="40" w:after="120"/>
        <w:rPr>
          <w:i/>
          <w:i/>
        </w:rPr>
      </w:pPr>
      <w:r>
        <w:rPr>
          <w:i/>
        </w:rPr>
      </w:r>
    </w:p>
    <w:p>
      <w:pPr>
        <w:pStyle w:val="Normal"/>
        <w:spacing w:before="0" w:after="120"/>
        <w:rPr/>
      </w:pPr>
      <w:r>
        <w:rPr/>
        <w:t>„</w:t>
      </w:r>
      <w:r>
        <w:rPr/>
        <w:t xml:space="preserve">Příjmové“ financující operace: </w:t>
      </w:r>
    </w:p>
    <w:p>
      <w:pPr>
        <w:pStyle w:val="ListParagraph"/>
        <w:numPr>
          <w:ilvl w:val="0"/>
          <w:numId w:val="2"/>
        </w:numPr>
        <w:ind w:left="567" w:hanging="283"/>
        <w:jc w:val="both"/>
        <w:rPr/>
      </w:pPr>
      <w:r>
        <w:rPr/>
        <w:t>Přijaté prostředky, které musí být ve stanovené době splaceny (např. přijatý úvěr od banky, přijetí návratné finanční výpomoci od jiné obce, vydání vlastních dluhopisů).</w:t>
      </w:r>
    </w:p>
    <w:p>
      <w:pPr>
        <w:pStyle w:val="ListParagraph"/>
        <w:numPr>
          <w:ilvl w:val="0"/>
          <w:numId w:val="2"/>
        </w:numPr>
        <w:ind w:left="567" w:hanging="283"/>
        <w:jc w:val="both"/>
        <w:rPr/>
      </w:pPr>
      <w:r>
        <w:rPr/>
        <w:t xml:space="preserve">Převod prostředků na ZBÚ z termínovaných vkladových účtů. </w:t>
      </w:r>
    </w:p>
    <w:p>
      <w:pPr>
        <w:pStyle w:val="ListParagraph"/>
        <w:numPr>
          <w:ilvl w:val="0"/>
          <w:numId w:val="2"/>
        </w:numPr>
        <w:ind w:left="567" w:hanging="283"/>
        <w:jc w:val="both"/>
        <w:rPr/>
      </w:pPr>
      <w:r>
        <w:rPr/>
        <w:t>Zapojení vlastních prostředků z minulých let (pol. 8115) – změna stavů peněžních prostředků. Nejedná se o účetní případ, ale o rozdíl mezi počátečním a konečným stavem peněžních prostředků.</w:t>
      </w:r>
    </w:p>
    <w:p>
      <w:pPr>
        <w:pStyle w:val="ListParagraph"/>
        <w:jc w:val="both"/>
        <w:rPr/>
      </w:pPr>
      <w:r>
        <w:rPr/>
      </w:r>
    </w:p>
    <w:p>
      <w:pPr>
        <w:pStyle w:val="Normal"/>
        <w:jc w:val="both"/>
        <w:rPr>
          <w:b/>
          <w:b/>
        </w:rPr>
      </w:pPr>
      <w:r>
        <w:rPr>
          <w:b/>
        </w:rPr>
        <w:t xml:space="preserve">Platí, že přijatý úvěr, půjčka, návratná finanční výpomoc = vždy operace financování. </w:t>
      </w:r>
    </w:p>
    <w:p>
      <w:pPr>
        <w:pStyle w:val="Normal"/>
        <w:rPr/>
      </w:pPr>
      <w:r>
        <w:rPr/>
      </w:r>
    </w:p>
    <w:p>
      <w:pPr>
        <w:pStyle w:val="Normal"/>
        <w:spacing w:before="0" w:after="120"/>
        <w:rPr/>
      </w:pPr>
      <w:r>
        <w:rPr/>
        <w:t>„</w:t>
      </w:r>
      <w:r>
        <w:rPr/>
        <w:t>Výdajové“ financující operace:</w:t>
      </w:r>
    </w:p>
    <w:p>
      <w:pPr>
        <w:pStyle w:val="ListParagraph"/>
        <w:numPr>
          <w:ilvl w:val="0"/>
          <w:numId w:val="2"/>
        </w:numPr>
        <w:ind w:left="567" w:hanging="283"/>
        <w:jc w:val="both"/>
        <w:rPr/>
      </w:pPr>
      <w:r>
        <w:rPr/>
        <w:t xml:space="preserve">Návratně poskytnuté prostředky charakteru poskytnutých půjček, nákupu akcií či cizích dluhopisů </w:t>
      </w:r>
      <w:r>
        <w:rPr>
          <w:u w:val="single"/>
        </w:rPr>
        <w:t>za účelem zhodnocení dočasně volných peněžních prostředků</w:t>
      </w:r>
      <w:r>
        <w:rPr/>
        <w:t>.</w:t>
      </w:r>
    </w:p>
    <w:p>
      <w:pPr>
        <w:pStyle w:val="ListParagraph"/>
        <w:numPr>
          <w:ilvl w:val="0"/>
          <w:numId w:val="2"/>
        </w:numPr>
        <w:ind w:left="567" w:hanging="283"/>
        <w:jc w:val="both"/>
        <w:rPr/>
      </w:pPr>
      <w:r>
        <w:rPr/>
        <w:t xml:space="preserve">Převod prostředků na termínované vkladové účty. </w:t>
      </w:r>
    </w:p>
    <w:p>
      <w:pPr>
        <w:pStyle w:val="ListParagraph"/>
        <w:numPr>
          <w:ilvl w:val="0"/>
          <w:numId w:val="2"/>
        </w:numPr>
        <w:ind w:left="567" w:hanging="283"/>
        <w:jc w:val="both"/>
        <w:rPr/>
      </w:pPr>
      <w:r>
        <w:rPr/>
        <w:t>Splátky dříve přijatých půjčených prostředků.</w:t>
      </w:r>
    </w:p>
    <w:p>
      <w:pPr>
        <w:pStyle w:val="ListParagraph"/>
        <w:numPr>
          <w:ilvl w:val="0"/>
          <w:numId w:val="2"/>
        </w:numPr>
        <w:ind w:left="567" w:hanging="283"/>
        <w:jc w:val="both"/>
        <w:rPr/>
      </w:pPr>
      <w:r>
        <w:rPr/>
        <w:t xml:space="preserve">Zvýšení stavu peněžních prostředků (pol. 8115 se záporným znaménkem). Nejedná se o účetní případ, ale o rozdíl mezi počátečním a konečným stavem peněžních prostředků. </w:t>
      </w:r>
    </w:p>
    <w:p>
      <w:pPr>
        <w:pStyle w:val="ListParagraph"/>
        <w:rPr/>
      </w:pPr>
      <w:r>
        <w:rPr/>
      </w:r>
    </w:p>
    <w:p>
      <w:pPr>
        <w:pStyle w:val="Normal"/>
        <w:spacing w:before="0" w:after="120"/>
        <w:jc w:val="both"/>
        <w:rPr/>
      </w:pPr>
      <w:r>
        <w:rPr>
          <w:b/>
        </w:rPr>
        <w:t>Poskytnuté půjčky, úvěry</w:t>
      </w:r>
      <w:r>
        <w:rPr/>
        <w:t xml:space="preserve"> (</w:t>
      </w:r>
      <w:r>
        <w:rPr>
          <w:u w:val="single"/>
        </w:rPr>
        <w:t>mohou být financováním (tř. 8) i výdajem (tř. 5, 6</w:t>
      </w:r>
      <w:r>
        <w:rPr/>
        <w:t>)):</w:t>
      </w:r>
    </w:p>
    <w:p>
      <w:pPr>
        <w:pStyle w:val="ListParagraph"/>
        <w:numPr>
          <w:ilvl w:val="0"/>
          <w:numId w:val="3"/>
        </w:numPr>
        <w:spacing w:before="0" w:after="120"/>
        <w:ind w:left="714" w:hanging="357"/>
        <w:jc w:val="both"/>
        <w:textAlignment w:val="auto"/>
        <w:rPr/>
      </w:pPr>
      <w:r>
        <w:rPr/>
        <w:t xml:space="preserve">Financování - jedná se o </w:t>
      </w:r>
      <w:r>
        <w:rPr>
          <w:b/>
        </w:rPr>
        <w:t xml:space="preserve">tzv. aktivní operaci řízení likvidity </w:t>
      </w:r>
      <w:r>
        <w:rPr/>
        <w:t>– při aktivním řízení likvidity obec zhodnocuje své volné peněžní prostředky. Chová se v podstatě jako tržní subjekt, který se snaží maximalizovat zisk. Obec ukládá prostředky na termínované účty, snaží se maximalizovat úrokový výnos, nakupuje akcie za účelem zhodnocení prostředků. Vydání prostředků v tomto případě není výdajem, ale financováním (ve snaze zhodnotit své volné prostředky, ať už z přebytku letošního roku, nebo z přebytků let minulých).</w:t>
      </w:r>
    </w:p>
    <w:p>
      <w:pPr>
        <w:pStyle w:val="ListParagraph"/>
        <w:numPr>
          <w:ilvl w:val="0"/>
          <w:numId w:val="3"/>
        </w:numPr>
        <w:spacing w:before="0" w:after="0"/>
        <w:ind w:left="714" w:hanging="357"/>
        <w:jc w:val="both"/>
        <w:textAlignment w:val="auto"/>
        <w:rPr/>
      </w:pPr>
      <w:r>
        <w:rPr/>
        <w:t xml:space="preserve">Výdaj - jedná se o </w:t>
      </w:r>
      <w:r>
        <w:rPr>
          <w:b/>
        </w:rPr>
        <w:t>tzv. akt rozpočtové politiky</w:t>
      </w:r>
      <w:r>
        <w:rPr/>
        <w:t xml:space="preserve"> – tady se naopak obec chová jako veřejnoprávní subjekt. Obec v tomto případě vydává prostředky nikoliv za účelem jejich zhodnocení, ale za účelem podpory druhého subjektu (občana, jiné obce, apod.). V těchto případech se nejedná o financování, ale výdaj rozpočtu (položky 56xx – neinvestiční půjčka, nebo položky  64xx – půjčka na pořízení dlouhodobého majetku). Tyto půjčené prostředky mohou mít i charakter nákupu cenných papírů (dluhopisů) subjektu.</w:t>
      </w:r>
    </w:p>
    <w:p>
      <w:pPr>
        <w:pStyle w:val="Normal"/>
        <w:jc w:val="both"/>
        <w:rPr/>
      </w:pPr>
      <w:r>
        <w:rPr/>
      </w:r>
    </w:p>
    <w:p>
      <w:pPr>
        <w:pStyle w:val="Normal"/>
        <w:spacing w:before="0" w:after="120"/>
        <w:jc w:val="both"/>
        <w:rPr>
          <w:i/>
          <w:i/>
        </w:rPr>
      </w:pPr>
      <w:r>
        <w:rPr>
          <w:i/>
        </w:rPr>
        <w:t xml:space="preserve">Zpřísnění podmínek pro poskytování úvěrů a půjček v souvislosti s novým zákonem č. 257/2016 Sb., o spotřebitelském úvěru (účinnost od 1. 12. 2016). Informace: </w:t>
      </w:r>
    </w:p>
    <w:p>
      <w:pPr>
        <w:pStyle w:val="ListParagraph"/>
        <w:numPr>
          <w:ilvl w:val="0"/>
          <w:numId w:val="2"/>
        </w:numPr>
        <w:ind w:left="284" w:hanging="284"/>
        <w:jc w:val="both"/>
        <w:rPr>
          <w:i/>
          <w:i/>
          <w:sz w:val="20"/>
          <w:szCs w:val="20"/>
        </w:rPr>
      </w:pPr>
      <w:r>
        <w:rPr>
          <w:i/>
          <w:sz w:val="20"/>
          <w:szCs w:val="20"/>
        </w:rPr>
        <w:t>Zprávy MF pro obce a kraje č. 1/2017 (bod 7)</w:t>
      </w:r>
    </w:p>
    <w:p>
      <w:pPr>
        <w:pStyle w:val="ListParagraph"/>
        <w:numPr>
          <w:ilvl w:val="0"/>
          <w:numId w:val="2"/>
        </w:numPr>
        <w:spacing w:before="0" w:after="60"/>
        <w:ind w:left="284" w:hanging="284"/>
        <w:contextualSpacing/>
        <w:jc w:val="both"/>
        <w:rPr/>
      </w:pPr>
      <w:hyperlink r:id="rId14">
        <w:r>
          <w:rPr>
            <w:rStyle w:val="InternetLink"/>
            <w:i/>
            <w:sz w:val="20"/>
            <w:szCs w:val="20"/>
          </w:rPr>
          <w:t>http://www.mfcr.cz/cs/aktualne/v-mediich/2017/obce-mohou-svym-obcanum-i-nadale-vyhodne-27242</w:t>
        </w:r>
      </w:hyperlink>
    </w:p>
    <w:p>
      <w:pPr>
        <w:pStyle w:val="ListParagraph"/>
        <w:numPr>
          <w:ilvl w:val="0"/>
          <w:numId w:val="2"/>
        </w:numPr>
        <w:spacing w:before="0" w:after="60"/>
        <w:ind w:left="284" w:hanging="284"/>
        <w:contextualSpacing/>
        <w:jc w:val="both"/>
        <w:rPr/>
      </w:pPr>
      <w:hyperlink r:id="rId15">
        <w:r>
          <w:rPr>
            <w:rStyle w:val="InternetLink"/>
            <w:i/>
            <w:sz w:val="20"/>
            <w:szCs w:val="20"/>
          </w:rPr>
          <w:t>http://www.smocr.cz/cz/oblasti-cinnosti/financovani-obci/novy-zakon-o-spotrebitelskem-uveru-povinnosti-obci-anebo-jak-se-vyhnout-sankcim.aspx</w:t>
        </w:r>
      </w:hyperlink>
    </w:p>
    <w:p>
      <w:pPr>
        <w:pStyle w:val="ListParagraph"/>
        <w:numPr>
          <w:ilvl w:val="0"/>
          <w:numId w:val="2"/>
        </w:numPr>
        <w:spacing w:before="0" w:after="60"/>
        <w:ind w:left="284" w:hanging="284"/>
        <w:contextualSpacing/>
        <w:jc w:val="both"/>
        <w:rPr/>
      </w:pPr>
      <w:hyperlink r:id="rId16">
        <w:r>
          <w:rPr>
            <w:rStyle w:val="InternetLink"/>
            <w:i/>
            <w:sz w:val="20"/>
            <w:szCs w:val="20"/>
          </w:rPr>
          <w:t>http://www.smocr.cz/cz/tiskovy-servis/tiskove-zpravy/uvery-ktere-poskytuji-obce-potrebuji-jasna-pravidla.aspx</w:t>
        </w:r>
      </w:hyperlink>
    </w:p>
    <w:p>
      <w:pPr>
        <w:pStyle w:val="ListParagraph"/>
        <w:numPr>
          <w:ilvl w:val="0"/>
          <w:numId w:val="2"/>
        </w:numPr>
        <w:spacing w:before="0" w:after="60"/>
        <w:ind w:left="284" w:hanging="284"/>
        <w:contextualSpacing/>
        <w:jc w:val="both"/>
        <w:rPr/>
      </w:pPr>
      <w:hyperlink r:id="rId17">
        <w:r>
          <w:rPr>
            <w:rStyle w:val="InternetLink"/>
            <w:i/>
            <w:sz w:val="20"/>
            <w:szCs w:val="20"/>
          </w:rPr>
          <w:t>http://www.smocr.cz/cz/oblasti-cinnosti/financovani-obci/dle-mv-neni-poskytovani-pujcek-obcemi-na-zaklade-vyhlasky-mozne.aspx</w:t>
        </w:r>
      </w:hyperlink>
    </w:p>
    <w:p>
      <w:pPr>
        <w:pStyle w:val="ListParagraph"/>
        <w:numPr>
          <w:ilvl w:val="0"/>
          <w:numId w:val="2"/>
        </w:numPr>
        <w:spacing w:before="0" w:after="60"/>
        <w:ind w:left="284" w:hanging="284"/>
        <w:contextualSpacing/>
        <w:jc w:val="both"/>
        <w:rPr/>
      </w:pPr>
      <w:hyperlink r:id="rId18">
        <w:r>
          <w:rPr>
            <w:rStyle w:val="InternetLink"/>
            <w:i/>
            <w:sz w:val="20"/>
            <w:szCs w:val="20"/>
          </w:rPr>
          <w:t>http://www.smocr.cz/cz/oblasti-cinnosti/financovani-obci/informace-z-jednani-s-cnb-k-poskytovani-pujcek-obci-svym-obcanum.aspx</w:t>
        </w:r>
      </w:hyperlink>
    </w:p>
    <w:p>
      <w:pPr>
        <w:pStyle w:val="ListParagraph"/>
        <w:numPr>
          <w:ilvl w:val="0"/>
          <w:numId w:val="2"/>
        </w:numPr>
        <w:spacing w:before="0" w:after="60"/>
        <w:ind w:left="284" w:hanging="284"/>
        <w:contextualSpacing/>
        <w:jc w:val="both"/>
        <w:rPr/>
      </w:pPr>
      <w:hyperlink r:id="rId19">
        <w:r>
          <w:rPr>
            <w:rStyle w:val="InternetLink"/>
            <w:i/>
            <w:sz w:val="20"/>
            <w:szCs w:val="20"/>
          </w:rPr>
          <w:t>http://smocr.cz/cz/oblasti-cinnosti/financovani-obci/uvery-poskytovane-obcemi-a-novy-zakon-o-spotrebitelskem-uveru.aspx</w:t>
        </w:r>
      </w:hyperlink>
    </w:p>
    <w:p>
      <w:pPr>
        <w:pStyle w:val="ListParagraph"/>
        <w:numPr>
          <w:ilvl w:val="0"/>
          <w:numId w:val="2"/>
        </w:numPr>
        <w:spacing w:before="0" w:after="60"/>
        <w:ind w:left="284" w:hanging="284"/>
        <w:contextualSpacing/>
        <w:jc w:val="both"/>
        <w:rPr/>
      </w:pPr>
      <w:hyperlink r:id="rId20">
        <w:r>
          <w:rPr>
            <w:rStyle w:val="InternetLink"/>
            <w:i/>
            <w:sz w:val="20"/>
            <w:szCs w:val="20"/>
          </w:rPr>
          <w:t>http://smocr.cz/cz/oblasti-cinnosti/financovani-obci/cnb-informace-o-zapujcnich-urokovych-sazbach-pro-naplneni-zakona-o-spotrebitelskem-uveru.aspx</w:t>
        </w:r>
      </w:hyperlink>
    </w:p>
    <w:p>
      <w:pPr>
        <w:pStyle w:val="Normal"/>
        <w:spacing w:before="120" w:after="0"/>
        <w:jc w:val="both"/>
        <w:rPr>
          <w:b/>
          <w:b/>
        </w:rPr>
      </w:pPr>
      <w:r>
        <w:rPr>
          <w:b/>
        </w:rPr>
        <w:t>Klasifikace rozpočtu (přebytkový, schodkový)</w:t>
      </w:r>
    </w:p>
    <w:p>
      <w:pPr>
        <w:pStyle w:val="Normal"/>
        <w:spacing w:before="0" w:after="120"/>
        <w:jc w:val="both"/>
        <w:rPr/>
      </w:pPr>
      <w:r>
        <w:rPr/>
        <w:t>Při klasifikaci, zda je rozpočet přebytkový, schodkový nebo vyrovnaný, se porovnávají pouze příjmy a výdaje. Až podle jejich rozdílu se do rozpočtu zapojuje financování. Financování je v souhrnné hodnotě vždy opačným číslem k číslu vyjadřujícímu rozdíl mezi příjmy a výdaji. To znamená, že součet rozdílu příjmů a výdajů (salda příjmů a výdajů) a financování je vždy roven 0.</w:t>
      </w:r>
    </w:p>
    <w:p>
      <w:pPr>
        <w:pStyle w:val="Normal"/>
        <w:spacing w:before="0" w:after="120"/>
        <w:jc w:val="both"/>
        <w:rPr/>
      </w:pPr>
      <w:r>
        <w:rPr/>
        <w:t xml:space="preserve">Přebytkový rozpočet = příjmy běžného (jednoho) roku jsou větší než jeho výdaje. </w:t>
      </w:r>
    </w:p>
    <w:p>
      <w:pPr>
        <w:pStyle w:val="Normal"/>
        <w:spacing w:before="0" w:after="120"/>
        <w:jc w:val="both"/>
        <w:rPr/>
      </w:pPr>
      <w:r>
        <w:rPr/>
        <w:t xml:space="preserve">Schodkový rozpočet = příjmy běžného (jednoho) roku jsou menší než jeho výdaje. </w:t>
      </w:r>
    </w:p>
    <w:p>
      <w:pPr>
        <w:pStyle w:val="Normal"/>
        <w:jc w:val="both"/>
        <w:rPr/>
      </w:pPr>
      <w:r>
        <w:rPr/>
        <w:t xml:space="preserve">Z pojmů přebytkový (schodkový) nelze poznat celkovou pozici obce, je to jen klasifikace jednoho ročního rozpočtu. Tyto pojmy jsou tak poměrně zavádějící. Schodkový rozpočet nemusí znamenat (a často neznamená) „špatný“, tomuto pojmu nelze bez dalších souvislostí přiřazovat jeho obecný význam. S přebytkovým rozpočtem je to obdobné. Obec může vzhledem k systému RS hospodařit s přebytkovým rozpočtem a zároveň zaznamenat pokles peněžních prostředků. </w:t>
      </w:r>
    </w:p>
    <w:p>
      <w:pPr>
        <w:pStyle w:val="Normal"/>
        <w:spacing w:before="120" w:after="0"/>
        <w:jc w:val="both"/>
        <w:rPr>
          <w:i/>
          <w:i/>
        </w:rPr>
      </w:pPr>
      <w:r>
        <w:rPr>
          <w:i/>
        </w:rPr>
        <w:t>Příklad:</w:t>
      </w:r>
    </w:p>
    <w:p>
      <w:pPr>
        <w:pStyle w:val="Normal"/>
        <w:spacing w:before="0" w:after="60"/>
        <w:jc w:val="both"/>
        <w:rPr>
          <w:i/>
          <w:i/>
        </w:rPr>
      </w:pPr>
      <w:r>
        <w:rPr>
          <w:i/>
        </w:rPr>
        <w:t xml:space="preserve">Obec v letech 2012 – 2016 spořila na investici, kterou plánovala realizovat v roce 2017. V roce 2017 zrealizovala investici za 20 mil. Kč. </w:t>
      </w:r>
    </w:p>
    <w:tbl>
      <w:tblPr>
        <w:tblW w:w="9046"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1440"/>
        <w:gridCol w:w="1126"/>
        <w:gridCol w:w="1080"/>
        <w:gridCol w:w="1080"/>
        <w:gridCol w:w="1080"/>
        <w:gridCol w:w="1080"/>
        <w:gridCol w:w="1080"/>
        <w:gridCol w:w="1079"/>
      </w:tblGrid>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rPr>
                <w:b/>
                <w:b/>
                <w:bCs/>
                <w:color w:val="000000"/>
              </w:rPr>
            </w:pPr>
            <w:r>
              <w:rPr>
                <w:b/>
                <w:bCs/>
                <w:color w:val="000000"/>
              </w:rPr>
              <w:t> </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2013</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2014</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2015</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2016</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2017</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center"/>
          </w:tcPr>
          <w:p>
            <w:pPr>
              <w:pStyle w:val="Normal"/>
              <w:jc w:val="right"/>
              <w:rPr>
                <w:b/>
                <w:b/>
                <w:bCs/>
                <w:color w:val="000000"/>
              </w:rPr>
            </w:pPr>
            <w:r>
              <w:rPr>
                <w:b/>
                <w:bCs/>
                <w:color w:val="000000"/>
              </w:rPr>
              <w:t>2018</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Příjmy </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40</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Výdaje </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48</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Saldo </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-18</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12</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i/>
                <w:i/>
                <w:iCs/>
                <w:color w:val="000000"/>
              </w:rPr>
            </w:pPr>
            <w:r>
              <w:rPr>
                <w:i/>
                <w:iCs/>
                <w:color w:val="000000"/>
              </w:rPr>
              <w:t>ZBÚ k 31.12.</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4</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6</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10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2</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4</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i/>
                <w:i/>
                <w:iCs/>
                <w:color w:val="000000"/>
              </w:rPr>
            </w:pPr>
            <w:r>
              <w:rPr>
                <w:i/>
                <w:iCs/>
                <w:color w:val="000000"/>
              </w:rPr>
              <w:t xml:space="preserve">Úvěr </w:t>
            </w:r>
          </w:p>
        </w:tc>
        <w:tc>
          <w:tcPr>
            <w:tcW w:w="1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10</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r>
    </w:tbl>
    <w:p>
      <w:pPr>
        <w:pStyle w:val="Normal"/>
        <w:spacing w:before="120" w:after="0"/>
        <w:jc w:val="both"/>
        <w:rPr>
          <w:i/>
          <w:i/>
        </w:rPr>
      </w:pPr>
      <w:r>
        <w:rPr>
          <w:i/>
        </w:rPr>
        <w:t xml:space="preserve">V letech 2012 – 2016 obec vytvářela každoroční přebytek rozpočtu ve výši 2 mil. Kč (prostředky jsou kumulovány na ZBÚ, pro zjednodušení se v příkladu nepředpokládá jejich zhodnocení, obec v těchto letech nerealizovala žádné další financující operace).  </w:t>
      </w:r>
    </w:p>
    <w:p>
      <w:pPr>
        <w:pStyle w:val="Normal"/>
        <w:spacing w:before="0" w:after="0"/>
        <w:contextualSpacing/>
        <w:jc w:val="both"/>
        <w:rPr>
          <w:i/>
          <w:i/>
        </w:rPr>
      </w:pPr>
      <w:r>
        <w:rPr>
          <w:i/>
        </w:rPr>
        <w:t xml:space="preserve">V roce 2017 realizovala obec investiční výdaj ve výši 20 mil. Kč. Výdaj financovala vlastními prostředky z minulých let (8 mil. Kč) a krátkodobým úvěrem (10 mil. Kč). Obec vykázala schodek rozpočtu ve výši 18 mil. Kč. Ovšem můžeme tento schodek hodnotit jako něco negativního? Velmi pravděpodobně nikoliv. Obec realizovala investici, na kterou cíleně spořila v minulých letech. Schodek ve výši 18 mil. Kč neznamená nic jiného, než rozdíl mezi příjmy a výdaji jednoho daného roku.  V roce 2018 obec přijala dotaci ve výši 10 mil. Kč (ex post), kterou použila na úhradu úvěru a realizovala přebytek ve výši 12 mil. Kč. </w:t>
      </w:r>
    </w:p>
    <w:p>
      <w:pPr>
        <w:pStyle w:val="Normal"/>
        <w:spacing w:before="0" w:after="0"/>
        <w:contextualSpacing/>
        <w:jc w:val="both"/>
        <w:rPr>
          <w:i/>
          <w:i/>
        </w:rPr>
      </w:pPr>
      <w:r>
        <w:rPr>
          <w:i/>
        </w:rPr>
      </w:r>
    </w:p>
    <w:p>
      <w:pPr>
        <w:pStyle w:val="Normal"/>
        <w:spacing w:before="0" w:after="120"/>
        <w:jc w:val="both"/>
        <w:rPr>
          <w:i/>
          <w:i/>
        </w:rPr>
      </w:pPr>
      <w:r>
        <w:rPr>
          <w:i/>
        </w:rPr>
        <w:t>Shrnutí příkladu s uvedením položek financování</w:t>
      </w:r>
    </w:p>
    <w:tbl>
      <w:tblPr>
        <w:tblW w:w="4960"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1439"/>
        <w:gridCol w:w="1360"/>
        <w:gridCol w:w="1080"/>
        <w:gridCol w:w="1080"/>
      </w:tblGrid>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rPr>
                <w:b/>
                <w:b/>
                <w:bCs/>
                <w:color w:val="000000"/>
              </w:rPr>
            </w:pPr>
            <w:r>
              <w:rPr>
                <w:b/>
                <w:bCs/>
                <w:color w:val="000000"/>
              </w:rPr>
              <w:t> </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center"/>
          </w:tcPr>
          <w:p>
            <w:pPr>
              <w:pStyle w:val="Normal"/>
              <w:jc w:val="right"/>
              <w:rPr>
                <w:b/>
                <w:b/>
                <w:bCs/>
                <w:color w:val="000000"/>
              </w:rPr>
            </w:pPr>
            <w:r>
              <w:rPr>
                <w:b/>
                <w:bCs/>
                <w:color w:val="000000"/>
              </w:rPr>
              <w:t>2012 - 2016</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center"/>
          </w:tcPr>
          <w:p>
            <w:pPr>
              <w:pStyle w:val="Normal"/>
              <w:jc w:val="right"/>
              <w:rPr>
                <w:b/>
                <w:b/>
                <w:bCs/>
                <w:color w:val="000000"/>
              </w:rPr>
            </w:pPr>
            <w:r>
              <w:rPr>
                <w:b/>
                <w:bCs/>
                <w:color w:val="000000"/>
              </w:rPr>
              <w:t>2017</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tcPr>
          <w:p>
            <w:pPr>
              <w:pStyle w:val="Normal"/>
              <w:jc w:val="right"/>
              <w:rPr>
                <w:b/>
                <w:b/>
                <w:bCs/>
                <w:color w:val="000000"/>
              </w:rPr>
            </w:pPr>
            <w:r>
              <w:rPr>
                <w:b/>
                <w:bCs/>
                <w:color w:val="000000"/>
              </w:rPr>
              <w:t>2018</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Příjmy </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30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color w:val="000000"/>
              </w:rPr>
            </w:pPr>
            <w:r>
              <w:rPr>
                <w:color w:val="000000"/>
              </w:rPr>
              <w:t>40</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Výdaje </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48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color w:val="000000"/>
              </w:rPr>
            </w:pPr>
            <w:r>
              <w:rPr>
                <w:color w:val="000000"/>
              </w:rPr>
              <w:t>28</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Saldo </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-18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color w:val="000000"/>
              </w:rPr>
            </w:pPr>
            <w:r>
              <w:rPr>
                <w:color w:val="000000"/>
              </w:rPr>
              <w:t>12</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i/>
                <w:i/>
                <w:iCs/>
                <w:color w:val="000000"/>
              </w:rPr>
            </w:pPr>
            <w:r>
              <w:rPr>
                <w:i/>
                <w:iCs/>
                <w:color w:val="000000"/>
              </w:rPr>
              <w:t>Financování</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18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i/>
                <w:i/>
                <w:iCs/>
                <w:color w:val="000000"/>
              </w:rPr>
            </w:pPr>
            <w:r>
              <w:rPr>
                <w:i/>
                <w:iCs/>
                <w:color w:val="000000"/>
              </w:rPr>
              <w:t>-12</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i/>
                <w:i/>
                <w:iCs/>
                <w:color w:val="000000"/>
              </w:rPr>
            </w:pPr>
            <w:r>
              <w:rPr>
                <w:i/>
                <w:iCs/>
                <w:color w:val="000000"/>
              </w:rPr>
              <w:t>8113</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10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i/>
                <w:i/>
                <w:iCs/>
                <w:color w:val="000000"/>
              </w:rPr>
            </w:pPr>
            <w:r>
              <w:rPr>
                <w:i/>
                <w:iCs/>
                <w:color w:val="000000"/>
              </w:rPr>
              <w:t>0</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i/>
                <w:i/>
                <w:iCs/>
                <w:color w:val="000000"/>
              </w:rPr>
            </w:pPr>
            <w:r>
              <w:rPr>
                <w:i/>
                <w:iCs/>
                <w:color w:val="000000"/>
              </w:rPr>
              <w:t>8114</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0</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i/>
                <w:i/>
                <w:iCs/>
                <w:color w:val="000000"/>
              </w:rPr>
            </w:pPr>
            <w:r>
              <w:rPr>
                <w:i/>
                <w:iCs/>
                <w:color w:val="000000"/>
              </w:rPr>
              <w:t>-10</w:t>
            </w:r>
          </w:p>
        </w:tc>
      </w:tr>
      <w:tr>
        <w:trPr>
          <w:trHeight w:val="270" w:hRule="atLeast"/>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i/>
                <w:i/>
                <w:iCs/>
                <w:color w:val="000000"/>
              </w:rPr>
            </w:pPr>
            <w:r>
              <w:rPr>
                <w:i/>
                <w:iCs/>
                <w:color w:val="000000"/>
              </w:rPr>
              <w:t>8115</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i/>
                <w:i/>
                <w:iCs/>
                <w:color w:val="000000"/>
              </w:rPr>
            </w:pPr>
            <w:r>
              <w:rPr>
                <w:i/>
                <w:iCs/>
                <w:color w:val="000000"/>
              </w:rPr>
              <w:t>8</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jc w:val="right"/>
              <w:rPr>
                <w:i/>
                <w:i/>
                <w:iCs/>
                <w:color w:val="000000"/>
              </w:rPr>
            </w:pPr>
            <w:r>
              <w:rPr>
                <w:i/>
                <w:iCs/>
                <w:color w:val="000000"/>
              </w:rPr>
              <w:t>-2</w:t>
            </w:r>
          </w:p>
        </w:tc>
      </w:tr>
    </w:tbl>
    <w:p>
      <w:pPr>
        <w:pStyle w:val="Normal"/>
        <w:spacing w:before="0" w:after="120"/>
        <w:jc w:val="both"/>
        <w:rPr>
          <w:i/>
          <w:i/>
        </w:rPr>
      </w:pPr>
      <w:r>
        <w:rPr>
          <w:i/>
        </w:rPr>
      </w:r>
    </w:p>
    <w:p>
      <w:pPr>
        <w:pStyle w:val="Normal"/>
        <w:spacing w:before="0" w:after="120"/>
        <w:jc w:val="both"/>
        <w:rPr>
          <w:i/>
          <w:i/>
        </w:rPr>
      </w:pPr>
      <w:r>
        <w:rPr>
          <w:i/>
        </w:rPr>
        <w:t>Příjmy a výdaje obce v čase (2012 – 2018)</w:t>
      </w:r>
    </w:p>
    <w:tbl>
      <w:tblPr>
        <w:tblW w:w="280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1440"/>
        <w:gridCol w:w="1359"/>
      </w:tblGrid>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rPr>
                <w:b/>
                <w:b/>
                <w:bCs/>
                <w:color w:val="000000"/>
              </w:rPr>
            </w:pPr>
            <w:r>
              <w:rPr>
                <w:b/>
                <w:bCs/>
                <w:color w:val="000000"/>
              </w:rPr>
              <w:t> </w:t>
            </w:r>
          </w:p>
        </w:tc>
        <w:tc>
          <w:tcPr>
            <w:tcW w:w="1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0" w:type="dxa"/>
            </w:tcMar>
            <w:vAlign w:val="bottom"/>
          </w:tcPr>
          <w:p>
            <w:pPr>
              <w:pStyle w:val="Normal"/>
              <w:jc w:val="right"/>
              <w:rPr>
                <w:b/>
                <w:b/>
                <w:bCs/>
                <w:color w:val="000000"/>
              </w:rPr>
            </w:pPr>
            <w:r>
              <w:rPr>
                <w:b/>
                <w:bCs/>
                <w:color w:val="000000"/>
              </w:rPr>
              <w:t>2012 - 2018</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Příjmy </w:t>
            </w:r>
          </w:p>
        </w:tc>
        <w:tc>
          <w:tcPr>
            <w:tcW w:w="1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220</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Výdaje </w:t>
            </w:r>
          </w:p>
        </w:tc>
        <w:tc>
          <w:tcPr>
            <w:tcW w:w="1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216</w:t>
            </w:r>
          </w:p>
        </w:tc>
      </w:tr>
      <w:tr>
        <w:trPr>
          <w:trHeight w:val="270"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rPr>
                <w:color w:val="000000"/>
              </w:rPr>
            </w:pPr>
            <w:r>
              <w:rPr>
                <w:color w:val="000000"/>
              </w:rPr>
              <w:t xml:space="preserve">Saldo </w:t>
            </w:r>
          </w:p>
        </w:tc>
        <w:tc>
          <w:tcPr>
            <w:tcW w:w="1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vAlign w:val="bottom"/>
          </w:tcPr>
          <w:p>
            <w:pPr>
              <w:pStyle w:val="Normal"/>
              <w:jc w:val="right"/>
              <w:rPr>
                <w:color w:val="000000"/>
              </w:rPr>
            </w:pPr>
            <w:r>
              <w:rPr>
                <w:color w:val="000000"/>
              </w:rPr>
              <w:t>4</w:t>
            </w:r>
          </w:p>
        </w:tc>
      </w:tr>
    </w:tbl>
    <w:p>
      <w:pPr>
        <w:pStyle w:val="Normal"/>
        <w:spacing w:before="0" w:after="0"/>
        <w:contextualSpacing/>
        <w:jc w:val="both"/>
        <w:rPr>
          <w:i/>
          <w:i/>
        </w:rPr>
      </w:pPr>
      <w:r>
        <w:rPr>
          <w:i/>
        </w:rPr>
      </w:r>
    </w:p>
    <w:p>
      <w:pPr>
        <w:pStyle w:val="Normal"/>
        <w:spacing w:before="0" w:after="0"/>
        <w:contextualSpacing/>
        <w:jc w:val="both"/>
        <w:rPr>
          <w:b/>
          <w:b/>
          <w:smallCaps/>
          <w:u w:val="single"/>
        </w:rPr>
      </w:pPr>
      <w:r>
        <w:rPr>
          <w:b/>
          <w:smallCaps/>
          <w:u w:val="single"/>
        </w:rPr>
      </w:r>
    </w:p>
    <w:p>
      <w:pPr>
        <w:pStyle w:val="Normal"/>
        <w:spacing w:before="0" w:after="0"/>
        <w:contextualSpacing/>
        <w:rPr>
          <w:b/>
          <w:b/>
        </w:rPr>
      </w:pPr>
      <w:r>
        <w:rPr>
          <w:b/>
        </w:rPr>
        <w:t>Struktura položek financování</w:t>
      </w:r>
    </w:p>
    <w:p>
      <w:pPr>
        <w:pStyle w:val="Normal"/>
        <w:spacing w:before="0" w:after="0"/>
        <w:contextualSpacing/>
        <w:jc w:val="both"/>
        <w:rPr>
          <w:b/>
          <w:b/>
          <w:smallCaps/>
          <w:u w:val="single"/>
        </w:rPr>
      </w:pPr>
      <w:r>
        <w:rPr/>
        <w:drawing>
          <wp:inline distT="0" distB="0" distL="19050" distR="9525">
            <wp:extent cx="3305175" cy="20675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1"/>
                    <a:stretch>
                      <a:fillRect/>
                    </a:stretch>
                  </pic:blipFill>
                  <pic:spPr bwMode="auto">
                    <a:xfrm>
                      <a:off x="0" y="0"/>
                      <a:ext cx="3305175" cy="2067560"/>
                    </a:xfrm>
                    <a:prstGeom prst="rect">
                      <a:avLst/>
                    </a:prstGeom>
                  </pic:spPr>
                </pic:pic>
              </a:graphicData>
            </a:graphic>
          </wp:inline>
        </w:drawing>
      </w:r>
    </w:p>
    <w:p>
      <w:pPr>
        <w:pStyle w:val="Normal"/>
        <w:spacing w:before="0" w:after="0"/>
        <w:contextualSpacing/>
        <w:jc w:val="center"/>
        <w:rPr>
          <w:b/>
          <w:b/>
          <w:smallCaps/>
          <w:u w:val="single"/>
        </w:rPr>
      </w:pPr>
      <w:r>
        <w:rPr>
          <w:b/>
          <w:smallCaps/>
          <w:u w:val="single"/>
        </w:rPr>
      </w:r>
    </w:p>
    <w:p>
      <w:pPr>
        <w:pStyle w:val="Normal"/>
        <w:spacing w:before="0" w:after="0"/>
        <w:contextualSpacing/>
        <w:jc w:val="center"/>
        <w:rPr>
          <w:b/>
          <w:b/>
          <w:sz w:val="28"/>
          <w:szCs w:val="28"/>
          <w:u w:val="single"/>
        </w:rPr>
      </w:pPr>
      <w:r>
        <w:rPr>
          <w:b/>
          <w:sz w:val="28"/>
          <w:szCs w:val="28"/>
          <w:u w:val="single"/>
        </w:rPr>
        <w:t>Položka 8115</w:t>
      </w:r>
    </w:p>
    <w:p>
      <w:pPr>
        <w:pStyle w:val="Normal"/>
        <w:spacing w:before="0" w:after="0"/>
        <w:contextualSpacing/>
        <w:jc w:val="both"/>
        <w:rPr>
          <w:b/>
          <w:b/>
          <w:smallCaps/>
          <w:u w:val="single"/>
        </w:rPr>
      </w:pPr>
      <w:r>
        <w:rPr>
          <w:b/>
          <w:smallCaps/>
          <w:u w:val="single"/>
        </w:rPr>
      </w:r>
    </w:p>
    <w:p>
      <w:pPr>
        <w:pStyle w:val="Normal"/>
        <w:jc w:val="both"/>
        <w:rPr/>
      </w:pPr>
      <w:r>
        <w:rPr/>
        <w:t>Pol. 8115 = změna stavu prostředků na účtech, které se třídí RS. O této položce se neúčtuje, software ji automaticky generuje při účtování o pohybech peněz.</w:t>
      </w:r>
    </w:p>
    <w:p>
      <w:pPr>
        <w:pStyle w:val="Normal"/>
        <w:spacing w:before="0" w:after="0"/>
        <w:contextualSpacing/>
        <w:jc w:val="both"/>
        <w:rPr/>
      </w:pPr>
      <w:r>
        <w:rPr/>
        <w:t xml:space="preserve">Položka 8115 vyjadřuje </w:t>
      </w:r>
      <w:r>
        <w:rPr>
          <w:b/>
        </w:rPr>
        <w:t>změnu stavu prostředků na krátkodobých bankovních účtech</w:t>
      </w:r>
      <w:r>
        <w:rPr/>
        <w:t xml:space="preserve">. Hodnota položky se zjistí jako </w:t>
      </w:r>
      <w:r>
        <w:rPr>
          <w:b/>
        </w:rPr>
        <w:t>rozdíl mezi počátečním stavem a konečným stavem prostředků na těchto krátkodobých účtech</w:t>
      </w:r>
      <w:r>
        <w:rPr/>
        <w:t xml:space="preserve">. Krátkodobými účty, jejichž změnu stavu položka 8115 zobrazuje, jsou základní běžné účty (SÚ 231), účty peněžních fondů (SÚ 236) a oddělená pokladna (SÚ 261) - pouze v případě, že obec na režim oddělené pokladny přešla. </w:t>
      </w:r>
    </w:p>
    <w:p>
      <w:pPr>
        <w:pStyle w:val="Normal"/>
        <w:spacing w:before="0" w:after="0"/>
        <w:contextualSpacing/>
        <w:rPr>
          <w:u w:val="single"/>
        </w:rPr>
      </w:pPr>
      <w:r>
        <w:rPr>
          <w:u w:val="single"/>
        </w:rPr>
      </w:r>
    </w:p>
    <w:p>
      <w:pPr>
        <w:pStyle w:val="Normal"/>
        <w:spacing w:before="0" w:after="0"/>
        <w:contextualSpacing/>
        <w:rPr>
          <w:u w:val="single"/>
        </w:rPr>
      </w:pPr>
      <w:r>
        <w:rPr>
          <w:u w:val="single"/>
        </w:rPr>
        <w:t>Položka 8115 v případě přebytkového rozpočtu (příjmy 20 a výdaje 18):</w:t>
      </w:r>
    </w:p>
    <w:p>
      <w:pPr>
        <w:pStyle w:val="Normal"/>
        <w:spacing w:before="0" w:after="0"/>
        <w:contextualSpacing/>
        <w:rPr/>
      </w:pPr>
      <w:r>
        <w:rPr/>
        <w:t>Počáteční stav prostředků je (např.) 5 + příjmy 20 – výdaje 18 = konečný stav + 7</w:t>
      </w:r>
    </w:p>
    <w:p>
      <w:pPr>
        <w:pStyle w:val="Normal"/>
        <w:spacing w:before="0" w:after="0"/>
        <w:contextualSpacing/>
        <w:rPr>
          <w:b/>
          <w:b/>
        </w:rPr>
      </w:pPr>
      <w:r>
        <w:rPr/>
        <w:t xml:space="preserve">Počáteční stav 5 – konečný stav 7 = </w:t>
      </w:r>
      <w:r>
        <w:rPr>
          <w:b/>
        </w:rPr>
        <w:t>–</w:t>
      </w:r>
      <w:r>
        <w:rPr/>
        <w:t xml:space="preserve"> </w:t>
      </w:r>
      <w:r>
        <w:rPr>
          <w:b/>
        </w:rPr>
        <w:t>2 (položka 8115)</w:t>
      </w:r>
    </w:p>
    <w:p>
      <w:pPr>
        <w:pStyle w:val="Normal"/>
        <w:spacing w:before="0" w:after="0"/>
        <w:contextualSpacing/>
        <w:rPr>
          <w:b/>
          <w:b/>
        </w:rPr>
      </w:pPr>
      <w:r>
        <w:rPr>
          <w:b/>
        </w:rPr>
        <w:t>Položka 8115 je záporná = peníze přibyly (konečný stav je vyšší než počáteční)</w:t>
      </w:r>
    </w:p>
    <w:p>
      <w:pPr>
        <w:pStyle w:val="Normal"/>
        <w:spacing w:before="0" w:after="0"/>
        <w:contextualSpacing/>
        <w:rPr>
          <w:u w:val="single"/>
        </w:rPr>
      </w:pPr>
      <w:r>
        <w:rPr>
          <w:u w:val="single"/>
        </w:rPr>
      </w:r>
    </w:p>
    <w:p>
      <w:pPr>
        <w:pStyle w:val="Normal"/>
        <w:spacing w:before="0" w:after="0"/>
        <w:contextualSpacing/>
        <w:rPr>
          <w:u w:val="single"/>
        </w:rPr>
      </w:pPr>
      <w:r>
        <w:rPr>
          <w:u w:val="single"/>
        </w:rPr>
        <w:t>Položka 8115 v případě schodkového rozpočtu (příjmy 20 a výdaje 22):</w:t>
      </w:r>
    </w:p>
    <w:p>
      <w:pPr>
        <w:pStyle w:val="Normal"/>
        <w:spacing w:before="0" w:after="0"/>
        <w:contextualSpacing/>
        <w:rPr/>
      </w:pPr>
      <w:r>
        <w:rPr/>
        <w:t>Počáteční stav prostředků je (např.) 3 + příjmy 20 – výdaje 22 = konečný stav + 1</w:t>
      </w:r>
    </w:p>
    <w:p>
      <w:pPr>
        <w:pStyle w:val="Normal"/>
        <w:spacing w:before="0" w:after="0"/>
        <w:contextualSpacing/>
        <w:rPr>
          <w:b/>
          <w:b/>
        </w:rPr>
      </w:pPr>
      <w:r>
        <w:rPr/>
        <w:t xml:space="preserve">Počáteční stav 3 – konečný stav 1 = + </w:t>
      </w:r>
      <w:r>
        <w:rPr>
          <w:b/>
        </w:rPr>
        <w:t>2 (položka 8115)</w:t>
      </w:r>
    </w:p>
    <w:p>
      <w:pPr>
        <w:pStyle w:val="Normal"/>
        <w:spacing w:before="0" w:after="0"/>
        <w:contextualSpacing/>
        <w:rPr>
          <w:b/>
          <w:b/>
        </w:rPr>
      </w:pPr>
      <w:r>
        <w:rPr>
          <w:b/>
        </w:rPr>
        <w:t>Položka 8115 je kladná = peníze ubyly (konečný stav je nižší než počáteční)</w:t>
      </w:r>
    </w:p>
    <w:p>
      <w:pPr>
        <w:pStyle w:val="Normal"/>
        <w:spacing w:before="0" w:after="0"/>
        <w:contextualSpacing/>
        <w:jc w:val="both"/>
        <w:rPr/>
      </w:pPr>
      <w:r>
        <w:rPr/>
      </w:r>
    </w:p>
    <w:p>
      <w:pPr>
        <w:pStyle w:val="Normal"/>
        <w:spacing w:before="0" w:after="0"/>
        <w:contextualSpacing/>
        <w:jc w:val="center"/>
        <w:rPr/>
      </w:pPr>
      <w:r>
        <w:rPr/>
        <w:t>Úpravou předchozí rovnice získáme:</w:t>
      </w:r>
    </w:p>
    <w:p>
      <w:pPr>
        <w:pStyle w:val="Normal"/>
        <w:spacing w:before="0" w:after="0"/>
        <w:contextualSpacing/>
        <w:jc w:val="center"/>
        <w:rPr>
          <w:b/>
          <w:b/>
        </w:rPr>
      </w:pPr>
      <w:r>
        <w:rPr>
          <w:b/>
        </w:rPr>
        <w:t>Počáteční stav – konečný stav = – (příjmy – výdaje)</w:t>
      </w:r>
    </w:p>
    <w:p>
      <w:pPr>
        <w:pStyle w:val="Normal"/>
        <w:spacing w:before="0" w:after="0"/>
        <w:contextualSpacing/>
        <w:rPr/>
      </w:pPr>
      <w:r>
        <w:rPr/>
      </w:r>
    </w:p>
    <w:p>
      <w:pPr>
        <w:pStyle w:val="Normal"/>
        <w:spacing w:before="0" w:after="0"/>
        <w:contextualSpacing/>
        <w:jc w:val="both"/>
        <w:rPr/>
      </w:pPr>
      <w:r>
        <w:rPr/>
        <w:t>Dosadíme hodnoty z příkladu pro přebytkový rozpočet, přitom víme, že rozdíl počátečního a konečného stavu vyjadřuje položka 8115:</w:t>
      </w:r>
    </w:p>
    <w:p>
      <w:pPr>
        <w:pStyle w:val="Normal"/>
        <w:spacing w:before="0" w:after="0"/>
        <w:contextualSpacing/>
        <w:jc w:val="center"/>
        <w:rPr/>
      </w:pPr>
      <w:r>
        <w:rPr/>
      </w:r>
    </w:p>
    <w:p>
      <w:pPr>
        <w:pStyle w:val="Normal"/>
        <w:spacing w:before="0" w:after="0"/>
        <w:contextualSpacing/>
        <w:jc w:val="center"/>
        <w:rPr/>
      </w:pPr>
      <w:r>
        <w:rPr/>
        <w:t>8115 = – (20 – 18) = – 2 (peníze přibyly)</w:t>
      </w:r>
    </w:p>
    <w:p>
      <w:pPr>
        <w:pStyle w:val="Normal"/>
        <w:spacing w:before="0" w:after="0"/>
        <w:contextualSpacing/>
        <w:jc w:val="center"/>
        <w:rPr/>
      </w:pPr>
      <w:r>
        <w:rPr/>
      </w:r>
    </w:p>
    <w:p>
      <w:pPr>
        <w:pStyle w:val="Normal"/>
        <w:spacing w:before="0" w:after="0"/>
        <w:contextualSpacing/>
        <w:rPr/>
      </w:pPr>
      <w:r>
        <w:rPr/>
        <w:t>Pokud dosadíme čísla z příkladu na schodkový rozpočet, dostáváme:</w:t>
      </w:r>
    </w:p>
    <w:p>
      <w:pPr>
        <w:pStyle w:val="Normal"/>
        <w:spacing w:before="0" w:after="0"/>
        <w:contextualSpacing/>
        <w:rPr/>
      </w:pPr>
      <w:r>
        <w:rPr/>
      </w:r>
    </w:p>
    <w:p>
      <w:pPr>
        <w:pStyle w:val="Normal"/>
        <w:spacing w:before="0" w:after="0"/>
        <w:contextualSpacing/>
        <w:jc w:val="center"/>
        <w:rPr/>
      </w:pPr>
      <w:r>
        <w:rPr/>
        <w:t>8115 = – (20 – 22) = + 2 (peníze ubyly)</w:t>
      </w:r>
    </w:p>
    <w:p>
      <w:pPr>
        <w:pStyle w:val="Normal"/>
        <w:spacing w:before="0" w:after="0"/>
        <w:contextualSpacing/>
        <w:jc w:val="center"/>
        <w:rPr/>
      </w:pPr>
      <w:r>
        <w:rPr/>
      </w:r>
    </w:p>
    <w:p>
      <w:pPr>
        <w:pStyle w:val="Normal"/>
        <w:spacing w:before="0" w:after="0"/>
        <w:contextualSpacing/>
        <w:jc w:val="both"/>
        <w:rPr>
          <w:i/>
          <w:i/>
        </w:rPr>
      </w:pPr>
      <w:r>
        <w:rPr/>
        <w:t xml:space="preserve">Na příkladech vidíme, že software generuje „skutečné plnění“ na položce 8115 pouze podle změny stavu prostředků na příslušných krátkodobých účtech (231, 236, příp. 261) za období jednoho roku, resp. vždy od počátku roku do okamžiku, ke kterému se sestavuje výkaz FIN 2-12 M (výkaz pro hodnocení plnění rozpočtu). Počáteční stav prostředků na účtech tak není pro výši skutečného plnění na položce 8115 důležitý (ta udává jen změnu stavu). </w:t>
      </w:r>
    </w:p>
    <w:p>
      <w:pPr>
        <w:pStyle w:val="Normal"/>
        <w:spacing w:before="0" w:after="0"/>
        <w:contextualSpacing/>
        <w:jc w:val="both"/>
        <w:rPr/>
      </w:pPr>
      <w:r>
        <w:rPr/>
      </w:r>
    </w:p>
    <w:p>
      <w:pPr>
        <w:pStyle w:val="Normal"/>
        <w:spacing w:before="0" w:after="0"/>
        <w:contextualSpacing/>
        <w:jc w:val="both"/>
        <w:rPr/>
      </w:pPr>
      <w:r>
        <w:rPr/>
        <w:t xml:space="preserve">Vysvětlili jsme, že rozdíl mezi příjmy a výdaji (saldo příjmů a výdajů) a financováním je vždy roven 0. Je tomu tak v jakémkoliv okamžiku, ve kterém se zpracuje výkaz pro hodnocení plnění rozpočtu. Je to dáno tím, že položku 8115 generuje software automaticky při zaúčtování jakéhokoliv pohybu na krátkodobých účtech (SÚ 231, 236, v případě oddělené pokladny 261). Pro názornost několik příkladů při použití základního běžného účtu: </w:t>
      </w:r>
    </w:p>
    <w:p>
      <w:pPr>
        <w:pStyle w:val="Normal"/>
        <w:spacing w:before="0" w:after="0"/>
        <w:contextualSpacing/>
        <w:rPr/>
      </w:pPr>
      <w:r>
        <w:rPr/>
      </w:r>
    </w:p>
    <w:p>
      <w:pPr>
        <w:pStyle w:val="Normal"/>
        <w:spacing w:before="0" w:after="0"/>
        <w:contextualSpacing/>
        <w:jc w:val="both"/>
        <w:rPr>
          <w:b/>
          <w:b/>
        </w:rPr>
      </w:pPr>
      <w:r>
        <w:rPr>
          <w:b/>
        </w:rPr>
        <w:t>Zaúčtujeme: 231 MD pol. 1361 / 605 D ve výši 100 Kč</w:t>
      </w:r>
    </w:p>
    <w:p>
      <w:pPr>
        <w:pStyle w:val="Normal"/>
        <w:spacing w:before="0" w:after="0"/>
        <w:contextualSpacing/>
        <w:jc w:val="both"/>
        <w:rPr/>
      </w:pPr>
      <w:r>
        <w:rPr/>
        <w:t xml:space="preserve">Příjmy z operace: + 100, výdaje z operace: 0; saldo příjmů a výdajů: + 100; </w:t>
      </w:r>
    </w:p>
    <w:p>
      <w:pPr>
        <w:pStyle w:val="Normal"/>
        <w:spacing w:before="0" w:after="0"/>
        <w:contextualSpacing/>
        <w:jc w:val="both"/>
        <w:rPr/>
      </w:pPr>
      <w:r>
        <w:rPr/>
        <w:t xml:space="preserve">Software automaticky generuje položku 8115: – 100 → </w:t>
      </w:r>
      <w:r>
        <w:rPr>
          <w:b/>
        </w:rPr>
        <w:t>záporná, peníze přibyly.</w:t>
      </w:r>
    </w:p>
    <w:p>
      <w:pPr>
        <w:pStyle w:val="Normal"/>
        <w:spacing w:before="0" w:after="0"/>
        <w:contextualSpacing/>
        <w:jc w:val="both"/>
        <w:rPr/>
      </w:pPr>
      <w:r>
        <w:rPr/>
        <w:t>Saldo příjmů a výdajů + financování = 100 + (– 100) = 0</w:t>
      </w:r>
    </w:p>
    <w:p>
      <w:pPr>
        <w:pStyle w:val="Normal"/>
        <w:spacing w:before="0" w:after="0"/>
        <w:contextualSpacing/>
        <w:jc w:val="both"/>
        <w:rPr/>
      </w:pPr>
      <w:r>
        <w:rPr/>
      </w:r>
    </w:p>
    <w:p>
      <w:pPr>
        <w:pStyle w:val="Normal"/>
        <w:spacing w:before="0" w:after="0"/>
        <w:contextualSpacing/>
        <w:jc w:val="both"/>
        <w:rPr>
          <w:b/>
          <w:b/>
        </w:rPr>
      </w:pPr>
      <w:r>
        <w:rPr>
          <w:b/>
        </w:rPr>
        <w:t>Zaúčtujeme: 518 MD / 231 § 6171 pol. 5166 D ve výši 2 000 Kč</w:t>
      </w:r>
    </w:p>
    <w:p>
      <w:pPr>
        <w:pStyle w:val="Normal"/>
        <w:spacing w:before="0" w:after="0"/>
        <w:contextualSpacing/>
        <w:jc w:val="both"/>
        <w:rPr/>
      </w:pPr>
      <w:r>
        <w:rPr/>
        <w:t xml:space="preserve">Příjmy z operace: 0, výdaje z operace: 2 000; saldo příjmů a výdajů: – 2 000; </w:t>
      </w:r>
    </w:p>
    <w:p>
      <w:pPr>
        <w:pStyle w:val="Normal"/>
        <w:spacing w:before="0" w:after="0"/>
        <w:contextualSpacing/>
        <w:jc w:val="both"/>
        <w:rPr/>
      </w:pPr>
      <w:r>
        <w:rPr/>
        <w:t xml:space="preserve">Software automaticky generuje položku 8115: + 2 000 → </w:t>
      </w:r>
      <w:r>
        <w:rPr>
          <w:b/>
        </w:rPr>
        <w:t>kladná, peníze ubyly.</w:t>
      </w:r>
    </w:p>
    <w:p>
      <w:pPr>
        <w:pStyle w:val="Normal"/>
        <w:spacing w:before="0" w:after="0"/>
        <w:contextualSpacing/>
        <w:jc w:val="both"/>
        <w:rPr/>
      </w:pPr>
      <w:r>
        <w:rPr/>
        <w:t>Saldo příjmů a výdajů + financování = – 2 000 + 2 000 = 0</w:t>
      </w:r>
    </w:p>
    <w:p>
      <w:pPr>
        <w:pStyle w:val="Normal"/>
        <w:spacing w:before="0" w:after="0"/>
        <w:contextualSpacing/>
        <w:jc w:val="both"/>
        <w:rPr/>
      </w:pPr>
      <w:r>
        <w:rPr/>
      </w:r>
    </w:p>
    <w:p>
      <w:pPr>
        <w:pStyle w:val="Normal"/>
        <w:spacing w:before="0" w:after="0"/>
        <w:contextualSpacing/>
        <w:jc w:val="both"/>
        <w:rPr>
          <w:b/>
          <w:b/>
        </w:rPr>
      </w:pPr>
      <w:r>
        <w:rPr>
          <w:b/>
        </w:rPr>
        <w:t>Zaúčtujeme: 321 MD / 231 § 3113 pol. 6121 D ve výši 100 000 Kč</w:t>
      </w:r>
    </w:p>
    <w:p>
      <w:pPr>
        <w:pStyle w:val="Normal"/>
        <w:spacing w:before="0" w:after="0"/>
        <w:contextualSpacing/>
        <w:jc w:val="both"/>
        <w:rPr/>
      </w:pPr>
      <w:r>
        <w:rPr/>
        <w:t xml:space="preserve">Příjmy z operace: 0, výdaje z operace: 100 000; saldo příjmů a výdajů: – 100 000; </w:t>
      </w:r>
    </w:p>
    <w:p>
      <w:pPr>
        <w:pStyle w:val="Normal"/>
        <w:spacing w:before="0" w:after="0"/>
        <w:contextualSpacing/>
        <w:jc w:val="both"/>
        <w:rPr/>
      </w:pPr>
      <w:r>
        <w:rPr/>
        <w:t xml:space="preserve">Software automaticky generuje položku 8115: + 100 000 → </w:t>
      </w:r>
      <w:r>
        <w:rPr>
          <w:b/>
        </w:rPr>
        <w:t>kladná, peníze ubyly.</w:t>
      </w:r>
    </w:p>
    <w:p>
      <w:pPr>
        <w:pStyle w:val="Normal"/>
        <w:spacing w:before="0" w:after="0"/>
        <w:contextualSpacing/>
        <w:jc w:val="both"/>
        <w:rPr/>
      </w:pPr>
      <w:r>
        <w:rPr/>
        <w:t>Saldo příjmů a výdajů + financování = – 100 000 + 100 000 = 0</w:t>
      </w:r>
    </w:p>
    <w:p>
      <w:pPr>
        <w:pStyle w:val="Normal"/>
        <w:spacing w:before="0" w:after="0"/>
        <w:contextualSpacing/>
        <w:jc w:val="both"/>
        <w:rPr/>
      </w:pPr>
      <w:r>
        <w:rPr/>
      </w:r>
    </w:p>
    <w:p>
      <w:pPr>
        <w:pStyle w:val="Normal"/>
        <w:spacing w:before="0" w:after="0"/>
        <w:contextualSpacing/>
        <w:jc w:val="both"/>
        <w:rPr>
          <w:b/>
          <w:b/>
        </w:rPr>
      </w:pPr>
      <w:r>
        <w:rPr>
          <w:b/>
        </w:rPr>
        <w:t>Zaúčtujeme: 231 pol. 1211 MD / 684 D ve výši 150 000 Kč</w:t>
      </w:r>
    </w:p>
    <w:p>
      <w:pPr>
        <w:pStyle w:val="Normal"/>
        <w:spacing w:before="0" w:after="0"/>
        <w:contextualSpacing/>
        <w:jc w:val="both"/>
        <w:rPr/>
      </w:pPr>
      <w:r>
        <w:rPr/>
        <w:t xml:space="preserve">Příjmy z operace: 150 000, výdaje z operace: 0; saldo příjmů a výdajů: + 150 000; </w:t>
      </w:r>
    </w:p>
    <w:p>
      <w:pPr>
        <w:pStyle w:val="Normal"/>
        <w:spacing w:before="0" w:after="0"/>
        <w:contextualSpacing/>
        <w:jc w:val="both"/>
        <w:rPr/>
      </w:pPr>
      <w:r>
        <w:rPr/>
        <w:t xml:space="preserve">Software automaticky generuje položku 8115: – 150 000 → </w:t>
      </w:r>
      <w:r>
        <w:rPr>
          <w:b/>
        </w:rPr>
        <w:t>záporná, peníze přibyly.</w:t>
      </w:r>
    </w:p>
    <w:p>
      <w:pPr>
        <w:pStyle w:val="Normal"/>
        <w:spacing w:before="0" w:after="0"/>
        <w:contextualSpacing/>
        <w:jc w:val="both"/>
        <w:rPr/>
      </w:pPr>
      <w:r>
        <w:rPr/>
        <w:t>Saldo příjmů a výdajů + financování = 150 000 + (– 150 000) = 0</w:t>
      </w:r>
    </w:p>
    <w:p>
      <w:pPr>
        <w:pStyle w:val="Normal"/>
        <w:spacing w:before="0" w:after="0"/>
        <w:contextualSpacing/>
        <w:jc w:val="both"/>
        <w:rPr/>
      </w:pPr>
      <w:r>
        <w:rPr/>
      </w:r>
    </w:p>
    <w:p>
      <w:pPr>
        <w:pStyle w:val="Normal"/>
        <w:spacing w:before="0" w:after="0"/>
        <w:contextualSpacing/>
        <w:jc w:val="both"/>
        <w:rPr/>
      </w:pPr>
      <w:r>
        <w:rPr/>
        <w:t>Necháme-li po těchto čtyřech účetních případech zpracovat výkaz FIN 2-12 M, bude obsahovat tyto hodnoty (za předpokladu, že se jedná o úplný začátek účetního období a dosavadní plnění příjmů, výdajů i financování bylo 0):</w:t>
      </w:r>
    </w:p>
    <w:p>
      <w:pPr>
        <w:pStyle w:val="Normal"/>
        <w:spacing w:before="0" w:after="0"/>
        <w:contextualSpacing/>
        <w:jc w:val="both"/>
        <w:rPr/>
      </w:pPr>
      <w:r>
        <w:rPr>
          <w:b/>
        </w:rPr>
        <w:t>Příjmy</w:t>
      </w:r>
      <w:r>
        <w:rPr/>
        <w:t xml:space="preserve">: 100 + 150 000 = 150 100 Kč </w:t>
      </w:r>
    </w:p>
    <w:p>
      <w:pPr>
        <w:pStyle w:val="Normal"/>
        <w:spacing w:before="0" w:after="0"/>
        <w:contextualSpacing/>
        <w:jc w:val="both"/>
        <w:rPr>
          <w:b/>
          <w:b/>
        </w:rPr>
      </w:pPr>
      <w:r>
        <w:rPr>
          <w:b/>
        </w:rPr>
        <w:t>Výdaje</w:t>
      </w:r>
      <w:r>
        <w:rPr/>
        <w:t>: 2 000 + 100 000 = 102 000 Kč</w:t>
      </w:r>
    </w:p>
    <w:p>
      <w:pPr>
        <w:pStyle w:val="Normal"/>
        <w:spacing w:before="0" w:after="0"/>
        <w:contextualSpacing/>
        <w:jc w:val="both"/>
        <w:rPr/>
      </w:pPr>
      <w:r>
        <w:rPr>
          <w:b/>
        </w:rPr>
        <w:t>Saldo příjmů a výdajů</w:t>
      </w:r>
      <w:r>
        <w:rPr/>
        <w:t>:</w:t>
      </w:r>
      <w:r>
        <w:rPr>
          <w:b/>
        </w:rPr>
        <w:t xml:space="preserve"> </w:t>
      </w:r>
      <w:r>
        <w:rPr/>
        <w:t>150 100 – 102 000 = 48 100 Kč</w:t>
      </w:r>
    </w:p>
    <w:p>
      <w:pPr>
        <w:pStyle w:val="Normal"/>
        <w:spacing w:before="0" w:after="0"/>
        <w:contextualSpacing/>
        <w:jc w:val="both"/>
        <w:rPr>
          <w:b/>
          <w:b/>
        </w:rPr>
      </w:pPr>
      <w:r>
        <w:rPr>
          <w:b/>
        </w:rPr>
        <w:t xml:space="preserve">Financování </w:t>
      </w:r>
      <w:r>
        <w:rPr/>
        <w:t>(zde jen položka 8115): – 48 100 Kč</w:t>
      </w:r>
    </w:p>
    <w:p>
      <w:pPr>
        <w:pStyle w:val="Normal"/>
        <w:spacing w:before="0" w:after="0"/>
        <w:contextualSpacing/>
        <w:jc w:val="both"/>
        <w:rPr/>
      </w:pPr>
      <w:r>
        <w:rPr/>
        <w:t>Saldo příjmů a výdajů + financování = 48 100 + (– 48 100) = 0</w:t>
      </w:r>
    </w:p>
    <w:p>
      <w:pPr>
        <w:pStyle w:val="Normal"/>
        <w:spacing w:before="0" w:after="0"/>
        <w:contextualSpacing/>
        <w:rPr/>
      </w:pPr>
      <w:r>
        <w:rPr/>
      </w:r>
    </w:p>
    <w:p>
      <w:pPr>
        <w:pStyle w:val="Normal"/>
        <w:rPr/>
      </w:pPr>
      <w:r>
        <w:rPr>
          <w:b/>
        </w:rPr>
        <w:t>Položka 8115 = – 48 100 Kč → peníze přibyly</w:t>
      </w:r>
    </w:p>
    <w:p>
      <w:pPr>
        <w:pStyle w:val="Normal"/>
        <w:jc w:val="both"/>
        <w:rPr>
          <w:i/>
          <w:i/>
        </w:rPr>
      </w:pPr>
      <w:r>
        <w:rPr>
          <w:i/>
        </w:rPr>
      </w:r>
    </w:p>
    <w:p>
      <w:pPr>
        <w:pStyle w:val="Normal"/>
        <w:jc w:val="both"/>
        <w:rPr>
          <w:i/>
          <w:i/>
        </w:rPr>
      </w:pPr>
      <w:r>
        <w:rPr>
          <w:i/>
        </w:rPr>
        <w:t>Příklad</w:t>
      </w:r>
    </w:p>
    <w:p>
      <w:pPr>
        <w:pStyle w:val="Normal"/>
        <w:spacing w:before="0" w:after="120"/>
        <w:jc w:val="both"/>
        <w:rPr>
          <w:i/>
          <w:i/>
        </w:rPr>
      </w:pPr>
      <w:r>
        <w:rPr>
          <w:i/>
        </w:rPr>
        <w:t xml:space="preserve">Obec má k 1. 1. na ZBÚ 11 mil. Kč, na účtech peněžních fondů 900 tis. Kč, v oddělené pokladně 100 tis. Kč, v průběhu roku realizuje příjmy 40 mil. Kč, výdaje 44 mil. Kč, čerpá úvěr ve výši 8 mil. Kč (přijat na ZBÚ), hradí splátku úvěru z minulých let 2 mil. Kč. Jaké je skutečné plnění na pol. 8115 k 31.12.? </w:t>
      </w:r>
    </w:p>
    <w:p>
      <w:pPr>
        <w:pStyle w:val="Normal"/>
        <w:jc w:val="both"/>
        <w:rPr>
          <w:i/>
          <w:i/>
        </w:rPr>
      </w:pPr>
      <w:r>
        <w:rPr>
          <w:i/>
        </w:rPr>
        <w:t>PS ZBÚ 11 + PS fondy 0,9 + PS pokladna 0,1 + příjmy 40 – výdaje 44 + přijatý úvěr 8 – splátka úvěru 2 = KS 14</w:t>
      </w:r>
    </w:p>
    <w:p>
      <w:pPr>
        <w:pStyle w:val="Normal"/>
        <w:spacing w:before="0" w:after="120"/>
        <w:jc w:val="both"/>
        <w:rPr>
          <w:i/>
          <w:i/>
        </w:rPr>
      </w:pPr>
      <w:r>
        <w:rPr>
          <w:i/>
        </w:rPr>
        <w:t xml:space="preserve">PS </w:t>
      </w:r>
      <w:r>
        <w:rPr>
          <w:i/>
          <w:highlight w:val="yellow"/>
        </w:rPr>
        <w:t>12</w:t>
      </w:r>
      <w:r>
        <w:rPr>
          <w:i/>
        </w:rPr>
        <w:t xml:space="preserve"> mil. Kč – KS 14 = </w:t>
      </w:r>
      <w:r>
        <w:rPr>
          <w:i/>
          <w:highlight w:val="yellow"/>
        </w:rPr>
        <w:t>- 2</w:t>
      </w:r>
      <w:r>
        <w:rPr>
          <w:i/>
        </w:rPr>
        <w:t xml:space="preserve"> = pol. 8115 (peníze přibyly o </w:t>
      </w:r>
      <w:r>
        <w:rPr>
          <w:i/>
          <w:highlight w:val="yellow"/>
        </w:rPr>
        <w:t>2</w:t>
      </w:r>
      <w:r>
        <w:rPr>
          <w:i/>
        </w:rPr>
        <w:t xml:space="preserve"> mil. Kč). </w:t>
      </w:r>
    </w:p>
    <w:p>
      <w:pPr>
        <w:pStyle w:val="Normal"/>
        <w:jc w:val="both"/>
        <w:rPr>
          <w:i/>
          <w:i/>
        </w:rPr>
      </w:pPr>
      <w:r>
        <w:rPr>
          <w:i/>
        </w:rPr>
      </w:r>
    </w:p>
    <w:p>
      <w:pPr>
        <w:pStyle w:val="Normal"/>
        <w:jc w:val="both"/>
        <w:rPr>
          <w:i/>
          <w:i/>
        </w:rPr>
      </w:pPr>
      <w:r>
        <w:rPr>
          <w:i/>
        </w:rPr>
        <w:t>Ilustrace:</w:t>
      </w:r>
    </w:p>
    <w:p>
      <w:pPr>
        <w:pStyle w:val="Normal"/>
        <w:jc w:val="both"/>
        <w:rPr>
          <w:i/>
          <w:i/>
        </w:rPr>
      </w:pPr>
      <w:r>
        <w:rPr>
          <w:i/>
        </w:rPr>
        <w:t xml:space="preserve">Výsledek od počátku roku na pol. 8115: - 2 174 172,50 Kč </w:t>
      </w:r>
    </w:p>
    <w:p>
      <w:pPr>
        <w:pStyle w:val="Normal"/>
        <w:spacing w:before="0" w:after="120"/>
        <w:jc w:val="both"/>
        <w:rPr>
          <w:i/>
          <w:i/>
        </w:rPr>
      </w:pPr>
      <w:r>
        <w:rPr>
          <w:i/>
        </w:rPr>
        <w:t xml:space="preserve">Víme, že peníze o tuto částku přibyly (konečný stav je vyšší než počáteční). Ověříme v části VI. výkazu FIN 2-12 M. Zde máme rozepsanou změnu stavu pro ZBÚ (účet 231), účty peněžních fondů (účet 236) a v případě použití pokladny v režimu oddělených pokladen rovněž účet 261. Celkem bude změna stavu – 2 174 172,50 Kč. </w:t>
      </w:r>
    </w:p>
    <w:p>
      <w:pPr>
        <w:pStyle w:val="Normal"/>
        <w:spacing w:before="0" w:after="60"/>
        <w:jc w:val="both"/>
        <w:rPr>
          <w:b/>
          <w:b/>
        </w:rPr>
      </w:pPr>
      <w:r>
        <w:rPr>
          <w:b/>
        </w:rPr>
        <w:t xml:space="preserve">Vygenerování obratové předvahy za účty, u kterých se používá RS: </w:t>
      </w:r>
    </w:p>
    <w:tbl>
      <w:tblPr>
        <w:tblW w:w="9938" w:type="dxa"/>
        <w:jc w:val="left"/>
        <w:tblInd w:w="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top w:w="0" w:type="dxa"/>
          <w:left w:w="65" w:type="dxa"/>
          <w:bottom w:w="0" w:type="dxa"/>
          <w:right w:w="70" w:type="dxa"/>
        </w:tblCellMar>
        <w:tblLook w:val="04a0" w:noVBand="1" w:noHBand="0" w:lastColumn="0" w:firstColumn="1" w:lastRow="0" w:firstRow="1"/>
      </w:tblPr>
      <w:tblGrid>
        <w:gridCol w:w="545"/>
        <w:gridCol w:w="666"/>
        <w:gridCol w:w="1034"/>
        <w:gridCol w:w="1520"/>
        <w:gridCol w:w="1520"/>
        <w:gridCol w:w="1532"/>
        <w:gridCol w:w="1560"/>
        <w:gridCol w:w="1"/>
        <w:gridCol w:w="1558"/>
      </w:tblGrid>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rPr>
            </w:pPr>
            <w:r>
              <w:rPr>
                <w:b/>
                <w:bCs/>
              </w:rPr>
              <w:t>SU</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color w:val="000000"/>
              </w:rPr>
            </w:pPr>
            <w:r>
              <w:rPr>
                <w:b/>
                <w:bCs/>
                <w:color w:val="000000"/>
              </w:rPr>
              <w:t>AU</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color w:val="000000"/>
              </w:rPr>
            </w:pPr>
            <w:r>
              <w:rPr>
                <w:b/>
                <w:bCs/>
                <w:color w:val="000000"/>
              </w:rPr>
              <w:t>Text</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color w:val="000000"/>
              </w:rPr>
            </w:pPr>
            <w:r>
              <w:rPr>
                <w:b/>
                <w:bCs/>
                <w:color w:val="000000"/>
              </w:rPr>
              <w:t>PS 2017</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color w:val="000000"/>
              </w:rPr>
            </w:pPr>
            <w:r>
              <w:rPr>
                <w:b/>
                <w:bCs/>
                <w:color w:val="000000"/>
              </w:rPr>
              <w:t>obrat MD</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color w:val="000000"/>
              </w:rPr>
            </w:pPr>
            <w:r>
              <w:rPr>
                <w:b/>
                <w:bCs/>
                <w:color w:val="000000"/>
              </w:rPr>
              <w:t>obrat DAL</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center"/>
              <w:rPr>
                <w:b/>
                <w:b/>
                <w:bCs/>
                <w:color w:val="000000"/>
              </w:rPr>
            </w:pPr>
            <w:r>
              <w:rPr>
                <w:b/>
                <w:bCs/>
                <w:color w:val="000000"/>
              </w:rPr>
              <w:t>KZ 2017</w:t>
            </w:r>
          </w:p>
        </w:tc>
        <w:tc>
          <w:tcPr>
            <w:tcW w:w="1559" w:type="dxa"/>
            <w:gridSpan w:val="2"/>
            <w:tcBorders>
              <w:left w:val="single" w:sz="4" w:space="0" w:color="333333"/>
            </w:tcBorders>
            <w:shd w:color="auto" w:fill="auto" w:val="clear"/>
            <w:tcMar>
              <w:left w:w="65" w:type="dxa"/>
            </w:tcMar>
            <w:vAlign w:val="bottom"/>
          </w:tcPr>
          <w:p>
            <w:pPr>
              <w:pStyle w:val="Normal"/>
              <w:spacing w:before="0" w:after="0"/>
              <w:contextualSpacing/>
              <w:jc w:val="right"/>
              <w:rPr>
                <w:b/>
                <w:b/>
                <w:i/>
                <w:i/>
                <w:iCs/>
                <w:color w:val="000000"/>
              </w:rPr>
            </w:pPr>
            <w:r>
              <w:rPr>
                <w:b/>
                <w:i/>
                <w:iCs/>
                <w:color w:val="000000"/>
              </w:rPr>
              <w:t xml:space="preserve">Změna stavu </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231</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0010</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ZBÚ X</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10 456 253,00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55 828 412,00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52 111 873,50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14 172 791,50</w:t>
            </w:r>
          </w:p>
        </w:tc>
        <w:tc>
          <w:tcPr>
            <w:tcW w:w="1559" w:type="dxa"/>
            <w:gridSpan w:val="2"/>
            <w:tcBorders>
              <w:left w:val="single" w:sz="4" w:space="0" w:color="333333"/>
            </w:tcBorders>
            <w:shd w:color="auto" w:fill="auto" w:val="clear"/>
            <w:tcMar>
              <w:left w:w="65" w:type="dxa"/>
            </w:tcMar>
            <w:vAlign w:val="center"/>
          </w:tcPr>
          <w:p>
            <w:pPr>
              <w:pStyle w:val="Normal"/>
              <w:spacing w:before="0" w:after="0"/>
              <w:contextualSpacing/>
              <w:jc w:val="right"/>
              <w:rPr>
                <w:i/>
                <w:i/>
                <w:iCs/>
                <w:color w:val="000000"/>
              </w:rPr>
            </w:pPr>
            <w:r>
              <w:rPr>
                <w:i/>
                <w:iCs/>
                <w:color w:val="000000"/>
              </w:rPr>
              <w:t>-3 716 538,50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231</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0020</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ZBÚ Y</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4 398 743,00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10 434 870,00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11 980 411,00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2 853 202,00</w:t>
            </w:r>
          </w:p>
        </w:tc>
        <w:tc>
          <w:tcPr>
            <w:tcW w:w="1559" w:type="dxa"/>
            <w:gridSpan w:val="2"/>
            <w:tcBorders>
              <w:left w:val="single" w:sz="4" w:space="0" w:color="333333"/>
            </w:tcBorders>
            <w:shd w:color="auto" w:fill="auto" w:val="clear"/>
            <w:tcMar>
              <w:left w:w="65" w:type="dxa"/>
            </w:tcMar>
            <w:vAlign w:val="center"/>
          </w:tcPr>
          <w:p>
            <w:pPr>
              <w:pStyle w:val="Normal"/>
              <w:spacing w:before="0" w:after="0"/>
              <w:contextualSpacing/>
              <w:jc w:val="right"/>
              <w:rPr>
                <w:i/>
                <w:i/>
                <w:iCs/>
                <w:color w:val="000000"/>
              </w:rPr>
            </w:pPr>
            <w:r>
              <w:rPr>
                <w:i/>
                <w:iCs/>
                <w:color w:val="000000"/>
              </w:rPr>
              <w:t>1 545 541,00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231</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0021</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ZBÚ Z</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500 589,00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200 765,00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187 000,00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514 354,00</w:t>
            </w:r>
          </w:p>
        </w:tc>
        <w:tc>
          <w:tcPr>
            <w:tcW w:w="1559" w:type="dxa"/>
            <w:gridSpan w:val="2"/>
            <w:tcBorders>
              <w:left w:val="single" w:sz="4" w:space="0" w:color="333333"/>
            </w:tcBorders>
            <w:shd w:color="auto" w:fill="auto" w:val="clear"/>
            <w:tcMar>
              <w:left w:w="65" w:type="dxa"/>
            </w:tcMar>
            <w:vAlign w:val="center"/>
          </w:tcPr>
          <w:p>
            <w:pPr>
              <w:pStyle w:val="Normal"/>
              <w:spacing w:before="0" w:after="0"/>
              <w:contextualSpacing/>
              <w:jc w:val="right"/>
              <w:rPr>
                <w:i/>
                <w:i/>
                <w:iCs/>
                <w:color w:val="000000"/>
              </w:rPr>
            </w:pPr>
            <w:r>
              <w:rPr>
                <w:i/>
                <w:iCs/>
                <w:color w:val="000000"/>
              </w:rPr>
              <w:t>-13 765,00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rPr>
                <w:bCs/>
                <w:color w:val="000000"/>
              </w:rPr>
            </w:pPr>
            <w:r>
              <w:rPr>
                <w:bCs/>
                <w:color w:val="000000"/>
              </w:rPr>
              <w:t xml:space="preserve">231 </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rPr>
                <w:bCs/>
                <w:color w:val="000000"/>
              </w:rPr>
            </w:pPr>
            <w:r>
              <w:rPr>
                <w:bCs/>
                <w:color w:val="000000"/>
              </w:rPr>
              <w:t>xxxx</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rPr>
                <w:bCs/>
                <w:color w:val="000000"/>
              </w:rPr>
            </w:pPr>
            <w:r>
              <w:rPr>
                <w:bCs/>
                <w:color w:val="000000"/>
              </w:rPr>
              <w:t>Celkem</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15 355 585,00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66 464 047,00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64 279 284,50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17 540 347,50</w:t>
            </w:r>
          </w:p>
        </w:tc>
        <w:tc>
          <w:tcPr>
            <w:tcW w:w="1559" w:type="dxa"/>
            <w:gridSpan w:val="2"/>
            <w:tcBorders>
              <w:left w:val="single" w:sz="4" w:space="0" w:color="333333"/>
            </w:tcBorders>
            <w:shd w:color="auto" w:fill="D9D9D9" w:themeFill="background1" w:themeFillShade="d9" w:val="clear"/>
            <w:tcMar>
              <w:left w:w="65" w:type="dxa"/>
            </w:tcMar>
            <w:vAlign w:val="center"/>
          </w:tcPr>
          <w:p>
            <w:pPr>
              <w:pStyle w:val="Normal"/>
              <w:spacing w:before="0" w:after="0"/>
              <w:contextualSpacing/>
              <w:jc w:val="right"/>
              <w:rPr>
                <w:i/>
                <w:i/>
                <w:iCs/>
                <w:color w:val="000000"/>
              </w:rPr>
            </w:pPr>
            <w:r>
              <w:rPr>
                <w:i/>
                <w:iCs/>
                <w:color w:val="000000"/>
              </w:rPr>
              <w:t>-2 184 762,50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236</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0010</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rPr>
                <w:color w:val="000000"/>
              </w:rPr>
            </w:pPr>
            <w:r>
              <w:rPr>
                <w:color w:val="000000"/>
              </w:rPr>
              <w:t>SF</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450 432,00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200 000,00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230 590,00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419 842,00</w:t>
            </w:r>
          </w:p>
        </w:tc>
        <w:tc>
          <w:tcPr>
            <w:tcW w:w="1559" w:type="dxa"/>
            <w:gridSpan w:val="2"/>
            <w:tcBorders>
              <w:left w:val="single" w:sz="4" w:space="0" w:color="333333"/>
            </w:tcBorders>
            <w:shd w:color="auto" w:fill="auto" w:val="clear"/>
            <w:tcMar>
              <w:left w:w="65" w:type="dxa"/>
            </w:tcMar>
            <w:vAlign w:val="center"/>
          </w:tcPr>
          <w:p>
            <w:pPr>
              <w:pStyle w:val="Normal"/>
              <w:spacing w:before="0" w:after="0"/>
              <w:contextualSpacing/>
              <w:jc w:val="right"/>
              <w:rPr>
                <w:i/>
                <w:i/>
                <w:iCs/>
                <w:color w:val="000000"/>
              </w:rPr>
            </w:pPr>
            <w:r>
              <w:rPr>
                <w:i/>
                <w:iCs/>
                <w:color w:val="000000"/>
              </w:rPr>
              <w:t>30 590,00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rPr>
                <w:bCs/>
                <w:color w:val="000000"/>
              </w:rPr>
            </w:pPr>
            <w:r>
              <w:rPr>
                <w:bCs/>
                <w:color w:val="000000"/>
              </w:rPr>
              <w:t>236</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rPr>
                <w:bCs/>
                <w:color w:val="000000"/>
              </w:rPr>
            </w:pPr>
            <w:r>
              <w:rPr>
                <w:bCs/>
                <w:color w:val="000000"/>
              </w:rPr>
              <w:t>xxxx</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rPr>
                <w:bCs/>
                <w:color w:val="000000"/>
              </w:rPr>
            </w:pPr>
            <w:r>
              <w:rPr>
                <w:bCs/>
                <w:color w:val="000000"/>
              </w:rPr>
              <w:t>Celkem</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450 432,00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200 000,00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230 590,00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bCs/>
                <w:color w:val="000000"/>
              </w:rPr>
            </w:pPr>
            <w:r>
              <w:rPr>
                <w:bCs/>
                <w:color w:val="000000"/>
              </w:rPr>
              <w:t>419 842,00</w:t>
            </w:r>
          </w:p>
        </w:tc>
        <w:tc>
          <w:tcPr>
            <w:tcW w:w="1559" w:type="dxa"/>
            <w:gridSpan w:val="2"/>
            <w:tcBorders>
              <w:left w:val="single" w:sz="4" w:space="0" w:color="333333"/>
            </w:tcBorders>
            <w:shd w:color="auto" w:fill="D9D9D9" w:themeFill="background1" w:themeFillShade="d9" w:val="clear"/>
            <w:tcMar>
              <w:left w:w="65" w:type="dxa"/>
            </w:tcMar>
            <w:vAlign w:val="center"/>
          </w:tcPr>
          <w:p>
            <w:pPr>
              <w:pStyle w:val="Normal"/>
              <w:spacing w:before="0" w:after="0"/>
              <w:contextualSpacing/>
              <w:jc w:val="right"/>
              <w:rPr>
                <w:i/>
                <w:i/>
                <w:iCs/>
                <w:color w:val="000000"/>
              </w:rPr>
            </w:pPr>
            <w:r>
              <w:rPr>
                <w:i/>
                <w:iCs/>
                <w:color w:val="000000"/>
              </w:rPr>
              <w:t>30 590,00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rPr>
                <w:color w:val="000000"/>
              </w:rPr>
            </w:pPr>
            <w:r>
              <w:rPr>
                <w:color w:val="000000"/>
              </w:rPr>
              <w:t>23x</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rPr>
                <w:color w:val="000000"/>
              </w:rPr>
            </w:pPr>
            <w:r>
              <w:rPr>
                <w:color w:val="000000"/>
              </w:rPr>
              <w:t>xxxx</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rPr>
                <w:color w:val="000000"/>
              </w:rPr>
            </w:pPr>
            <w:r>
              <w:rPr>
                <w:color w:val="000000"/>
              </w:rPr>
              <w:t xml:space="preserve">Celkem </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jc w:val="right"/>
              <w:rPr>
                <w:color w:val="000000"/>
              </w:rPr>
            </w:pPr>
            <w:r>
              <w:rPr>
                <w:color w:val="000000"/>
              </w:rPr>
              <w:t>15 806 017,00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jc w:val="right"/>
              <w:rPr>
                <w:color w:val="000000"/>
              </w:rPr>
            </w:pPr>
            <w:r>
              <w:rPr>
                <w:color w:val="000000"/>
              </w:rPr>
              <w:t>66 664 047,00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jc w:val="right"/>
              <w:rPr>
                <w:color w:val="000000"/>
              </w:rPr>
            </w:pPr>
            <w:r>
              <w:rPr>
                <w:color w:val="000000"/>
              </w:rPr>
              <w:t>64 509 874,50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BFBFBF" w:themeFill="background1" w:themeFillShade="bf" w:val="clear"/>
            <w:tcMar>
              <w:left w:w="65" w:type="dxa"/>
            </w:tcMar>
            <w:vAlign w:val="center"/>
          </w:tcPr>
          <w:p>
            <w:pPr>
              <w:pStyle w:val="Normal"/>
              <w:spacing w:before="0" w:after="0"/>
              <w:contextualSpacing/>
              <w:jc w:val="right"/>
              <w:rPr>
                <w:color w:val="000000"/>
              </w:rPr>
            </w:pPr>
            <w:r>
              <w:rPr>
                <w:color w:val="000000"/>
              </w:rPr>
              <w:t>17 960 189,50</w:t>
            </w:r>
          </w:p>
        </w:tc>
        <w:tc>
          <w:tcPr>
            <w:tcW w:w="1559" w:type="dxa"/>
            <w:gridSpan w:val="2"/>
            <w:tcBorders>
              <w:left w:val="single" w:sz="4" w:space="0" w:color="333333"/>
            </w:tcBorders>
            <w:shd w:color="auto" w:fill="BFBFBF" w:themeFill="background1" w:themeFillShade="bf" w:val="clear"/>
            <w:tcMar>
              <w:left w:w="65" w:type="dxa"/>
            </w:tcMar>
            <w:vAlign w:val="center"/>
          </w:tcPr>
          <w:p>
            <w:pPr>
              <w:pStyle w:val="Normal"/>
              <w:spacing w:before="0" w:after="0"/>
              <w:contextualSpacing/>
              <w:jc w:val="right"/>
              <w:rPr>
                <w:i/>
                <w:i/>
                <w:iCs/>
                <w:color w:val="000000"/>
              </w:rPr>
            </w:pPr>
            <w:r>
              <w:rPr>
                <w:i/>
                <w:iCs/>
                <w:color w:val="000000"/>
              </w:rPr>
              <w:t>-2 154 172,50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bottom"/>
          </w:tcPr>
          <w:p>
            <w:pPr>
              <w:pStyle w:val="Normal"/>
              <w:spacing w:before="0" w:after="0"/>
              <w:contextualSpacing/>
              <w:rPr>
                <w:color w:val="000000"/>
              </w:rPr>
            </w:pPr>
            <w:r>
              <w:rPr>
                <w:color w:val="000000"/>
              </w:rPr>
              <w:t>261</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bottom"/>
          </w:tcPr>
          <w:p>
            <w:pPr>
              <w:pStyle w:val="Normal"/>
              <w:spacing w:before="0" w:after="0"/>
              <w:contextualSpacing/>
              <w:rPr>
                <w:color w:val="000000"/>
              </w:rPr>
            </w:pPr>
            <w:r>
              <w:rPr>
                <w:color w:val="000000"/>
              </w:rPr>
              <w:t>0010</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bottom"/>
          </w:tcPr>
          <w:p>
            <w:pPr>
              <w:pStyle w:val="Normal"/>
              <w:spacing w:before="0" w:after="0"/>
              <w:contextualSpacing/>
              <w:rPr>
                <w:color w:val="000000"/>
              </w:rPr>
            </w:pPr>
            <w:r>
              <w:rPr>
                <w:color w:val="000000"/>
              </w:rPr>
              <w:t>Pokladna</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0,00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820 000,00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800 000,00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spacing w:before="0" w:after="0"/>
              <w:contextualSpacing/>
              <w:jc w:val="right"/>
              <w:rPr>
                <w:color w:val="000000"/>
              </w:rPr>
            </w:pPr>
            <w:r>
              <w:rPr>
                <w:color w:val="000000"/>
              </w:rPr>
              <w:t>20 000,00</w:t>
            </w:r>
          </w:p>
        </w:tc>
        <w:tc>
          <w:tcPr>
            <w:tcW w:w="1559" w:type="dxa"/>
            <w:gridSpan w:val="2"/>
            <w:tcBorders>
              <w:left w:val="single" w:sz="4" w:space="0" w:color="333333"/>
            </w:tcBorders>
            <w:shd w:color="auto" w:fill="auto" w:val="clear"/>
            <w:tcMar>
              <w:left w:w="65" w:type="dxa"/>
            </w:tcMar>
            <w:vAlign w:val="center"/>
          </w:tcPr>
          <w:p>
            <w:pPr>
              <w:pStyle w:val="Normal"/>
              <w:spacing w:before="0" w:after="0"/>
              <w:contextualSpacing/>
              <w:jc w:val="right"/>
              <w:rPr>
                <w:i/>
                <w:i/>
                <w:iCs/>
                <w:color w:val="000000"/>
              </w:rPr>
            </w:pPr>
            <w:r>
              <w:rPr>
                <w:i/>
                <w:iCs/>
                <w:color w:val="000000"/>
              </w:rPr>
              <w:t>-20 000,00</w:t>
            </w:r>
          </w:p>
        </w:tc>
      </w:tr>
      <w:tr>
        <w:trPr>
          <w:trHeight w:val="340" w:hRule="atLeast"/>
        </w:trPr>
        <w:tc>
          <w:tcPr>
            <w:tcW w:w="54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bottom"/>
          </w:tcPr>
          <w:p>
            <w:pPr>
              <w:pStyle w:val="Normal"/>
              <w:spacing w:before="0" w:after="0"/>
              <w:contextualSpacing/>
              <w:rPr>
                <w:bCs/>
                <w:color w:val="000000"/>
              </w:rPr>
            </w:pPr>
            <w:r>
              <w:rPr>
                <w:bCs/>
                <w:color w:val="000000"/>
              </w:rPr>
              <w:t>261</w:t>
            </w:r>
          </w:p>
        </w:tc>
        <w:tc>
          <w:tcPr>
            <w:tcW w:w="666"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bottom"/>
          </w:tcPr>
          <w:p>
            <w:pPr>
              <w:pStyle w:val="Normal"/>
              <w:spacing w:before="0" w:after="0"/>
              <w:contextualSpacing/>
              <w:rPr>
                <w:bCs/>
                <w:color w:val="000000"/>
              </w:rPr>
            </w:pPr>
            <w:r>
              <w:rPr>
                <w:bCs/>
                <w:color w:val="000000"/>
              </w:rPr>
              <w:t>xxxx</w:t>
            </w:r>
          </w:p>
        </w:tc>
        <w:tc>
          <w:tcPr>
            <w:tcW w:w="10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bottom"/>
          </w:tcPr>
          <w:p>
            <w:pPr>
              <w:pStyle w:val="Normal"/>
              <w:spacing w:before="0" w:after="0"/>
              <w:contextualSpacing/>
              <w:rPr>
                <w:bCs/>
                <w:color w:val="000000"/>
              </w:rPr>
            </w:pPr>
            <w:r>
              <w:rPr>
                <w:bCs/>
                <w:color w:val="000000"/>
              </w:rPr>
              <w:t>Celkem</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color w:val="000000"/>
              </w:rPr>
            </w:pPr>
            <w:r>
              <w:rPr>
                <w:color w:val="000000"/>
              </w:rPr>
              <w:t>0,00</w:t>
            </w:r>
          </w:p>
        </w:tc>
        <w:tc>
          <w:tcPr>
            <w:tcW w:w="152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color w:val="000000"/>
              </w:rPr>
            </w:pPr>
            <w:r>
              <w:rPr>
                <w:color w:val="000000"/>
              </w:rPr>
              <w:t>820 000,00</w:t>
            </w:r>
          </w:p>
        </w:tc>
        <w:tc>
          <w:tcPr>
            <w:tcW w:w="1532"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color w:val="000000"/>
              </w:rPr>
            </w:pPr>
            <w:r>
              <w:rPr>
                <w:color w:val="000000"/>
              </w:rPr>
              <w:t>800 000,00</w:t>
            </w:r>
          </w:p>
        </w:tc>
        <w:tc>
          <w:tcPr>
            <w:tcW w:w="15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65" w:type="dxa"/>
            </w:tcMar>
            <w:vAlign w:val="center"/>
          </w:tcPr>
          <w:p>
            <w:pPr>
              <w:pStyle w:val="Normal"/>
              <w:spacing w:before="0" w:after="0"/>
              <w:contextualSpacing/>
              <w:jc w:val="right"/>
              <w:rPr>
                <w:color w:val="000000"/>
              </w:rPr>
            </w:pPr>
            <w:r>
              <w:rPr>
                <w:color w:val="000000"/>
              </w:rPr>
              <w:t>20 000,00</w:t>
            </w:r>
          </w:p>
        </w:tc>
        <w:tc>
          <w:tcPr>
            <w:tcW w:w="1559" w:type="dxa"/>
            <w:gridSpan w:val="2"/>
            <w:tcBorders>
              <w:left w:val="single" w:sz="4" w:space="0" w:color="333333"/>
              <w:bottom w:val="single" w:sz="12" w:space="0" w:color="00000A"/>
              <w:insideH w:val="single" w:sz="12" w:space="0" w:color="00000A"/>
            </w:tcBorders>
            <w:shd w:color="auto" w:fill="D9D9D9" w:themeFill="background1" w:themeFillShade="d9" w:val="clear"/>
            <w:tcMar>
              <w:left w:w="65" w:type="dxa"/>
            </w:tcMar>
            <w:vAlign w:val="center"/>
          </w:tcPr>
          <w:p>
            <w:pPr>
              <w:pStyle w:val="Normal"/>
              <w:spacing w:before="0" w:after="0"/>
              <w:contextualSpacing/>
              <w:jc w:val="right"/>
              <w:rPr>
                <w:i/>
                <w:i/>
                <w:iCs/>
                <w:color w:val="000000"/>
              </w:rPr>
            </w:pPr>
            <w:r>
              <w:rPr>
                <w:i/>
                <w:iCs/>
                <w:color w:val="000000"/>
              </w:rPr>
              <w:t>-20 000,00</w:t>
            </w:r>
          </w:p>
        </w:tc>
      </w:tr>
      <w:tr>
        <w:trPr>
          <w:trHeight w:val="340" w:hRule="atLeast"/>
        </w:trPr>
        <w:tc>
          <w:tcPr>
            <w:tcW w:w="8378" w:type="dxa"/>
            <w:gridSpan w:val="8"/>
            <w:tcBorders>
              <w:top w:val="single" w:sz="4" w:space="0" w:color="333333"/>
              <w:right w:val="single" w:sz="12" w:space="0" w:color="00000A"/>
              <w:insideV w:val="single" w:sz="12" w:space="0" w:color="00000A"/>
            </w:tcBorders>
            <w:shd w:color="auto" w:fill="auto" w:val="clear"/>
            <w:vAlign w:val="bottom"/>
          </w:tcPr>
          <w:p>
            <w:pPr>
              <w:pStyle w:val="Normal"/>
              <w:spacing w:before="0" w:after="0"/>
              <w:contextualSpacing/>
              <w:rPr>
                <w:bCs/>
                <w:i/>
                <w:i/>
                <w:color w:val="000000"/>
              </w:rPr>
            </w:pPr>
            <w:r>
              <w:rPr>
                <w:bCs/>
                <w:i/>
                <w:color w:val="000000"/>
              </w:rPr>
            </w:r>
          </w:p>
        </w:tc>
        <w:tc>
          <w:tcPr>
            <w:tcW w:w="1558" w:type="dxa"/>
            <w:tcBorders>
              <w:top w:val="single" w:sz="12" w:space="0" w:color="00000A"/>
              <w:left w:val="single" w:sz="12" w:space="0" w:color="00000A"/>
              <w:right w:val="single" w:sz="12" w:space="0" w:color="00000A"/>
              <w:insideV w:val="single" w:sz="12" w:space="0" w:color="00000A"/>
            </w:tcBorders>
            <w:shd w:color="auto" w:fill="auto" w:val="clear"/>
            <w:tcMar>
              <w:left w:w="55" w:type="dxa"/>
            </w:tcMar>
            <w:vAlign w:val="center"/>
          </w:tcPr>
          <w:p>
            <w:pPr>
              <w:pStyle w:val="Normal"/>
              <w:spacing w:before="0" w:after="0"/>
              <w:contextualSpacing/>
              <w:jc w:val="right"/>
              <w:rPr>
                <w:b/>
                <w:b/>
                <w:bCs/>
                <w:i/>
                <w:i/>
                <w:iCs/>
                <w:color w:val="000000"/>
              </w:rPr>
            </w:pPr>
            <w:r>
              <w:rPr>
                <w:b/>
                <w:bCs/>
                <w:i/>
                <w:iCs/>
                <w:color w:val="000000"/>
              </w:rPr>
              <w:t>-2 174 172,50</w:t>
            </w:r>
          </w:p>
        </w:tc>
      </w:tr>
      <w:tr>
        <w:trPr>
          <w:trHeight w:val="340" w:hRule="atLeast"/>
        </w:trPr>
        <w:tc>
          <w:tcPr>
            <w:tcW w:w="545" w:type="dxa"/>
            <w:tcBorders/>
            <w:shd w:color="auto" w:fill="auto" w:val="clear"/>
            <w:vAlign w:val="bottom"/>
          </w:tcPr>
          <w:p>
            <w:pPr>
              <w:pStyle w:val="Normal"/>
              <w:spacing w:before="0" w:after="0"/>
              <w:contextualSpacing/>
              <w:rPr>
                <w:b/>
                <w:b/>
                <w:bCs/>
                <w:color w:val="000000"/>
              </w:rPr>
            </w:pPr>
            <w:r>
              <w:rPr>
                <w:b/>
                <w:bCs/>
                <w:color w:val="000000"/>
              </w:rPr>
            </w:r>
          </w:p>
        </w:tc>
        <w:tc>
          <w:tcPr>
            <w:tcW w:w="666" w:type="dxa"/>
            <w:tcBorders/>
            <w:shd w:color="auto" w:fill="auto" w:val="clear"/>
            <w:vAlign w:val="bottom"/>
          </w:tcPr>
          <w:p>
            <w:pPr>
              <w:pStyle w:val="Normal"/>
              <w:spacing w:before="0" w:after="0"/>
              <w:contextualSpacing/>
              <w:rPr>
                <w:b/>
                <w:b/>
                <w:bCs/>
                <w:color w:val="000000"/>
              </w:rPr>
            </w:pPr>
            <w:r>
              <w:rPr>
                <w:b/>
                <w:bCs/>
                <w:color w:val="000000"/>
              </w:rPr>
            </w:r>
          </w:p>
        </w:tc>
        <w:tc>
          <w:tcPr>
            <w:tcW w:w="1034" w:type="dxa"/>
            <w:tcBorders/>
            <w:shd w:color="auto" w:fill="auto" w:val="clear"/>
            <w:vAlign w:val="bottom"/>
          </w:tcPr>
          <w:p>
            <w:pPr>
              <w:pStyle w:val="Normal"/>
              <w:spacing w:before="0" w:after="0"/>
              <w:contextualSpacing/>
              <w:rPr>
                <w:b/>
                <w:b/>
                <w:bCs/>
                <w:color w:val="000000"/>
              </w:rPr>
            </w:pPr>
            <w:r>
              <w:rPr>
                <w:b/>
                <w:bCs/>
                <w:color w:val="000000"/>
              </w:rPr>
            </w:r>
          </w:p>
        </w:tc>
        <w:tc>
          <w:tcPr>
            <w:tcW w:w="1520" w:type="dxa"/>
            <w:tcBorders/>
            <w:shd w:color="auto" w:fill="auto" w:val="clear"/>
            <w:vAlign w:val="bottom"/>
          </w:tcPr>
          <w:p>
            <w:pPr>
              <w:pStyle w:val="Normal"/>
              <w:spacing w:before="0" w:after="0"/>
              <w:contextualSpacing/>
              <w:jc w:val="right"/>
              <w:rPr>
                <w:b/>
                <w:b/>
                <w:bCs/>
                <w:color w:val="000000"/>
              </w:rPr>
            </w:pPr>
            <w:r>
              <w:rPr>
                <w:b/>
                <w:bCs/>
                <w:color w:val="000000"/>
              </w:rPr>
            </w:r>
          </w:p>
        </w:tc>
        <w:tc>
          <w:tcPr>
            <w:tcW w:w="1520" w:type="dxa"/>
            <w:tcBorders/>
            <w:shd w:color="auto" w:fill="auto" w:val="clear"/>
            <w:vAlign w:val="bottom"/>
          </w:tcPr>
          <w:p>
            <w:pPr>
              <w:pStyle w:val="Normal"/>
              <w:spacing w:before="0" w:after="0"/>
              <w:contextualSpacing/>
              <w:jc w:val="right"/>
              <w:rPr>
                <w:b/>
                <w:b/>
                <w:bCs/>
                <w:color w:val="000000"/>
              </w:rPr>
            </w:pPr>
            <w:r>
              <w:rPr>
                <w:b/>
                <w:bCs/>
                <w:color w:val="000000"/>
              </w:rPr>
            </w:r>
          </w:p>
        </w:tc>
        <w:tc>
          <w:tcPr>
            <w:tcW w:w="1532" w:type="dxa"/>
            <w:tcBorders/>
            <w:shd w:color="auto" w:fill="auto" w:val="clear"/>
            <w:vAlign w:val="bottom"/>
          </w:tcPr>
          <w:p>
            <w:pPr>
              <w:pStyle w:val="Normal"/>
              <w:spacing w:before="0" w:after="0"/>
              <w:contextualSpacing/>
              <w:jc w:val="right"/>
              <w:rPr>
                <w:b/>
                <w:b/>
                <w:bCs/>
                <w:color w:val="000000"/>
              </w:rPr>
            </w:pPr>
            <w:r>
              <w:rPr>
                <w:b/>
                <w:bCs/>
                <w:color w:val="000000"/>
              </w:rPr>
            </w:r>
          </w:p>
        </w:tc>
        <w:tc>
          <w:tcPr>
            <w:tcW w:w="1560" w:type="dxa"/>
            <w:tcBorders>
              <w:right w:val="single" w:sz="12" w:space="0" w:color="00000A"/>
              <w:insideV w:val="single" w:sz="12" w:space="0" w:color="00000A"/>
            </w:tcBorders>
            <w:shd w:color="auto" w:fill="auto" w:val="clear"/>
            <w:vAlign w:val="bottom"/>
          </w:tcPr>
          <w:p>
            <w:pPr>
              <w:pStyle w:val="Normal"/>
              <w:spacing w:before="0" w:after="0"/>
              <w:contextualSpacing/>
              <w:jc w:val="right"/>
              <w:rPr>
                <w:b/>
                <w:b/>
                <w:bCs/>
                <w:color w:val="000000"/>
              </w:rPr>
            </w:pPr>
            <w:r>
              <w:rPr>
                <w:b/>
                <w:bCs/>
                <w:color w:val="000000"/>
              </w:rPr>
            </w:r>
          </w:p>
        </w:tc>
        <w:tc>
          <w:tcPr>
            <w:tcW w:w="1559" w:type="dxa"/>
            <w:gridSpan w:val="2"/>
            <w:tcBorders>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55" w:type="dxa"/>
            </w:tcMar>
            <w:vAlign w:val="center"/>
          </w:tcPr>
          <w:p>
            <w:pPr>
              <w:pStyle w:val="Normal"/>
              <w:spacing w:before="0" w:after="0"/>
              <w:contextualSpacing/>
              <w:jc w:val="right"/>
              <w:rPr>
                <w:i/>
                <w:i/>
                <w:iCs/>
                <w:color w:val="000000"/>
              </w:rPr>
            </w:pPr>
            <w:r>
              <w:rPr>
                <w:i/>
                <w:iCs/>
                <w:color w:val="000000"/>
              </w:rPr>
              <w:t>= pol. 8115</w:t>
            </w:r>
          </w:p>
        </w:tc>
      </w:tr>
    </w:tbl>
    <w:p>
      <w:pPr>
        <w:pStyle w:val="Normal"/>
        <w:spacing w:before="0" w:after="60"/>
        <w:rPr>
          <w:b/>
          <w:b/>
        </w:rPr>
      </w:pPr>
      <w:r>
        <w:rPr>
          <w:b/>
        </w:rPr>
        <w:t xml:space="preserve">Část VI. výkazu FIN 2-12 M: </w:t>
      </w:r>
    </w:p>
    <w:tbl>
      <w:tblPr>
        <w:tblW w:w="9020" w:type="dxa"/>
        <w:jc w:val="left"/>
        <w:tblInd w:w="53"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top w:w="0" w:type="dxa"/>
          <w:left w:w="65" w:type="dxa"/>
          <w:bottom w:w="0" w:type="dxa"/>
          <w:right w:w="70" w:type="dxa"/>
        </w:tblCellMar>
        <w:tblLook w:val="04a0" w:noVBand="1" w:noHBand="0" w:lastColumn="0" w:firstColumn="1" w:lastRow="0" w:firstRow="1"/>
      </w:tblPr>
      <w:tblGrid>
        <w:gridCol w:w="2550"/>
        <w:gridCol w:w="937"/>
        <w:gridCol w:w="1844"/>
        <w:gridCol w:w="1845"/>
        <w:gridCol w:w="1844"/>
      </w:tblGrid>
      <w:tr>
        <w:trPr>
          <w:trHeight w:val="330" w:hRule="atLeast"/>
        </w:trPr>
        <w:tc>
          <w:tcPr>
            <w:tcW w:w="255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D9D9D9" w:themeFill="background1" w:themeFillShade="d9" w:val="clear"/>
            <w:tcMar>
              <w:left w:w="65" w:type="dxa"/>
            </w:tcMar>
            <w:vAlign w:val="center"/>
          </w:tcPr>
          <w:p>
            <w:pPr>
              <w:pStyle w:val="Normal"/>
              <w:jc w:val="center"/>
              <w:rPr>
                <w:b/>
                <w:b/>
                <w:bCs/>
              </w:rPr>
            </w:pPr>
            <w:r>
              <w:rPr>
                <w:b/>
                <w:bCs/>
              </w:rPr>
              <w:t>Položka (název)</w:t>
            </w:r>
          </w:p>
        </w:tc>
        <w:tc>
          <w:tcPr>
            <w:tcW w:w="937" w:type="dxa"/>
            <w:tcBorders>
              <w:top w:val="single" w:sz="4" w:space="0" w:color="333333"/>
              <w:bottom w:val="single" w:sz="4" w:space="0" w:color="333333"/>
              <w:right w:val="single" w:sz="4" w:space="0" w:color="333333"/>
              <w:insideH w:val="single" w:sz="4" w:space="0" w:color="333333"/>
              <w:insideV w:val="single" w:sz="4" w:space="0" w:color="333333"/>
            </w:tcBorders>
            <w:shd w:color="auto" w:fill="D9D9D9" w:themeFill="background1" w:themeFillShade="d9" w:val="clear"/>
            <w:vAlign w:val="center"/>
          </w:tcPr>
          <w:p>
            <w:pPr>
              <w:pStyle w:val="Normal"/>
              <w:jc w:val="center"/>
              <w:rPr>
                <w:b/>
                <w:b/>
                <w:bCs/>
              </w:rPr>
            </w:pPr>
            <w:r>
              <w:rPr>
                <w:b/>
                <w:bCs/>
              </w:rPr>
              <w:t>Položka (kód)</w:t>
            </w:r>
          </w:p>
        </w:tc>
        <w:tc>
          <w:tcPr>
            <w:tcW w:w="1844" w:type="dxa"/>
            <w:tcBorders>
              <w:top w:val="single" w:sz="4" w:space="0" w:color="333333"/>
              <w:bottom w:val="single" w:sz="4" w:space="0" w:color="333333"/>
              <w:right w:val="single" w:sz="4" w:space="0" w:color="333333"/>
              <w:insideH w:val="single" w:sz="4" w:space="0" w:color="333333"/>
              <w:insideV w:val="single" w:sz="4" w:space="0" w:color="333333"/>
            </w:tcBorders>
            <w:shd w:color="auto" w:fill="D9D9D9" w:themeFill="background1" w:themeFillShade="d9" w:val="clear"/>
            <w:vAlign w:val="center"/>
          </w:tcPr>
          <w:p>
            <w:pPr>
              <w:pStyle w:val="Normal"/>
              <w:jc w:val="center"/>
              <w:rPr>
                <w:b/>
                <w:b/>
                <w:bCs/>
              </w:rPr>
            </w:pPr>
            <w:r>
              <w:rPr>
                <w:b/>
                <w:bCs/>
              </w:rPr>
              <w:t>PS k 1.1.</w:t>
            </w:r>
          </w:p>
        </w:tc>
        <w:tc>
          <w:tcPr>
            <w:tcW w:w="1845" w:type="dxa"/>
            <w:tcBorders>
              <w:top w:val="single" w:sz="4" w:space="0" w:color="333333"/>
              <w:bottom w:val="single" w:sz="4" w:space="0" w:color="333333"/>
              <w:right w:val="single" w:sz="4" w:space="0" w:color="333333"/>
              <w:insideH w:val="single" w:sz="4" w:space="0" w:color="333333"/>
              <w:insideV w:val="single" w:sz="4" w:space="0" w:color="333333"/>
            </w:tcBorders>
            <w:shd w:color="auto" w:fill="D9D9D9" w:themeFill="background1" w:themeFillShade="d9" w:val="clear"/>
            <w:vAlign w:val="center"/>
          </w:tcPr>
          <w:p>
            <w:pPr>
              <w:pStyle w:val="Normal"/>
              <w:jc w:val="center"/>
              <w:rPr>
                <w:b/>
                <w:b/>
                <w:bCs/>
              </w:rPr>
            </w:pPr>
            <w:r>
              <w:rPr>
                <w:b/>
                <w:bCs/>
              </w:rPr>
              <w:t>Stav ke konci období</w:t>
            </w:r>
          </w:p>
        </w:tc>
        <w:tc>
          <w:tcPr>
            <w:tcW w:w="1844" w:type="dxa"/>
            <w:tcBorders>
              <w:top w:val="single" w:sz="4" w:space="0" w:color="333333"/>
              <w:bottom w:val="single" w:sz="4" w:space="0" w:color="333333"/>
              <w:right w:val="single" w:sz="4" w:space="0" w:color="333333"/>
              <w:insideH w:val="single" w:sz="4" w:space="0" w:color="333333"/>
              <w:insideV w:val="single" w:sz="4" w:space="0" w:color="333333"/>
            </w:tcBorders>
            <w:shd w:color="auto" w:fill="D9D9D9" w:themeFill="background1" w:themeFillShade="d9" w:val="clear"/>
            <w:vAlign w:val="center"/>
          </w:tcPr>
          <w:p>
            <w:pPr>
              <w:pStyle w:val="Normal"/>
              <w:jc w:val="center"/>
              <w:rPr>
                <w:b/>
                <w:b/>
                <w:bCs/>
              </w:rPr>
            </w:pPr>
            <w:r>
              <w:rPr>
                <w:b/>
                <w:bCs/>
              </w:rPr>
              <w:t>Změna stavu</w:t>
            </w:r>
          </w:p>
        </w:tc>
      </w:tr>
      <w:tr>
        <w:trPr>
          <w:trHeight w:val="330" w:hRule="atLeast"/>
        </w:trPr>
        <w:tc>
          <w:tcPr>
            <w:tcW w:w="2550"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Základní běžný účet ÚSC</w:t>
            </w:r>
          </w:p>
        </w:tc>
        <w:tc>
          <w:tcPr>
            <w:tcW w:w="937"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center"/>
              <w:rPr/>
            </w:pPr>
            <w:r>
              <w:rPr/>
              <w:t>6010</w:t>
            </w:r>
          </w:p>
        </w:tc>
        <w:tc>
          <w:tcPr>
            <w:tcW w:w="184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15 355 585,00</w:t>
            </w:r>
          </w:p>
        </w:tc>
        <w:tc>
          <w:tcPr>
            <w:tcW w:w="1845"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17 540 347,50</w:t>
            </w:r>
          </w:p>
        </w:tc>
        <w:tc>
          <w:tcPr>
            <w:tcW w:w="184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-2 184 762,50</w:t>
            </w:r>
          </w:p>
        </w:tc>
      </w:tr>
      <w:tr>
        <w:trPr>
          <w:trHeight w:val="330" w:hRule="atLeast"/>
        </w:trPr>
        <w:tc>
          <w:tcPr>
            <w:tcW w:w="2550"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Běžné účty fondů ÚSC</w:t>
            </w:r>
          </w:p>
        </w:tc>
        <w:tc>
          <w:tcPr>
            <w:tcW w:w="937"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center"/>
              <w:rPr/>
            </w:pPr>
            <w:r>
              <w:rPr/>
              <w:t>6020</w:t>
            </w:r>
          </w:p>
        </w:tc>
        <w:tc>
          <w:tcPr>
            <w:tcW w:w="184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450 432,00</w:t>
            </w:r>
          </w:p>
        </w:tc>
        <w:tc>
          <w:tcPr>
            <w:tcW w:w="1845"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419 842,00</w:t>
            </w:r>
          </w:p>
        </w:tc>
        <w:tc>
          <w:tcPr>
            <w:tcW w:w="1844" w:type="dxa"/>
            <w:tcBorders>
              <w:bottom w:val="single" w:sz="18" w:space="0" w:color="333333"/>
              <w:right w:val="single" w:sz="4" w:space="0" w:color="333333"/>
              <w:insideH w:val="single" w:sz="18" w:space="0" w:color="333333"/>
              <w:insideV w:val="single" w:sz="4" w:space="0" w:color="333333"/>
            </w:tcBorders>
            <w:shd w:color="auto" w:fill="auto" w:val="clear"/>
            <w:vAlign w:val="center"/>
          </w:tcPr>
          <w:p>
            <w:pPr>
              <w:pStyle w:val="Normal"/>
              <w:jc w:val="right"/>
              <w:rPr/>
            </w:pPr>
            <w:r>
              <w:rPr/>
              <w:t>30 590,00</w:t>
            </w:r>
          </w:p>
        </w:tc>
      </w:tr>
      <w:tr>
        <w:trPr>
          <w:trHeight w:val="330" w:hRule="atLeast"/>
        </w:trPr>
        <w:tc>
          <w:tcPr>
            <w:tcW w:w="2550"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Běžné účty celkem</w:t>
            </w:r>
          </w:p>
        </w:tc>
        <w:tc>
          <w:tcPr>
            <w:tcW w:w="937"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center"/>
              <w:rPr/>
            </w:pPr>
            <w:r>
              <w:rPr/>
              <w:t>6030</w:t>
            </w:r>
          </w:p>
        </w:tc>
        <w:tc>
          <w:tcPr>
            <w:tcW w:w="184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15 806 017,00</w:t>
            </w:r>
          </w:p>
        </w:tc>
        <w:tc>
          <w:tcPr>
            <w:tcW w:w="1845" w:type="dxa"/>
            <w:tcBorders>
              <w:bottom w:val="single" w:sz="4" w:space="0" w:color="333333"/>
              <w:right w:val="single" w:sz="18" w:space="0" w:color="333333"/>
              <w:insideH w:val="single" w:sz="4" w:space="0" w:color="333333"/>
              <w:insideV w:val="single" w:sz="18" w:space="0" w:color="333333"/>
            </w:tcBorders>
            <w:shd w:color="auto" w:fill="auto" w:val="clear"/>
            <w:vAlign w:val="center"/>
          </w:tcPr>
          <w:p>
            <w:pPr>
              <w:pStyle w:val="Normal"/>
              <w:jc w:val="right"/>
              <w:rPr/>
            </w:pPr>
            <w:r>
              <w:rPr/>
              <w:t>17 960 189,50</w:t>
            </w:r>
          </w:p>
        </w:tc>
        <w:tc>
          <w:tcPr>
            <w:tcW w:w="1844" w:type="dxa"/>
            <w:tcBorders>
              <w:top w:val="single" w:sz="18" w:space="0" w:color="333333"/>
              <w:left w:val="single" w:sz="18" w:space="0" w:color="333333"/>
              <w:bottom w:val="single" w:sz="4" w:space="0" w:color="333333"/>
              <w:right w:val="single" w:sz="18" w:space="0" w:color="333333"/>
              <w:insideH w:val="single" w:sz="4" w:space="0" w:color="333333"/>
              <w:insideV w:val="single" w:sz="18" w:space="0" w:color="333333"/>
            </w:tcBorders>
            <w:shd w:color="auto" w:fill="auto" w:val="clear"/>
            <w:tcMar>
              <w:left w:w="47" w:type="dxa"/>
            </w:tcMar>
            <w:vAlign w:val="center"/>
          </w:tcPr>
          <w:p>
            <w:pPr>
              <w:pStyle w:val="Normal"/>
              <w:jc w:val="right"/>
              <w:rPr/>
            </w:pPr>
            <w:r>
              <w:rPr/>
              <w:t>-2 154 172,50</w:t>
            </w:r>
          </w:p>
        </w:tc>
      </w:tr>
      <w:tr>
        <w:trPr>
          <w:trHeight w:val="330" w:hRule="atLeast"/>
        </w:trPr>
        <w:tc>
          <w:tcPr>
            <w:tcW w:w="2550"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Pokladna</w:t>
            </w:r>
          </w:p>
        </w:tc>
        <w:tc>
          <w:tcPr>
            <w:tcW w:w="937"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center"/>
              <w:rPr/>
            </w:pPr>
            <w:r>
              <w:rPr/>
              <w:t>6040</w:t>
            </w:r>
          </w:p>
        </w:tc>
        <w:tc>
          <w:tcPr>
            <w:tcW w:w="184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0,00</w:t>
            </w:r>
          </w:p>
        </w:tc>
        <w:tc>
          <w:tcPr>
            <w:tcW w:w="1845" w:type="dxa"/>
            <w:tcBorders>
              <w:bottom w:val="single" w:sz="4" w:space="0" w:color="333333"/>
              <w:right w:val="single" w:sz="18" w:space="0" w:color="333333"/>
              <w:insideH w:val="single" w:sz="4" w:space="0" w:color="333333"/>
              <w:insideV w:val="single" w:sz="18" w:space="0" w:color="333333"/>
            </w:tcBorders>
            <w:shd w:color="auto" w:fill="auto" w:val="clear"/>
            <w:vAlign w:val="center"/>
          </w:tcPr>
          <w:p>
            <w:pPr>
              <w:pStyle w:val="Normal"/>
              <w:jc w:val="right"/>
              <w:rPr/>
            </w:pPr>
            <w:r>
              <w:rPr/>
              <w:t>20 000,00</w:t>
            </w:r>
          </w:p>
        </w:tc>
        <w:tc>
          <w:tcPr>
            <w:tcW w:w="1844" w:type="dxa"/>
            <w:tcBorders>
              <w:top w:val="single" w:sz="4" w:space="0" w:color="333333"/>
              <w:left w:val="single" w:sz="18" w:space="0" w:color="333333"/>
              <w:bottom w:val="single" w:sz="18" w:space="0" w:color="333333"/>
              <w:right w:val="single" w:sz="18" w:space="0" w:color="333333"/>
              <w:insideH w:val="single" w:sz="18" w:space="0" w:color="333333"/>
              <w:insideV w:val="single" w:sz="18" w:space="0" w:color="333333"/>
            </w:tcBorders>
            <w:shd w:color="auto" w:fill="auto" w:val="clear"/>
            <w:tcMar>
              <w:left w:w="47" w:type="dxa"/>
            </w:tcMar>
            <w:vAlign w:val="center"/>
          </w:tcPr>
          <w:p>
            <w:pPr>
              <w:pStyle w:val="Normal"/>
              <w:jc w:val="right"/>
              <w:rPr/>
            </w:pPr>
            <w:r>
              <w:rPr/>
              <w:t>-20 000,00</w:t>
            </w:r>
          </w:p>
        </w:tc>
      </w:tr>
    </w:tbl>
    <w:p>
      <w:pPr>
        <w:pStyle w:val="Normal"/>
        <w:rPr/>
      </w:pPr>
      <w:r>
        <w:rPr/>
      </w:r>
    </w:p>
    <w:p>
      <w:pPr>
        <w:pStyle w:val="Normal"/>
        <w:rPr>
          <w:b/>
          <w:b/>
        </w:rPr>
      </w:pPr>
      <w:r>
        <w:rPr>
          <w:b/>
        </w:rPr>
        <w:t>ř. 6030 + 6040 (součet změny běžný účtů a pokladny) = - 2 174 172,50 Kč = pol. 8115</w:t>
      </w:r>
    </w:p>
    <w:p>
      <w:pPr>
        <w:pStyle w:val="Normal"/>
        <w:rPr>
          <w:b/>
          <w:b/>
        </w:rPr>
      </w:pPr>
      <w:r>
        <w:rPr>
          <w:b/>
        </w:rPr>
      </w:r>
    </w:p>
    <w:p>
      <w:pPr>
        <w:pStyle w:val="Normal"/>
        <w:spacing w:before="0" w:after="60"/>
        <w:rPr>
          <w:b/>
          <w:b/>
        </w:rPr>
      </w:pPr>
      <w:r>
        <w:rPr>
          <w:b/>
        </w:rPr>
        <w:t xml:space="preserve">Položka 8115 v části III. výkazu FIN 2-12 M: </w:t>
      </w:r>
    </w:p>
    <w:tbl>
      <w:tblPr>
        <w:tblW w:w="9271"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3499"/>
        <w:gridCol w:w="880"/>
        <w:gridCol w:w="1731"/>
        <w:gridCol w:w="1580"/>
        <w:gridCol w:w="1581"/>
      </w:tblGrid>
      <w:tr>
        <w:trPr>
          <w:trHeight w:val="270" w:hRule="atLeast"/>
        </w:trPr>
        <w:tc>
          <w:tcPr>
            <w:tcW w:w="3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vAlign w:val="center"/>
          </w:tcPr>
          <w:p>
            <w:pPr>
              <w:pStyle w:val="Normal"/>
              <w:jc w:val="center"/>
              <w:rPr>
                <w:b/>
                <w:b/>
                <w:color w:val="000000"/>
              </w:rPr>
            </w:pPr>
            <w:r>
              <w:rPr>
                <w:b/>
                <w:color w:val="000000"/>
              </w:rPr>
              <w:t xml:space="preserve">Název </w:t>
            </w:r>
          </w:p>
        </w:tc>
        <w:tc>
          <w:tcPr>
            <w:tcW w:w="88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b/>
                <w:b/>
                <w:color w:val="000000"/>
              </w:rPr>
            </w:pPr>
            <w:r>
              <w:rPr>
                <w:b/>
                <w:color w:val="000000"/>
              </w:rPr>
              <w:t>Pol.</w:t>
            </w:r>
          </w:p>
        </w:tc>
        <w:tc>
          <w:tcPr>
            <w:tcW w:w="173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b/>
                <w:b/>
                <w:color w:val="000000"/>
              </w:rPr>
            </w:pPr>
            <w:r>
              <w:rPr>
                <w:b/>
                <w:color w:val="000000"/>
              </w:rPr>
              <w:t>Schv. rozpočet</w:t>
            </w:r>
          </w:p>
        </w:tc>
        <w:tc>
          <w:tcPr>
            <w:tcW w:w="158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b/>
                <w:b/>
                <w:color w:val="000000"/>
              </w:rPr>
            </w:pPr>
            <w:r>
              <w:rPr>
                <w:b/>
                <w:color w:val="000000"/>
              </w:rPr>
              <w:t>Upr. rozpočet</w:t>
            </w:r>
          </w:p>
        </w:tc>
        <w:tc>
          <w:tcPr>
            <w:tcW w:w="158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b/>
                <w:b/>
                <w:color w:val="000000"/>
              </w:rPr>
            </w:pPr>
            <w:r>
              <w:rPr>
                <w:b/>
                <w:color w:val="000000"/>
              </w:rPr>
              <w:t>Plnění</w:t>
            </w:r>
          </w:p>
        </w:tc>
      </w:tr>
      <w:tr>
        <w:trPr>
          <w:trHeight w:val="270" w:hRule="atLeast"/>
        </w:trPr>
        <w:tc>
          <w:tcPr>
            <w:tcW w:w="349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color w:val="000000"/>
              </w:rPr>
            </w:pPr>
            <w:r>
              <w:rPr>
                <w:color w:val="000000"/>
              </w:rPr>
              <w:t>Změny stavu krátk. prostředků …</w:t>
            </w:r>
          </w:p>
        </w:tc>
        <w:tc>
          <w:tcPr>
            <w:tcW w:w="8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8115</w:t>
            </w:r>
          </w:p>
        </w:tc>
        <w:tc>
          <w:tcPr>
            <w:tcW w:w="173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1 000 000,00</w:t>
            </w:r>
          </w:p>
        </w:tc>
        <w:tc>
          <w:tcPr>
            <w:tcW w:w="15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1 000 000,00</w:t>
            </w:r>
          </w:p>
        </w:tc>
        <w:tc>
          <w:tcPr>
            <w:tcW w:w="15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t>-2 1</w:t>
            </w:r>
            <w:r>
              <w:rPr>
                <w:highlight w:val="yellow"/>
              </w:rPr>
              <w:t>7</w:t>
            </w:r>
            <w:r>
              <w:rPr/>
              <w:t>4 172,50</w:t>
            </w:r>
          </w:p>
        </w:tc>
      </w:tr>
    </w:tbl>
    <w:p>
      <w:pPr>
        <w:pStyle w:val="Normal"/>
        <w:rPr/>
      </w:pPr>
      <w:r>
        <w:rPr/>
      </w:r>
    </w:p>
    <w:p>
      <w:pPr>
        <w:pStyle w:val="Normal"/>
        <w:spacing w:before="0" w:after="120"/>
        <w:jc w:val="both"/>
        <w:rPr/>
      </w:pPr>
      <w:r>
        <w:rPr/>
        <w:t xml:space="preserve">Položka 8115 se rozpočtuje. Výše </w:t>
      </w:r>
      <w:r>
        <w:rPr>
          <w:b/>
        </w:rPr>
        <w:t>jejího zařazení do rozpočtu na straně MD</w:t>
      </w:r>
      <w:r>
        <w:rPr/>
        <w:t xml:space="preserve"> k vyrovnání schodkového rozpočtu, když výdaje třídy 5 a 6 jsou vyšší než příjmy tř. 1 – 4 (tj. případ, kdy konečný stav bude nižší než počáteční stav, peněžní prostředky ubydou) </w:t>
      </w:r>
      <w:r>
        <w:rPr>
          <w:b/>
        </w:rPr>
        <w:t>je omezena</w:t>
      </w:r>
      <w:r>
        <w:rPr/>
        <w:t>:</w:t>
      </w:r>
    </w:p>
    <w:p>
      <w:pPr>
        <w:pStyle w:val="ListParagraph"/>
        <w:numPr>
          <w:ilvl w:val="0"/>
          <w:numId w:val="2"/>
        </w:numPr>
        <w:ind w:left="284" w:hanging="284"/>
        <w:jc w:val="both"/>
        <w:rPr/>
      </w:pPr>
      <w:r>
        <w:rPr/>
        <w:t>výší zůstatků finančních prostředků na běžných účtech u bank k 1.1. rozpočtového roku (účty 231),</w:t>
      </w:r>
    </w:p>
    <w:p>
      <w:pPr>
        <w:pStyle w:val="ListParagraph"/>
        <w:numPr>
          <w:ilvl w:val="0"/>
          <w:numId w:val="2"/>
        </w:numPr>
        <w:ind w:left="284" w:hanging="284"/>
        <w:jc w:val="both"/>
        <w:rPr/>
      </w:pPr>
      <w:r>
        <w:rPr/>
        <w:t>od roku 2016 výší zůstatků hotovosti na pokladnách k 1.1. rozpočtového roku (v případě volby oddělené pokladny),</w:t>
      </w:r>
    </w:p>
    <w:p>
      <w:pPr>
        <w:pStyle w:val="ListParagraph"/>
        <w:numPr>
          <w:ilvl w:val="0"/>
          <w:numId w:val="2"/>
        </w:numPr>
        <w:ind w:left="284" w:hanging="284"/>
        <w:jc w:val="both"/>
        <w:rPr/>
      </w:pPr>
      <w:r>
        <w:rPr/>
        <w:t>v plánované výši snížení peněžních fondů (účty 236), pokud by jejich použití v rozpočtu bylo v souladu se statuty nebo pravidly fondu.</w:t>
      </w:r>
    </w:p>
    <w:p>
      <w:pPr>
        <w:pStyle w:val="ListParagraph"/>
        <w:ind w:left="284" w:hanging="0"/>
        <w:jc w:val="both"/>
        <w:rPr/>
      </w:pPr>
      <w:r>
        <w:rPr/>
      </w:r>
    </w:p>
    <w:p>
      <w:pPr>
        <w:pStyle w:val="Normal"/>
        <w:jc w:val="both"/>
        <w:rPr/>
      </w:pPr>
      <w:r>
        <w:rPr/>
        <w:t xml:space="preserve">O položce 8115 se neúčtuje. V případě, že na bankovním účtu např. vlivem kontokorentu dojde k zápornému zůstaků, tak je potřeba převést dlužnou částku na závazek. Účetní zápis: 231 (8905) MD/ 281 D. </w:t>
      </w:r>
    </w:p>
    <w:p>
      <w:pPr>
        <w:pStyle w:val="Normal"/>
        <w:jc w:val="both"/>
        <w:rPr>
          <w:i/>
          <w:i/>
        </w:rPr>
      </w:pPr>
      <w:r>
        <w:rPr>
          <w:i/>
        </w:rPr>
      </w:r>
    </w:p>
    <w:p>
      <w:pPr>
        <w:pStyle w:val="Normal"/>
        <w:spacing w:before="0" w:after="120"/>
        <w:jc w:val="both"/>
        <w:rPr>
          <w:i/>
          <w:i/>
        </w:rPr>
      </w:pPr>
      <w:r>
        <w:rPr>
          <w:i/>
        </w:rPr>
        <w:t xml:space="preserve">Příklad: </w:t>
      </w:r>
    </w:p>
    <w:p>
      <w:pPr>
        <w:pStyle w:val="Normal"/>
        <w:spacing w:before="0" w:after="60"/>
        <w:jc w:val="both"/>
        <w:rPr>
          <w:i/>
          <w:i/>
        </w:rPr>
      </w:pPr>
      <w:r>
        <w:rPr>
          <w:i/>
        </w:rPr>
        <w:t xml:space="preserve">Obec vykazuje v roce 2016 následující konečné zůstatky. Může pro rok 2017 sestavit schodkový rozpočet se schodkem 2 200 000 Kč a tento schodek krýt vlastními prostředky? </w:t>
      </w:r>
    </w:p>
    <w:tbl>
      <w:tblPr>
        <w:tblW w:w="3588" w:type="dxa"/>
        <w:jc w:val="left"/>
        <w:tblInd w:w="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top w:w="0" w:type="dxa"/>
          <w:left w:w="70" w:type="dxa"/>
          <w:bottom w:w="0" w:type="dxa"/>
          <w:right w:w="70" w:type="dxa"/>
        </w:tblCellMar>
        <w:tblLook w:val="04a0" w:noVBand="1" w:noHBand="0" w:lastColumn="0" w:firstColumn="1" w:lastRow="0" w:firstRow="1"/>
      </w:tblPr>
      <w:tblGrid>
        <w:gridCol w:w="534"/>
        <w:gridCol w:w="653"/>
        <w:gridCol w:w="1013"/>
        <w:gridCol w:w="1387"/>
      </w:tblGrid>
      <w:tr>
        <w:trPr>
          <w:trHeight w:val="340" w:hRule="atLeast"/>
        </w:trPr>
        <w:tc>
          <w:tcPr>
            <w:tcW w:w="5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70" w:type="dxa"/>
            </w:tcMar>
            <w:vAlign w:val="center"/>
          </w:tcPr>
          <w:p>
            <w:pPr>
              <w:pStyle w:val="Normal"/>
              <w:spacing w:before="0" w:after="0"/>
              <w:contextualSpacing/>
              <w:jc w:val="center"/>
              <w:rPr>
                <w:b/>
                <w:b/>
                <w:bCs/>
              </w:rPr>
            </w:pPr>
            <w:r>
              <w:rPr>
                <w:b/>
                <w:bCs/>
              </w:rPr>
              <w:t>SU</w:t>
            </w:r>
          </w:p>
        </w:tc>
        <w:tc>
          <w:tcPr>
            <w:tcW w:w="65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70" w:type="dxa"/>
            </w:tcMar>
            <w:vAlign w:val="center"/>
          </w:tcPr>
          <w:p>
            <w:pPr>
              <w:pStyle w:val="Normal"/>
              <w:spacing w:before="0" w:after="0"/>
              <w:contextualSpacing/>
              <w:jc w:val="center"/>
              <w:rPr>
                <w:b/>
                <w:b/>
                <w:bCs/>
                <w:color w:val="000000"/>
              </w:rPr>
            </w:pPr>
            <w:r>
              <w:rPr>
                <w:b/>
                <w:bCs/>
                <w:color w:val="000000"/>
              </w:rPr>
              <w:t>AU</w:t>
            </w:r>
          </w:p>
        </w:tc>
        <w:tc>
          <w:tcPr>
            <w:tcW w:w="101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70" w:type="dxa"/>
            </w:tcMar>
            <w:vAlign w:val="center"/>
          </w:tcPr>
          <w:p>
            <w:pPr>
              <w:pStyle w:val="Normal"/>
              <w:spacing w:before="0" w:after="0"/>
              <w:contextualSpacing/>
              <w:jc w:val="center"/>
              <w:rPr>
                <w:b/>
                <w:b/>
                <w:bCs/>
                <w:color w:val="000000"/>
              </w:rPr>
            </w:pPr>
            <w:r>
              <w:rPr>
                <w:b/>
                <w:bCs/>
                <w:color w:val="000000"/>
              </w:rPr>
              <w:t>Text</w:t>
            </w:r>
          </w:p>
        </w:tc>
        <w:tc>
          <w:tcPr>
            <w:tcW w:w="1387"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D8D8D8" w:val="clear"/>
            <w:tcMar>
              <w:left w:w="70" w:type="dxa"/>
            </w:tcMar>
            <w:vAlign w:val="center"/>
          </w:tcPr>
          <w:p>
            <w:pPr>
              <w:pStyle w:val="Normal"/>
              <w:spacing w:before="0" w:after="0"/>
              <w:contextualSpacing/>
              <w:jc w:val="center"/>
              <w:rPr>
                <w:b/>
                <w:b/>
                <w:bCs/>
                <w:color w:val="000000"/>
              </w:rPr>
            </w:pPr>
            <w:r>
              <w:rPr>
                <w:b/>
                <w:bCs/>
                <w:color w:val="000000"/>
              </w:rPr>
              <w:t>KZ 2016</w:t>
            </w:r>
          </w:p>
        </w:tc>
      </w:tr>
      <w:tr>
        <w:trPr>
          <w:trHeight w:val="340" w:hRule="atLeast"/>
        </w:trPr>
        <w:tc>
          <w:tcPr>
            <w:tcW w:w="5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231</w:t>
            </w:r>
          </w:p>
        </w:tc>
        <w:tc>
          <w:tcPr>
            <w:tcW w:w="65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xxxx</w:t>
            </w:r>
          </w:p>
        </w:tc>
        <w:tc>
          <w:tcPr>
            <w:tcW w:w="101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rPr>
                <w:color w:val="000000"/>
              </w:rPr>
            </w:pPr>
            <w:r>
              <w:rPr>
                <w:color w:val="000000"/>
              </w:rPr>
              <w:t>ZBÚ</w:t>
            </w:r>
          </w:p>
        </w:tc>
        <w:tc>
          <w:tcPr>
            <w:tcW w:w="1387"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2 000 000</w:t>
            </w:r>
          </w:p>
        </w:tc>
      </w:tr>
      <w:tr>
        <w:trPr>
          <w:trHeight w:val="340" w:hRule="atLeast"/>
        </w:trPr>
        <w:tc>
          <w:tcPr>
            <w:tcW w:w="5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236</w:t>
            </w:r>
          </w:p>
        </w:tc>
        <w:tc>
          <w:tcPr>
            <w:tcW w:w="65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xxxx</w:t>
            </w:r>
          </w:p>
        </w:tc>
        <w:tc>
          <w:tcPr>
            <w:tcW w:w="101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rPr>
                <w:color w:val="000000"/>
              </w:rPr>
            </w:pPr>
            <w:r>
              <w:rPr>
                <w:color w:val="000000"/>
              </w:rPr>
              <w:t>Fond</w:t>
            </w:r>
          </w:p>
        </w:tc>
        <w:tc>
          <w:tcPr>
            <w:tcW w:w="1387"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400 000</w:t>
            </w:r>
          </w:p>
        </w:tc>
      </w:tr>
      <w:tr>
        <w:trPr>
          <w:trHeight w:val="340" w:hRule="atLeast"/>
        </w:trPr>
        <w:tc>
          <w:tcPr>
            <w:tcW w:w="534"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261</w:t>
            </w:r>
          </w:p>
        </w:tc>
        <w:tc>
          <w:tcPr>
            <w:tcW w:w="65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xxxx</w:t>
            </w:r>
          </w:p>
        </w:tc>
        <w:tc>
          <w:tcPr>
            <w:tcW w:w="1013"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rPr>
                <w:color w:val="000000"/>
              </w:rPr>
            </w:pPr>
            <w:r>
              <w:rPr>
                <w:color w:val="000000"/>
              </w:rPr>
              <w:t>Pokladna</w:t>
            </w:r>
          </w:p>
        </w:tc>
        <w:tc>
          <w:tcPr>
            <w:tcW w:w="1387"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70" w:type="dxa"/>
            </w:tcMar>
            <w:vAlign w:val="center"/>
          </w:tcPr>
          <w:p>
            <w:pPr>
              <w:pStyle w:val="Normal"/>
              <w:spacing w:before="0" w:after="0"/>
              <w:contextualSpacing/>
              <w:jc w:val="right"/>
              <w:rPr>
                <w:color w:val="000000"/>
              </w:rPr>
            </w:pPr>
            <w:r>
              <w:rPr>
                <w:color w:val="000000"/>
              </w:rPr>
              <w:t>50 000</w:t>
            </w:r>
          </w:p>
        </w:tc>
      </w:tr>
    </w:tbl>
    <w:p>
      <w:pPr>
        <w:pStyle w:val="Normal"/>
        <w:jc w:val="both"/>
        <w:rPr>
          <w:smallCaps/>
        </w:rPr>
      </w:pPr>
      <w:r>
        <w:rPr>
          <w:smallCaps/>
        </w:rPr>
      </w:r>
    </w:p>
    <w:p>
      <w:pPr>
        <w:pStyle w:val="Normal"/>
        <w:jc w:val="both"/>
        <w:rPr>
          <w:i/>
          <w:i/>
        </w:rPr>
      </w:pPr>
      <w:r>
        <w:rPr>
          <w:i/>
        </w:rPr>
        <w:t xml:space="preserve">Ano, může. Minimálně 150 000 Kč však bude kryto zůstatkem peněžního fondu, jehož použití je účelové v souladu se schváleným statutem fondu. Rozpočtované výdaje kryté účelovým fondem musejí být v souladu se statutem fondu. Pokud by nebylo splněno, nebylo by možné takový rozpočet schválit.  </w:t>
      </w:r>
    </w:p>
    <w:p>
      <w:pPr>
        <w:pStyle w:val="Normal"/>
        <w:jc w:val="both"/>
        <w:rPr>
          <w:i/>
          <w:i/>
        </w:rPr>
      </w:pPr>
      <w:r>
        <w:rPr>
          <w:i/>
        </w:rPr>
      </w:r>
    </w:p>
    <w:p>
      <w:pPr>
        <w:pStyle w:val="Normal"/>
        <w:spacing w:before="0" w:after="120"/>
        <w:jc w:val="both"/>
        <w:rPr>
          <w:b/>
          <w:b/>
        </w:rPr>
      </w:pPr>
      <w:r>
        <w:rPr>
          <w:b/>
        </w:rPr>
        <w:t>Položka 8115 a „oddělená pokladna“</w:t>
      </w:r>
    </w:p>
    <w:p>
      <w:pPr>
        <w:pStyle w:val="Normal"/>
        <w:jc w:val="both"/>
        <w:rPr/>
      </w:pPr>
      <w:r>
        <w:rPr/>
        <w:t xml:space="preserve">V režimu oddělených se pokladna z hlediska rozpočtové skladby chová obdobně jako ZBÚ. V tomto režimu se používá rozpočtová skladba přímo u účtu 261. </w:t>
      </w:r>
    </w:p>
    <w:p>
      <w:pPr>
        <w:pStyle w:val="Normal"/>
        <w:jc w:val="both"/>
        <w:rPr/>
      </w:pPr>
      <w:r>
        <w:rPr/>
      </w:r>
    </w:p>
    <w:p>
      <w:pPr>
        <w:pStyle w:val="Normal"/>
        <w:spacing w:before="0" w:after="60"/>
        <w:jc w:val="both"/>
        <w:rPr/>
      </w:pPr>
      <w:r>
        <w:rPr/>
        <w:t>Př.: úhrada poplatku za svoz KO v hotovosti (režim „oddělených pokladen“)</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261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xxxx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1340</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600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315</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xxxx</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600</w:t>
            </w:r>
          </w:p>
        </w:tc>
      </w:tr>
    </w:tbl>
    <w:p>
      <w:pPr>
        <w:pStyle w:val="Normal"/>
        <w:jc w:val="both"/>
        <w:rPr>
          <w:i/>
          <w:i/>
        </w:rPr>
      </w:pPr>
      <w:r>
        <w:rPr>
          <w:i/>
        </w:rPr>
        <w:t xml:space="preserve">Software automaticky generuje položku 8115 ve výší – 600 (peníze přibyly). </w:t>
      </w:r>
    </w:p>
    <w:p>
      <w:pPr>
        <w:pStyle w:val="Normal"/>
        <w:jc w:val="both"/>
        <w:rPr/>
      </w:pPr>
      <w:r>
        <w:rPr/>
      </w:r>
    </w:p>
    <w:p>
      <w:pPr>
        <w:pStyle w:val="Normal"/>
        <w:spacing w:before="0" w:after="60"/>
        <w:jc w:val="both"/>
        <w:rPr/>
      </w:pPr>
      <w:r>
        <w:rPr/>
        <w:t>Př.: úhrada poplatku za svoz KO v hotovosti (pokladna „v původním režimu“)</w:t>
      </w:r>
    </w:p>
    <w:tbl>
      <w:tblPr>
        <w:tblW w:w="8720" w:type="dxa"/>
        <w:jc w:val="left"/>
        <w:tblInd w:w="56" w:type="dxa"/>
        <w:tblBorders>
          <w:top w:val="single" w:sz="4" w:space="0" w:color="00000A"/>
          <w:left w:val="single" w:sz="4" w:space="0" w:color="00000A"/>
          <w:bottom w:val="single" w:sz="4" w:space="0" w:color="333333"/>
          <w:right w:val="single" w:sz="4" w:space="0" w:color="00000A"/>
          <w:insideH w:val="single" w:sz="4" w:space="0" w:color="333333"/>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261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 </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bez</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600</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 </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315</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 </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keepNext/>
              <w:jc w:val="right"/>
              <w:rPr>
                <w:color w:val="000000"/>
              </w:rPr>
            </w:pPr>
            <w:r>
              <w:rPr>
                <w:color w:val="000000"/>
              </w:rPr>
              <w:t>600</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231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1340</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600</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keepNext/>
              <w:jc w:val="right"/>
              <w:rPr>
                <w:color w:val="000000"/>
              </w:rPr>
            </w:pPr>
            <w:r>
              <w:rPr>
                <w:color w:val="000000"/>
              </w:rPr>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231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6171</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5182</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keepNext/>
              <w:jc w:val="right"/>
              <w:rPr>
                <w:color w:val="000000"/>
              </w:rPr>
            </w:pPr>
            <w:r>
              <w:rPr>
                <w:color w:val="000000"/>
              </w:rPr>
              <w:t>600</w:t>
            </w:r>
          </w:p>
        </w:tc>
      </w:tr>
    </w:tbl>
    <w:p>
      <w:pPr>
        <w:pStyle w:val="Normal"/>
        <w:jc w:val="both"/>
        <w:rPr>
          <w:i/>
          <w:i/>
        </w:rPr>
      </w:pPr>
      <w:r>
        <w:rPr>
          <w:i/>
        </w:rPr>
        <w:t xml:space="preserve">Tato operace nemá dopad na položku 8115. Pohyb položky 8115 nastane v okamžiku, kdy se prostředky převedou z pokladny na ZBÚ. </w:t>
      </w:r>
    </w:p>
    <w:p>
      <w:pPr>
        <w:pStyle w:val="Normal"/>
        <w:jc w:val="both"/>
        <w:rPr>
          <w:i/>
          <w:i/>
        </w:rPr>
      </w:pPr>
      <w:r>
        <w:rPr>
          <w:i/>
        </w:rPr>
      </w:r>
    </w:p>
    <w:p>
      <w:pPr>
        <w:pStyle w:val="Normal"/>
        <w:spacing w:before="0" w:after="120"/>
        <w:jc w:val="center"/>
        <w:rPr>
          <w:b/>
          <w:b/>
          <w:sz w:val="28"/>
          <w:szCs w:val="28"/>
        </w:rPr>
      </w:pPr>
      <w:r>
        <w:rPr>
          <w:b/>
          <w:sz w:val="28"/>
          <w:szCs w:val="28"/>
        </w:rPr>
        <w:t>Přijaté úvěry, zápůjčky, návratné finanční výpomoci - čerpání</w:t>
      </w:r>
    </w:p>
    <w:p>
      <w:pPr>
        <w:pStyle w:val="Normal"/>
        <w:jc w:val="both"/>
        <w:rPr>
          <w:smallCaps/>
        </w:rPr>
      </w:pPr>
      <w:r>
        <w:rPr/>
        <w:t xml:space="preserve">Přijaté úvěry, zápůjčky, návratné finanční výpomoci </w:t>
      </w:r>
      <w:r>
        <w:rPr>
          <w:u w:val="single"/>
        </w:rPr>
        <w:t>jsou vždy financující operací (tř. 8)</w:t>
      </w:r>
      <w:r>
        <w:rPr/>
        <w:t xml:space="preserve">. </w:t>
      </w:r>
    </w:p>
    <w:p>
      <w:pPr>
        <w:pStyle w:val="Normal"/>
        <w:spacing w:before="0" w:after="60"/>
        <w:rPr/>
      </w:pPr>
      <w:r>
        <w:rPr/>
      </w:r>
    </w:p>
    <w:p>
      <w:pPr>
        <w:pStyle w:val="Normal"/>
        <w:spacing w:before="0" w:after="60"/>
        <w:rPr/>
      </w:pPr>
      <w:r>
        <w:rPr/>
        <w:t xml:space="preserve">Přijetí dlouhodobého úvěru (splatnost delší než 1 rok) na ZBÚ: </w:t>
        <w:tab/>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8123 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800 000</w:t>
            </w:r>
          </w:p>
        </w:tc>
      </w:tr>
    </w:tbl>
    <w:p>
      <w:pPr>
        <w:pStyle w:val="Normal"/>
        <w:spacing w:before="60" w:after="60"/>
        <w:rPr>
          <w:i/>
          <w:i/>
        </w:rPr>
      </w:pPr>
      <w:r>
        <w:rPr>
          <w:i/>
        </w:rPr>
        <w:t xml:space="preserve">Pro krátkodobý úvěr se použije účet 281 a položka 8113.  </w:t>
      </w:r>
    </w:p>
    <w:p>
      <w:pPr>
        <w:pStyle w:val="Normal"/>
        <w:spacing w:before="60" w:after="60"/>
        <w:rPr>
          <w:i/>
          <w:i/>
        </w:rPr>
      </w:pPr>
      <w:r>
        <w:rPr>
          <w:i/>
        </w:rPr>
      </w:r>
    </w:p>
    <w:p>
      <w:pPr>
        <w:pStyle w:val="Normal"/>
        <w:spacing w:before="0" w:after="60"/>
        <w:jc w:val="both"/>
        <w:rPr>
          <w:i/>
          <w:i/>
          <w:u w:val="single"/>
        </w:rPr>
      </w:pPr>
      <w:r>
        <w:rPr>
          <w:i/>
          <w:u w:val="single"/>
        </w:rPr>
        <w:t>Problematika zobrazování výše úvěrového rámce prostřednictvím podrozvahového účtu 992:</w:t>
      </w:r>
    </w:p>
    <w:p>
      <w:pPr>
        <w:pStyle w:val="Normal"/>
        <w:spacing w:before="0" w:after="120"/>
        <w:jc w:val="both"/>
        <w:rPr>
          <w:i/>
          <w:i/>
        </w:rPr>
      </w:pPr>
      <w:r>
        <w:rPr>
          <w:i/>
        </w:rPr>
        <w:t>Některé kraje vyžadují účtovat uzavřené úvěrové smlouvy před zahájením čerpání úvěru na podrozvahový účet 992 - ostatní dlouhodobá podmíněná aktiva (u krátkodobých úvěrů na účet 991 – ostatní krátkodobá podmíněná aktiva). To je však podle našeho názoru zavádějící, když se vyhodnotí uzavřená úvěrová smlouva jako podmíněná pohledávka ve smyslu budoucího zvýšení stavu peněz. Nemělo by se tedy vyžadovat i zaúčtování podmíněného závazku, který bude dokonce vyšší než pohledávka (kromě závazku splatit jistinu také závazky z úroků k úvěru)?</w:t>
      </w:r>
    </w:p>
    <w:p>
      <w:pPr>
        <w:pStyle w:val="Normal"/>
        <w:spacing w:before="0" w:after="60"/>
        <w:rPr/>
      </w:pPr>
      <w:r>
        <w:rPr/>
        <w:t xml:space="preserve">Splátka dlouhodobého úvěru: </w:t>
        <w:tab/>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8124</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50 000</w:t>
            </w:r>
          </w:p>
        </w:tc>
      </w:tr>
    </w:tbl>
    <w:p>
      <w:pPr>
        <w:pStyle w:val="Caption1"/>
        <w:spacing w:before="60" w:after="60"/>
        <w:rPr>
          <w:color w:val="00000A"/>
          <w:sz w:val="24"/>
          <w:szCs w:val="24"/>
        </w:rPr>
      </w:pPr>
      <w:r>
        <w:rPr>
          <w:color w:val="00000A"/>
          <w:sz w:val="24"/>
          <w:szCs w:val="24"/>
        </w:rPr>
        <w:t xml:space="preserve">Pro splátku krátkodobého úvěru (SU 281) se použije pol. 8114. </w:t>
      </w:r>
    </w:p>
    <w:p>
      <w:pPr>
        <w:pStyle w:val="Normal"/>
        <w:rPr>
          <w:lang w:eastAsia="en-US"/>
        </w:rPr>
      </w:pPr>
      <w:r>
        <w:rPr>
          <w:lang w:eastAsia="en-US"/>
        </w:rPr>
      </w:r>
    </w:p>
    <w:p>
      <w:pPr>
        <w:pStyle w:val="Normal"/>
        <w:spacing w:before="0" w:after="120"/>
        <w:rPr>
          <w:b/>
          <w:b/>
        </w:rPr>
      </w:pPr>
      <w:r>
        <w:rPr>
          <w:b/>
        </w:rPr>
        <w:t>Přímé čerpání z úvěrového účtu</w:t>
      </w:r>
    </w:p>
    <w:p>
      <w:pPr>
        <w:pStyle w:val="Normal"/>
        <w:spacing w:before="0" w:after="60"/>
        <w:rPr>
          <w:smallCaps/>
        </w:rPr>
      </w:pPr>
      <w:r>
        <w:rPr/>
        <w:t>Obec uhradí fakturu přímo z úvěrového účtu (přímé čerpání dlouhodobého úvěru):</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321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Z</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3113</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6121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800 000</w:t>
            </w:r>
          </w:p>
        </w:tc>
      </w:tr>
    </w:tbl>
    <w:p>
      <w:pPr>
        <w:pStyle w:val="Normal"/>
        <w:spacing w:before="60" w:after="0"/>
        <w:rPr>
          <w:i/>
          <w:i/>
        </w:rPr>
      </w:pPr>
      <w:r>
        <w:rPr>
          <w:i/>
        </w:rPr>
        <w:t>Z = závazná analytika stanovená programem, ve kterém obec zpracovává výkazy.</w:t>
      </w:r>
    </w:p>
    <w:p>
      <w:pPr>
        <w:pStyle w:val="Normal"/>
        <w:spacing w:before="0" w:after="120"/>
        <w:rPr>
          <w:i/>
          <w:i/>
        </w:rPr>
      </w:pPr>
      <w:r>
        <w:rPr>
          <w:i/>
        </w:rPr>
        <w:t>Pro krátkodobý úvěr se použije účet 281.</w:t>
      </w:r>
    </w:p>
    <w:p>
      <w:pPr>
        <w:pStyle w:val="Normal"/>
        <w:jc w:val="both"/>
        <w:rPr/>
      </w:pPr>
      <w:r>
        <w:rPr/>
        <w:t>Některé programy jsou nastaveny způsobem, že plnění na položce 8123 (dlouhodobé přijaté půjčené prostředky) automaticky generují z obratu na účtu 451 (dlouhodobé úvěry) a plnění na položce 8113 (krátkodobé přijaté půjčené prostředky) automaticky generují z obratu na účtu 281 (krátkodobé úvěry).</w:t>
      </w:r>
    </w:p>
    <w:p>
      <w:pPr>
        <w:pStyle w:val="Normal"/>
        <w:jc w:val="both"/>
        <w:rPr/>
      </w:pPr>
      <w:r>
        <w:rPr/>
      </w:r>
    </w:p>
    <w:p>
      <w:pPr>
        <w:pStyle w:val="Normal"/>
        <w:spacing w:before="0" w:after="60"/>
        <w:rPr/>
      </w:pPr>
      <w:r>
        <w:rPr/>
        <w:t>Některé programy položku 8123 vygenerují automaticky:</w:t>
      </w:r>
    </w:p>
    <w:tbl>
      <w:tblPr>
        <w:tblW w:w="91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3487"/>
        <w:gridCol w:w="910"/>
        <w:gridCol w:w="1574"/>
        <w:gridCol w:w="1574"/>
        <w:gridCol w:w="1575"/>
      </w:tblGrid>
      <w:tr>
        <w:trPr>
          <w:trHeight w:val="270" w:hRule="atLeast"/>
        </w:trPr>
        <w:tc>
          <w:tcPr>
            <w:tcW w:w="3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vAlign w:val="center"/>
          </w:tcPr>
          <w:p>
            <w:pPr>
              <w:pStyle w:val="Normal"/>
              <w:jc w:val="center"/>
              <w:rPr>
                <w:color w:val="000000"/>
              </w:rPr>
            </w:pPr>
            <w:r>
              <w:rPr>
                <w:color w:val="000000"/>
              </w:rPr>
              <w:t xml:space="preserve">Název </w:t>
            </w:r>
          </w:p>
        </w:tc>
        <w:tc>
          <w:tcPr>
            <w:tcW w:w="91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color w:val="000000"/>
              </w:rPr>
            </w:pPr>
            <w:r>
              <w:rPr>
                <w:color w:val="000000"/>
              </w:rPr>
              <w:t xml:space="preserve">Položka </w:t>
            </w:r>
          </w:p>
        </w:tc>
        <w:tc>
          <w:tcPr>
            <w:tcW w:w="1574"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color w:val="000000"/>
              </w:rPr>
            </w:pPr>
            <w:r>
              <w:rPr>
                <w:color w:val="000000"/>
              </w:rPr>
              <w:t>Schv. rozpočet</w:t>
            </w:r>
          </w:p>
        </w:tc>
        <w:tc>
          <w:tcPr>
            <w:tcW w:w="1574"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color w:val="000000"/>
              </w:rPr>
            </w:pPr>
            <w:r>
              <w:rPr>
                <w:color w:val="000000"/>
              </w:rPr>
              <w:t>Upr. rozpočet</w:t>
            </w:r>
          </w:p>
        </w:tc>
        <w:tc>
          <w:tcPr>
            <w:tcW w:w="1575"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color w:val="000000"/>
              </w:rPr>
            </w:pPr>
            <w:r>
              <w:rPr>
                <w:color w:val="000000"/>
              </w:rPr>
              <w:t>Plnění</w:t>
            </w:r>
          </w:p>
        </w:tc>
      </w:tr>
      <w:tr>
        <w:trPr>
          <w:trHeight w:val="270" w:hRule="atLeast"/>
        </w:trPr>
        <w:tc>
          <w:tcPr>
            <w:tcW w:w="348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color w:val="000000"/>
              </w:rPr>
            </w:pPr>
            <w:r>
              <w:rPr>
                <w:color w:val="000000"/>
              </w:rPr>
              <w:t xml:space="preserve">Dlouh. přijaté půjčené prostředky </w:t>
            </w:r>
          </w:p>
        </w:tc>
        <w:tc>
          <w:tcPr>
            <w:tcW w:w="91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8123</w:t>
            </w:r>
          </w:p>
        </w:tc>
        <w:tc>
          <w:tcPr>
            <w:tcW w:w="157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0</w:t>
            </w:r>
          </w:p>
        </w:tc>
        <w:tc>
          <w:tcPr>
            <w:tcW w:w="157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800 000</w:t>
            </w:r>
          </w:p>
        </w:tc>
        <w:tc>
          <w:tcPr>
            <w:tcW w:w="157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800 000</w:t>
            </w:r>
          </w:p>
        </w:tc>
      </w:tr>
    </w:tbl>
    <w:p>
      <w:pPr>
        <w:pStyle w:val="Normal"/>
        <w:spacing w:before="120" w:after="120"/>
        <w:jc w:val="both"/>
        <w:rPr/>
      </w:pPr>
      <w:r>
        <w:rPr/>
        <w:t>Program automaticky vygeneruje skutečné plnění pol. 8123 při úhradě faktury. Položku je třeba rozpočtovat (</w:t>
      </w:r>
      <w:r>
        <w:rPr>
          <w:u w:val="single"/>
        </w:rPr>
        <w:t>do rozpočtu je možné zapojit smluvně zabezpečený úvěr nebo úvěr na základě smlouvy o smlouvě budoucí</w:t>
      </w:r>
      <w:r>
        <w:rPr/>
        <w:t xml:space="preserve">). </w:t>
      </w:r>
    </w:p>
    <w:p>
      <w:pPr>
        <w:pStyle w:val="Normal"/>
        <w:spacing w:before="0" w:after="120"/>
        <w:jc w:val="both"/>
        <w:rPr/>
      </w:pPr>
      <w:r>
        <w:rPr/>
        <w:t xml:space="preserve">Operace nemá žádný dopad na změnu položky 8115. Výdaj (pol. 6121) je financovaný úvěrem (pol. 8123) a hrazený přímo z úvěrového účtu, stav peněz na ZBÚ se nemění. </w:t>
      </w:r>
    </w:p>
    <w:p>
      <w:pPr>
        <w:pStyle w:val="Normal"/>
        <w:spacing w:before="0" w:after="60"/>
        <w:jc w:val="both"/>
        <w:rPr/>
      </w:pPr>
      <w:r>
        <w:rPr/>
        <w:t>Obec uhradí fakturu přímo z úvěrového účtu (způsob čerpání dlouhodobého úvěru), software automaticky nevygeneruje plnění na pol. 8123:</w:t>
      </w:r>
    </w:p>
    <w:tbl>
      <w:tblPr>
        <w:tblW w:w="8720" w:type="dxa"/>
        <w:jc w:val="left"/>
        <w:tblInd w:w="56" w:type="dxa"/>
        <w:tblBorders>
          <w:top w:val="single" w:sz="8" w:space="0" w:color="00000A"/>
          <w:left w:val="single" w:sz="8" w:space="0" w:color="00000A"/>
          <w:bottom w:val="single" w:sz="8" w:space="0" w:color="00000A"/>
          <w:right w:val="single" w:sz="4" w:space="0" w:color="00000A"/>
          <w:insideH w:val="single" w:sz="8" w:space="0" w:color="00000A"/>
          <w:insideV w:val="single" w:sz="4" w:space="0" w:color="00000A"/>
        </w:tblBorders>
        <w:tblCellMar>
          <w:top w:w="0" w:type="dxa"/>
          <w:left w:w="60"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D9D9D9" w:themeFill="background1" w:themeFillShade="d9" w:val="clear"/>
            <w:tcMar>
              <w:left w:w="60" w:type="dxa"/>
            </w:tcMar>
          </w:tcPr>
          <w:p>
            <w:pPr>
              <w:pStyle w:val="Normal"/>
              <w:jc w:val="center"/>
              <w:rPr>
                <w:b/>
                <w:b/>
                <w:bCs/>
                <w:color w:val="000000"/>
              </w:rPr>
            </w:pPr>
            <w:r>
              <w:rPr>
                <w:b/>
                <w:bCs/>
                <w:color w:val="000000"/>
              </w:rPr>
              <w:t>SU</w:t>
            </w:r>
          </w:p>
        </w:tc>
        <w:tc>
          <w:tcPr>
            <w:tcW w:w="1160" w:type="dxa"/>
            <w:tcBorders>
              <w:top w:val="single" w:sz="8" w:space="0" w:color="00000A"/>
              <w:bottom w:val="single" w:sz="8" w:space="0" w:color="00000A"/>
              <w:right w:val="single" w:sz="4" w:space="0" w:color="00000A"/>
              <w:insideH w:val="single" w:sz="8"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8" w:space="0" w:color="00000A"/>
              <w:bottom w:val="single" w:sz="8" w:space="0" w:color="00000A"/>
              <w:right w:val="single" w:sz="4" w:space="0" w:color="00000A"/>
              <w:insideH w:val="single" w:sz="8"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8" w:space="0" w:color="00000A"/>
              <w:bottom w:val="single" w:sz="8" w:space="0" w:color="00000A"/>
              <w:right w:val="single" w:sz="4" w:space="0" w:color="00000A"/>
              <w:insideH w:val="single" w:sz="8"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8" w:space="0" w:color="00000A"/>
              <w:bottom w:val="single" w:sz="8" w:space="0" w:color="00000A"/>
              <w:right w:val="single" w:sz="4" w:space="0" w:color="00000A"/>
              <w:insideH w:val="single" w:sz="8"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8" w:space="0" w:color="00000A"/>
              <w:bottom w:val="single" w:sz="8" w:space="0" w:color="00000A"/>
              <w:right w:val="single" w:sz="8" w:space="0" w:color="00000A"/>
              <w:insideH w:val="single" w:sz="8" w:space="0" w:color="00000A"/>
              <w:insideV w:val="single" w:sz="8"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jc w:val="center"/>
              <w:rPr>
                <w:color w:val="000000"/>
              </w:rPr>
            </w:pPr>
            <w:r>
              <w:rPr>
                <w:color w:val="000000"/>
              </w:rPr>
              <w:t>262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c>
          <w:tcPr>
            <w:tcW w:w="1801"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jc w:val="right"/>
              <w:rPr>
                <w:color w:val="000000"/>
              </w:rPr>
            </w:pPr>
            <w:r>
              <w:rPr>
                <w:color w:val="000000"/>
              </w:rPr>
              <w:t> </w:t>
            </w:r>
          </w:p>
        </w:tc>
      </w:tr>
      <w:tr>
        <w:trPr>
          <w:trHeight w:val="270" w:hRule="atLeast"/>
        </w:trPr>
        <w:tc>
          <w:tcPr>
            <w:tcW w:w="1159" w:type="dxa"/>
            <w:tcBorders>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60" w:type="dxa"/>
            </w:tcMar>
            <w:vAlign w:val="bottom"/>
          </w:tcPr>
          <w:p>
            <w:pPr>
              <w:pStyle w:val="Normal"/>
              <w:jc w:val="center"/>
              <w:rPr>
                <w:color w:val="000000"/>
              </w:rPr>
            </w:pPr>
            <w:r>
              <w:rPr>
                <w:color w:val="000000"/>
              </w:rPr>
              <w:t>451</w:t>
            </w:r>
          </w:p>
        </w:tc>
        <w:tc>
          <w:tcPr>
            <w:tcW w:w="1160"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center"/>
              <w:rPr>
                <w:color w:val="000000"/>
              </w:rPr>
            </w:pPr>
            <w:r>
              <w:rPr>
                <w:color w:val="000000"/>
              </w:rPr>
              <w:t>0100</w:t>
            </w:r>
          </w:p>
        </w:tc>
        <w:tc>
          <w:tcPr>
            <w:tcW w:w="1400"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center"/>
              <w:rPr>
                <w:color w:val="000000"/>
              </w:rPr>
            </w:pPr>
            <w:r>
              <w:rPr>
                <w:color w:val="000000"/>
              </w:rPr>
            </w:r>
          </w:p>
        </w:tc>
        <w:tc>
          <w:tcPr>
            <w:tcW w:w="1399"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center"/>
              <w:rPr>
                <w:color w:val="000000"/>
              </w:rPr>
            </w:pPr>
            <w:r>
              <w:rPr>
                <w:color w:val="000000"/>
              </w:rPr>
            </w:r>
          </w:p>
        </w:tc>
        <w:tc>
          <w:tcPr>
            <w:tcW w:w="1800"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right"/>
              <w:rPr>
                <w:color w:val="000000"/>
              </w:rPr>
            </w:pPr>
            <w:r>
              <w:rPr>
                <w:color w:val="000000"/>
              </w:rPr>
              <w:t> </w:t>
            </w:r>
          </w:p>
        </w:tc>
        <w:tc>
          <w:tcPr>
            <w:tcW w:w="180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color w:val="000000"/>
              </w:rPr>
            </w:pPr>
            <w:r>
              <w:rPr>
                <w:color w:val="000000"/>
              </w:rPr>
              <w:t>800 000</w:t>
            </w:r>
          </w:p>
        </w:tc>
      </w:tr>
      <w:tr>
        <w:trPr>
          <w:trHeight w:val="270" w:hRule="atLeast"/>
        </w:trPr>
        <w:tc>
          <w:tcPr>
            <w:tcW w:w="115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t>0300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t>8123</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c>
          <w:tcPr>
            <w:tcW w:w="1801"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jc w:val="right"/>
              <w:rPr>
                <w:color w:val="000000"/>
              </w:rPr>
            </w:pPr>
            <w:r>
              <w:rPr>
                <w:color w:val="000000"/>
              </w:rPr>
              <w:t> </w:t>
            </w:r>
          </w:p>
        </w:tc>
      </w:tr>
      <w:tr>
        <w:trPr>
          <w:trHeight w:val="270" w:hRule="atLeast"/>
        </w:trPr>
        <w:tc>
          <w:tcPr>
            <w:tcW w:w="115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jc w:val="center"/>
              <w:rPr>
                <w:color w:val="000000"/>
              </w:rPr>
            </w:pPr>
            <w:r>
              <w:rPr>
                <w:color w:val="000000"/>
              </w:rPr>
              <w:t>262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 </w:t>
            </w:r>
          </w:p>
        </w:tc>
        <w:tc>
          <w:tcPr>
            <w:tcW w:w="1801"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right"/>
              <w:rPr>
                <w:color w:val="000000"/>
              </w:rPr>
            </w:pPr>
            <w:r>
              <w:rPr>
                <w:color w:val="000000"/>
              </w:rPr>
              <w:t>800 000</w:t>
            </w:r>
          </w:p>
        </w:tc>
      </w:tr>
      <w:tr>
        <w:trPr>
          <w:trHeight w:val="270" w:hRule="atLeast"/>
        </w:trPr>
        <w:tc>
          <w:tcPr>
            <w:tcW w:w="1159"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jc w:val="center"/>
              <w:rPr>
                <w:color w:val="000000"/>
              </w:rPr>
            </w:pPr>
            <w:r>
              <w:rPr>
                <w:color w:val="000000"/>
              </w:rPr>
              <w:t>321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c>
          <w:tcPr>
            <w:tcW w:w="1801"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jc w:val="right"/>
              <w:rPr>
                <w:color w:val="000000"/>
              </w:rPr>
            </w:pPr>
            <w:r>
              <w:rPr>
                <w:color w:val="000000"/>
              </w:rPr>
              <w:t> </w:t>
            </w:r>
          </w:p>
        </w:tc>
      </w:tr>
      <w:tr>
        <w:trPr>
          <w:trHeight w:val="270" w:hRule="atLeast"/>
        </w:trPr>
        <w:tc>
          <w:tcPr>
            <w:tcW w:w="1159" w:type="dxa"/>
            <w:tcBorders>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60" w:type="dxa"/>
            </w:tcMar>
            <w:vAlign w:val="bottom"/>
          </w:tcPr>
          <w:p>
            <w:pPr>
              <w:pStyle w:val="Normal"/>
              <w:jc w:val="center"/>
              <w:rPr>
                <w:color w:val="000000"/>
              </w:rPr>
            </w:pPr>
            <w:r>
              <w:rPr>
                <w:color w:val="000000"/>
              </w:rPr>
              <w:t>231</w:t>
            </w:r>
          </w:p>
        </w:tc>
        <w:tc>
          <w:tcPr>
            <w:tcW w:w="1160"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center"/>
              <w:rPr>
                <w:color w:val="000000"/>
              </w:rPr>
            </w:pPr>
            <w:r>
              <w:rPr>
                <w:color w:val="000000"/>
              </w:rPr>
              <w:t>0300</w:t>
            </w:r>
          </w:p>
        </w:tc>
        <w:tc>
          <w:tcPr>
            <w:tcW w:w="1400"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center"/>
              <w:rPr>
                <w:color w:val="000000"/>
              </w:rPr>
            </w:pPr>
            <w:r>
              <w:rPr>
                <w:color w:val="000000"/>
              </w:rPr>
              <w:t>3113</w:t>
            </w:r>
          </w:p>
        </w:tc>
        <w:tc>
          <w:tcPr>
            <w:tcW w:w="1399"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center"/>
              <w:rPr>
                <w:color w:val="000000"/>
              </w:rPr>
            </w:pPr>
            <w:r>
              <w:rPr>
                <w:color w:val="000000"/>
              </w:rPr>
              <w:t>6121</w:t>
            </w:r>
          </w:p>
        </w:tc>
        <w:tc>
          <w:tcPr>
            <w:tcW w:w="1800" w:type="dxa"/>
            <w:tcBorders>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jc w:val="right"/>
              <w:rPr>
                <w:color w:val="000000"/>
              </w:rPr>
            </w:pPr>
            <w:r>
              <w:rPr>
                <w:color w:val="000000"/>
              </w:rPr>
              <w:t> </w:t>
            </w:r>
          </w:p>
        </w:tc>
        <w:tc>
          <w:tcPr>
            <w:tcW w:w="180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keepNext/>
              <w:jc w:val="right"/>
              <w:rPr>
                <w:color w:val="000000"/>
              </w:rPr>
            </w:pPr>
            <w:r>
              <w:rPr>
                <w:color w:val="000000"/>
              </w:rPr>
              <w:t>800 000</w:t>
            </w:r>
          </w:p>
        </w:tc>
      </w:tr>
    </w:tbl>
    <w:p>
      <w:pPr>
        <w:pStyle w:val="Normal"/>
        <w:spacing w:before="60" w:after="120"/>
        <w:jc w:val="both"/>
        <w:rPr>
          <w:i/>
          <w:i/>
        </w:rPr>
      </w:pPr>
      <w:r>
        <w:rPr>
          <w:i/>
        </w:rPr>
        <w:t>Pro zobrazení položky 8123 musíme využít BÚ k úvěru (s vlastní analytikou) - není zajištěno vygenerování položky 8123 SW. Analytiky v příkladu jsou zvoleny náhodně a vyjadřují, že úvěr na účtu 451 musí být analyticky oddělený a zároveň pro zápisy na účtu 231 použijeme oddělenou analytiku. Účet používáme technicky proto, abychom zobrazili plnění rozpočtu přes RS, zůstatek účtu 231 bude po provedení operace 0.</w:t>
      </w:r>
    </w:p>
    <w:p>
      <w:pPr>
        <w:pStyle w:val="Normal"/>
        <w:spacing w:before="0" w:after="60"/>
        <w:rPr/>
      </w:pPr>
      <w:r>
        <w:rPr/>
      </w:r>
    </w:p>
    <w:p>
      <w:pPr>
        <w:pStyle w:val="Normal"/>
        <w:spacing w:before="0" w:after="60"/>
        <w:rPr/>
      </w:pPr>
      <w:r>
        <w:rPr/>
        <w:t>Přijetí návratné finanční výpomoci dlouhodobé od např. jiné obce:</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8123 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200 000</w:t>
            </w:r>
          </w:p>
        </w:tc>
      </w:tr>
    </w:tbl>
    <w:p>
      <w:pPr>
        <w:pStyle w:val="Normal"/>
        <w:spacing w:before="60" w:after="0"/>
        <w:jc w:val="both"/>
        <w:rPr>
          <w:i/>
          <w:i/>
        </w:rPr>
      </w:pPr>
      <w:r>
        <w:rPr>
          <w:i/>
        </w:rPr>
        <w:t xml:space="preserve">Pro krátkodobou NFV se použije účet 326 a položka 8113 (nezapomeneme na oddělené sledování). </w:t>
      </w:r>
    </w:p>
    <w:p>
      <w:pPr>
        <w:pStyle w:val="Normal"/>
        <w:spacing w:before="0" w:after="60"/>
        <w:contextualSpacing/>
        <w:jc w:val="both"/>
        <w:rPr>
          <w:i/>
          <w:i/>
        </w:rPr>
      </w:pPr>
      <w:r>
        <w:rPr>
          <w:i/>
        </w:rPr>
        <w:t>SU 452 – přijaté návratné finanční výpomoci dlouhodobé, účet bez obsahového vymezení.</w:t>
      </w:r>
    </w:p>
    <w:p>
      <w:pPr>
        <w:pStyle w:val="Normal"/>
        <w:spacing w:before="0" w:after="60"/>
        <w:contextualSpacing/>
        <w:jc w:val="both"/>
        <w:rPr>
          <w:i/>
          <w:i/>
        </w:rPr>
      </w:pPr>
      <w:r>
        <w:rPr>
          <w:i/>
        </w:rPr>
        <w:t xml:space="preserve">SU 326 – přijaté návratné finanční výpomoci krátkodobé, účet bez obsahového vymezení. </w:t>
      </w:r>
    </w:p>
    <w:p>
      <w:pPr>
        <w:pStyle w:val="Normal"/>
        <w:rPr/>
      </w:pPr>
      <w:r>
        <w:rPr/>
      </w:r>
    </w:p>
    <w:p>
      <w:pPr>
        <w:pStyle w:val="Normal"/>
        <w:spacing w:before="0" w:after="60"/>
        <w:rPr/>
      </w:pPr>
      <w:r>
        <w:rPr/>
        <w:t>Účtování poskytovatele - obec poskytuje dlouhodobou NFV jiné obci:</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3639 (např.)</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5641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200 000</w:t>
            </w:r>
          </w:p>
        </w:tc>
      </w:tr>
    </w:tbl>
    <w:p>
      <w:pPr>
        <w:pStyle w:val="Normal"/>
        <w:spacing w:before="60" w:after="0"/>
        <w:jc w:val="both"/>
        <w:rPr>
          <w:i/>
          <w:i/>
        </w:rPr>
      </w:pPr>
      <w:r>
        <w:rPr>
          <w:i/>
        </w:rPr>
        <w:t>Pro krátkodobou poskytnutou NFV se použije účet 316 (nezapomeneme na oddělené sledování).</w:t>
      </w:r>
    </w:p>
    <w:p>
      <w:pPr>
        <w:pStyle w:val="Normal"/>
        <w:rPr>
          <w:i/>
          <w:i/>
        </w:rPr>
      </w:pPr>
      <w:r>
        <w:rPr>
          <w:i/>
        </w:rPr>
      </w:r>
    </w:p>
    <w:p>
      <w:pPr>
        <w:pStyle w:val="Normal"/>
        <w:jc w:val="both"/>
        <w:rPr>
          <w:i/>
          <w:i/>
        </w:rPr>
      </w:pPr>
      <w:r>
        <w:rPr>
          <w:i/>
        </w:rPr>
        <w:t xml:space="preserve">Obec, která poskytnula návratnou finanční výpomoc, realizovala ze svého pohledu akt rozpočtové politiky (účelem NFV je podpora, pomoc druhé obci, nikoliv zhodnocení dočasně volných prostředků). NFV se poskytují bezúročně (viz § 10a zákona č. 250/2000 Sb.). Obec tedy poskytuje NFV jako svůj výdaj (nikoliv financování). Naopak obec, která NFV přijímá, ji přijímá jako své financování (např. takto obec může financovat schodek svého rozpočtu či v případě krátkodobé NFV kryje dočasný časový nesoulad mezi čerpáním výdajů a plněním příjmů). </w:t>
      </w:r>
    </w:p>
    <w:p>
      <w:pPr>
        <w:pStyle w:val="Normal"/>
        <w:spacing w:before="0" w:after="60"/>
        <w:rPr/>
      </w:pPr>
      <w:r>
        <w:rPr/>
      </w:r>
    </w:p>
    <w:p>
      <w:pPr>
        <w:pStyle w:val="Normal"/>
        <w:spacing w:before="0" w:after="60"/>
        <w:rPr/>
      </w:pPr>
      <w:r>
        <w:rPr/>
        <w:t>Přijetí dlouhodobé zápůjčky:</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8123 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459</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200 000</w:t>
            </w:r>
          </w:p>
        </w:tc>
      </w:tr>
    </w:tbl>
    <w:p>
      <w:pPr>
        <w:pStyle w:val="Normal"/>
        <w:spacing w:before="60" w:after="0"/>
        <w:jc w:val="both"/>
        <w:rPr>
          <w:i/>
          <w:i/>
        </w:rPr>
      </w:pPr>
      <w:r>
        <w:rPr>
          <w:i/>
        </w:rPr>
        <w:t xml:space="preserve">Pro krátkodobou zápůjčku se použije účet 289 a položka 8113 (nezapomeneme na oddělené sledování). </w:t>
      </w:r>
    </w:p>
    <w:p>
      <w:pPr>
        <w:pStyle w:val="Normal"/>
        <w:spacing w:before="60" w:after="0"/>
        <w:jc w:val="both"/>
        <w:rPr>
          <w:i/>
          <w:i/>
        </w:rPr>
      </w:pPr>
      <w:r>
        <w:rPr>
          <w:i/>
          <w:highlight w:val="yellow"/>
        </w:rPr>
        <w:t>Krátkodobá zápůjčka by se dle obsahové náplně účtu ve vyhlášce č. 410/2009 Sb. měla vykázat na účtu 281.</w:t>
      </w:r>
      <w:r>
        <w:rPr>
          <w:i/>
        </w:rPr>
        <w:t xml:space="preserve"> </w:t>
      </w:r>
    </w:p>
    <w:p>
      <w:pPr>
        <w:pStyle w:val="Normal"/>
        <w:spacing w:before="0" w:after="60"/>
        <w:contextualSpacing/>
        <w:rPr>
          <w:i/>
          <w:i/>
        </w:rPr>
      </w:pPr>
      <w:r>
        <w:rPr>
          <w:i/>
        </w:rPr>
        <w:t>SU 459 – ostatní dlouhodobé závazky, účet bez obsahového vymezení.</w:t>
      </w:r>
    </w:p>
    <w:p>
      <w:pPr>
        <w:pStyle w:val="Normal"/>
        <w:spacing w:before="0" w:after="60"/>
        <w:contextualSpacing/>
        <w:rPr>
          <w:i/>
          <w:i/>
        </w:rPr>
      </w:pPr>
      <w:r>
        <w:rPr>
          <w:i/>
        </w:rPr>
        <w:t xml:space="preserve">SU 289 – jiné krátkodobé půjčky, účet bez obsahového vymezení. </w:t>
      </w:r>
    </w:p>
    <w:p>
      <w:pPr>
        <w:pStyle w:val="Normal"/>
        <w:jc w:val="center"/>
        <w:rPr>
          <w:i/>
          <w:i/>
        </w:rPr>
      </w:pPr>
      <w:r>
        <w:rPr>
          <w:i/>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t>Přijaté úvěry, zápůjčky, návratné finanční výpomoci – splátky</w:t>
      </w:r>
    </w:p>
    <w:p>
      <w:pPr>
        <w:pStyle w:val="Normal"/>
        <w:jc w:val="center"/>
        <w:rPr>
          <w:b/>
          <w:b/>
          <w:sz w:val="28"/>
          <w:szCs w:val="28"/>
        </w:rPr>
      </w:pPr>
      <w:r>
        <w:rPr>
          <w:b/>
          <w:sz w:val="28"/>
          <w:szCs w:val="28"/>
        </w:rPr>
      </w:r>
    </w:p>
    <w:p>
      <w:pPr>
        <w:pStyle w:val="Normal"/>
        <w:jc w:val="center"/>
        <w:rPr>
          <w:b/>
          <w:b/>
          <w:sz w:val="28"/>
          <w:szCs w:val="28"/>
        </w:rPr>
      </w:pPr>
      <w:r>
        <w:rPr/>
        <w:t>Splátka dlouhodobého úvěru ze ZBÚ (splátka jistiny, úroku, platba bankovního poplatku)</w:t>
      </w:r>
    </w:p>
    <w:tbl>
      <w:tblPr>
        <w:tblW w:w="872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8124 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50 000</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3111</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5141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3111 (6310)</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5163</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2 000</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378</w:t>
              <w:softHyphen/>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518</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r>
          </w:p>
        </w:tc>
      </w:tr>
    </w:tbl>
    <w:p>
      <w:pPr>
        <w:pStyle w:val="Normal"/>
        <w:spacing w:before="60" w:after="60"/>
        <w:rPr>
          <w:i/>
          <w:i/>
        </w:rPr>
      </w:pPr>
      <w:r>
        <w:rPr>
          <w:i/>
        </w:rPr>
        <w:t xml:space="preserve">Odpa 3111 se použije např. pro splátku úvěru čerpaného na rozšíření kapacity MŠ </w:t>
      </w:r>
    </w:p>
    <w:p>
      <w:pPr>
        <w:pStyle w:val="Normal"/>
        <w:spacing w:before="60" w:after="60"/>
        <w:rPr/>
      </w:pPr>
      <w:r>
        <w:rPr/>
      </w:r>
    </w:p>
    <w:p>
      <w:pPr>
        <w:pStyle w:val="Normal"/>
        <w:spacing w:before="60" w:after="60"/>
        <w:rPr/>
      </w:pPr>
      <w:r>
        <w:rPr/>
        <w:t>Předpis úroku</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562</w:t>
            </w:r>
            <w:r>
              <w:rPr>
                <w:i/>
              </w:rPr>
              <w:t>*</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378</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r>
    </w:tbl>
    <w:p>
      <w:pPr>
        <w:pStyle w:val="Normal"/>
        <w:spacing w:before="0" w:after="60"/>
        <w:jc w:val="both"/>
        <w:rPr>
          <w:i/>
          <w:i/>
        </w:rPr>
      </w:pPr>
      <w:r>
        <w:rPr>
          <w:i/>
        </w:rPr>
        <w:t>Úroky lze účtovat rovnou zápisem 562 MD/ 231 D + RS</w:t>
      </w:r>
    </w:p>
    <w:p>
      <w:pPr>
        <w:pStyle w:val="Normal"/>
        <w:jc w:val="both"/>
        <w:rPr>
          <w:i/>
          <w:i/>
        </w:rPr>
      </w:pPr>
      <w:r>
        <w:rPr>
          <w:i/>
        </w:rPr>
        <w:t>* Účetní jednotka může rozhodnout, zda úroky bude vykazovat jakou součást pořizovací ceny dlouhodobého majetku nebo zda se budou účtovat celou dobu jen do nákladů 562 (bod 7 ČÚS 710). Alternativní postup v případě, že účetní jednotka rozhodne o zahrnování úroků do ocenění majetku: 042 MD/ 378 D, 378 MD/ 231 odpa 3111 pol. 6121, popř. rovnou 042 MD/ 231 odpa 3111 pol. 6121 D.</w:t>
      </w:r>
    </w:p>
    <w:p>
      <w:pPr>
        <w:pStyle w:val="Normal"/>
        <w:rPr>
          <w:rFonts w:ascii="Arial" w:hAnsi="Arial" w:cs="Arial"/>
          <w:sz w:val="20"/>
          <w:szCs w:val="20"/>
        </w:rPr>
      </w:pPr>
      <w:r>
        <w:rPr>
          <w:rFonts w:cs="Arial" w:ascii="Arial" w:hAnsi="Arial"/>
          <w:sz w:val="20"/>
          <w:szCs w:val="20"/>
        </w:rPr>
      </w:r>
    </w:p>
    <w:p>
      <w:pPr>
        <w:pStyle w:val="Normal"/>
        <w:spacing w:before="0" w:after="60"/>
        <w:rPr/>
      </w:pPr>
      <w:r>
        <w:rPr/>
        <w:t>Splátka přijaté návratné finanční výpomoci dlouhodobé od jiné obce</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 xml:space="preserve">231 </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8124</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10 000</w:t>
            </w:r>
          </w:p>
        </w:tc>
      </w:tr>
    </w:tbl>
    <w:p>
      <w:pPr>
        <w:pStyle w:val="Normal"/>
        <w:spacing w:before="60" w:after="0"/>
        <w:rPr>
          <w:i/>
          <w:i/>
        </w:rPr>
      </w:pPr>
      <w:r>
        <w:rPr>
          <w:i/>
        </w:rPr>
        <w:t xml:space="preserve">Pro krátkodobou NFV se použije účet 326 a položka 8114.  Nezapomeneme na oddělené sledování.  </w:t>
      </w:r>
    </w:p>
    <w:p>
      <w:pPr>
        <w:pStyle w:val="Normal"/>
        <w:rPr>
          <w:i/>
          <w:i/>
        </w:rPr>
      </w:pPr>
      <w:r>
        <w:rPr>
          <w:i/>
        </w:rPr>
      </w:r>
    </w:p>
    <w:p>
      <w:pPr>
        <w:pStyle w:val="Normal"/>
        <w:spacing w:before="0" w:after="60"/>
        <w:rPr/>
      </w:pPr>
      <w:r>
        <w:rPr/>
        <w:t>Účtování poskytovatele NFV – obec přijímá splátku dlouhodobé NFV poskytnuté jiné obci:</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bez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2441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10 000</w:t>
            </w:r>
          </w:p>
        </w:tc>
      </w:tr>
    </w:tbl>
    <w:p>
      <w:pPr>
        <w:pStyle w:val="Normal"/>
        <w:spacing w:before="0" w:after="60"/>
        <w:rPr>
          <w:i/>
          <w:i/>
        </w:rPr>
      </w:pPr>
      <w:r>
        <w:rPr>
          <w:i/>
        </w:rPr>
        <w:t xml:space="preserve">Pro přijatou splátku krátkodobé NFV se použije účet 326, položka se nemění. Nezapomeneme na oddělené sledování. </w:t>
      </w:r>
    </w:p>
    <w:p>
      <w:pPr>
        <w:pStyle w:val="Normal"/>
        <w:spacing w:before="0" w:after="60"/>
        <w:rPr/>
      </w:pPr>
      <w:r>
        <w:rPr/>
      </w:r>
    </w:p>
    <w:p>
      <w:pPr>
        <w:pStyle w:val="Normal"/>
        <w:spacing w:before="0" w:after="60"/>
        <w:rPr/>
      </w:pPr>
      <w:r>
        <w:rPr/>
        <w:t>Splátka dlouhodobé zápůjčky:</w:t>
      </w:r>
    </w:p>
    <w:tbl>
      <w:tblPr>
        <w:tblW w:w="872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459</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8124</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10 000</w:t>
            </w:r>
          </w:p>
        </w:tc>
      </w:tr>
    </w:tbl>
    <w:p>
      <w:pPr>
        <w:pStyle w:val="Normal"/>
        <w:spacing w:before="60" w:after="0"/>
        <w:rPr>
          <w:i/>
          <w:i/>
        </w:rPr>
      </w:pPr>
      <w:r>
        <w:rPr>
          <w:i/>
        </w:rPr>
        <w:t>Pro krátkodobou zápůjčku se použije účet 289 a položka 8114.</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8"/>
          <w:szCs w:val="28"/>
        </w:rPr>
      </w:pPr>
      <w:r>
        <w:rPr>
          <w:b/>
          <w:sz w:val="28"/>
          <w:szCs w:val="28"/>
        </w:rPr>
        <w:t>Kontokorent</w:t>
      </w:r>
    </w:p>
    <w:p>
      <w:pPr>
        <w:pStyle w:val="Normal"/>
        <w:rPr/>
      </w:pPr>
      <w:r>
        <w:rPr/>
      </w:r>
    </w:p>
    <w:p>
      <w:pPr>
        <w:pStyle w:val="Normal"/>
        <w:spacing w:before="0" w:after="60"/>
        <w:rPr/>
      </w:pPr>
      <w:r>
        <w:rPr/>
        <w:t>Účetní stav ZBÚ k 31. 12. 2016:</w:t>
      </w:r>
    </w:p>
    <w:tbl>
      <w:tblPr>
        <w:tblW w:w="8171"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080"/>
        <w:gridCol w:w="1080"/>
        <w:gridCol w:w="1539"/>
        <w:gridCol w:w="1475"/>
        <w:gridCol w:w="1502"/>
        <w:gridCol w:w="1494"/>
      </w:tblGrid>
      <w:tr>
        <w:trPr>
          <w:trHeight w:val="270"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vAlign w:val="bottom"/>
          </w:tcPr>
          <w:p>
            <w:pPr>
              <w:pStyle w:val="Normal"/>
              <w:jc w:val="center"/>
              <w:rPr>
                <w:b/>
                <w:b/>
                <w:bCs/>
                <w:color w:val="000000"/>
              </w:rPr>
            </w:pPr>
            <w:r>
              <w:rPr>
                <w:b/>
                <w:bCs/>
                <w:color w:val="000000"/>
              </w:rPr>
              <w:t>SU</w:t>
            </w:r>
          </w:p>
        </w:tc>
        <w:tc>
          <w:tcPr>
            <w:tcW w:w="108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AU</w:t>
            </w:r>
          </w:p>
        </w:tc>
        <w:tc>
          <w:tcPr>
            <w:tcW w:w="153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PS 2016</w:t>
            </w:r>
          </w:p>
        </w:tc>
        <w:tc>
          <w:tcPr>
            <w:tcW w:w="1475"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obrat MD</w:t>
            </w:r>
          </w:p>
        </w:tc>
        <w:tc>
          <w:tcPr>
            <w:tcW w:w="1502"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obrat DAL</w:t>
            </w:r>
          </w:p>
        </w:tc>
        <w:tc>
          <w:tcPr>
            <w:tcW w:w="1494"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KZ 2016</w:t>
            </w:r>
          </w:p>
        </w:tc>
      </w:tr>
      <w:tr>
        <w:trPr>
          <w:trHeight w:val="27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color w:val="000000"/>
              </w:rPr>
            </w:pPr>
            <w:r>
              <w:rPr>
                <w:color w:val="000000"/>
              </w:rPr>
              <w:t>231</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r>
          </w:p>
        </w:tc>
        <w:tc>
          <w:tcPr>
            <w:tcW w:w="153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1 000 000</w:t>
            </w:r>
          </w:p>
        </w:tc>
        <w:tc>
          <w:tcPr>
            <w:tcW w:w="147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8 000 000</w:t>
            </w:r>
          </w:p>
        </w:tc>
        <w:tc>
          <w:tcPr>
            <w:tcW w:w="150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9 200 000</w:t>
            </w:r>
          </w:p>
        </w:tc>
        <w:tc>
          <w:tcPr>
            <w:tcW w:w="14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-200 000</w:t>
            </w:r>
          </w:p>
        </w:tc>
      </w:tr>
    </w:tbl>
    <w:p>
      <w:pPr>
        <w:pStyle w:val="Normal"/>
        <w:rPr/>
      </w:pPr>
      <w:r>
        <w:rPr/>
      </w:r>
    </w:p>
    <w:p>
      <w:pPr>
        <w:pStyle w:val="Normal"/>
        <w:spacing w:before="0" w:after="60"/>
        <w:rPr/>
      </w:pPr>
      <w:r>
        <w:rPr/>
        <w:t>Zaúčtování přijetí úvěru na ZBÚ (k 31. 12. 2016)</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8905</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281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r>
    </w:tbl>
    <w:p>
      <w:pPr>
        <w:pStyle w:val="Normal"/>
        <w:spacing w:before="0" w:after="60"/>
        <w:rPr/>
      </w:pPr>
      <w:r>
        <w:rPr/>
      </w:r>
    </w:p>
    <w:p>
      <w:pPr>
        <w:pStyle w:val="Normal"/>
        <w:spacing w:before="0" w:after="60"/>
        <w:rPr/>
      </w:pPr>
      <w:r>
        <w:rPr/>
      </w:r>
    </w:p>
    <w:p>
      <w:pPr>
        <w:pStyle w:val="Normal"/>
        <w:spacing w:before="0" w:after="60"/>
        <w:rPr/>
      </w:pPr>
      <w:r>
        <w:rPr/>
        <w:t>Plnění rozpočtu k 31. 12. 2016:</w:t>
      </w:r>
    </w:p>
    <w:tbl>
      <w:tblPr>
        <w:tblW w:w="71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2715"/>
        <w:gridCol w:w="845"/>
        <w:gridCol w:w="1780"/>
        <w:gridCol w:w="1779"/>
      </w:tblGrid>
      <w:tr>
        <w:trPr>
          <w:trHeight w:val="540" w:hRule="atLeast"/>
        </w:trPr>
        <w:tc>
          <w:tcPr>
            <w:tcW w:w="35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vAlign w:val="center"/>
          </w:tcPr>
          <w:p>
            <w:pPr>
              <w:pStyle w:val="Normal"/>
              <w:jc w:val="center"/>
              <w:rPr>
                <w:b/>
                <w:b/>
                <w:bCs/>
                <w:color w:val="000000"/>
              </w:rPr>
            </w:pPr>
            <w:r>
              <w:rPr>
                <w:b/>
                <w:bCs/>
                <w:color w:val="000000"/>
              </w:rPr>
              <w:t>Před zaúčtováním kontokorentu</w:t>
            </w:r>
          </w:p>
        </w:tc>
        <w:tc>
          <w:tcPr>
            <w:tcW w:w="3559"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center"/>
          </w:tcPr>
          <w:p>
            <w:pPr>
              <w:pStyle w:val="Normal"/>
              <w:jc w:val="center"/>
              <w:rPr>
                <w:b/>
                <w:b/>
                <w:bCs/>
                <w:color w:val="000000"/>
              </w:rPr>
            </w:pPr>
            <w:r>
              <w:rPr>
                <w:b/>
                <w:bCs/>
                <w:color w:val="000000"/>
              </w:rPr>
              <w:t>Po zaúčtování kontokorentu</w:t>
            </w:r>
          </w:p>
        </w:tc>
      </w:tr>
      <w:tr>
        <w:trPr>
          <w:trHeight w:val="270" w:hRule="atLeast"/>
        </w:trPr>
        <w:tc>
          <w:tcPr>
            <w:tcW w:w="271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b/>
                <w:b/>
                <w:bCs/>
                <w:color w:val="000000"/>
              </w:rPr>
            </w:pPr>
            <w:r>
              <w:rPr>
                <w:b/>
                <w:bCs/>
                <w:color w:val="000000"/>
              </w:rPr>
              <w:t xml:space="preserve">Příjmy </w:t>
            </w:r>
          </w:p>
        </w:tc>
        <w:tc>
          <w:tcPr>
            <w:tcW w:w="8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b/>
                <w:b/>
                <w:bCs/>
                <w:color w:val="000000"/>
              </w:rPr>
            </w:pPr>
            <w:r>
              <w:rPr>
                <w:b/>
                <w:bCs/>
                <w:color w:val="000000"/>
              </w:rPr>
              <w:t>8</w:t>
            </w:r>
          </w:p>
        </w:tc>
        <w:tc>
          <w:tcPr>
            <w:tcW w:w="17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b/>
                <w:b/>
                <w:bCs/>
                <w:color w:val="000000"/>
              </w:rPr>
            </w:pPr>
            <w:r>
              <w:rPr>
                <w:b/>
                <w:bCs/>
                <w:color w:val="000000"/>
              </w:rPr>
              <w:t xml:space="preserve">Příjmy </w:t>
            </w:r>
          </w:p>
        </w:tc>
        <w:tc>
          <w:tcPr>
            <w:tcW w:w="177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b/>
                <w:b/>
                <w:bCs/>
                <w:color w:val="000000"/>
              </w:rPr>
            </w:pPr>
            <w:r>
              <w:rPr>
                <w:b/>
                <w:bCs/>
                <w:color w:val="000000"/>
              </w:rPr>
              <w:t>8</w:t>
            </w:r>
          </w:p>
        </w:tc>
      </w:tr>
      <w:tr>
        <w:trPr>
          <w:trHeight w:val="270" w:hRule="atLeast"/>
        </w:trPr>
        <w:tc>
          <w:tcPr>
            <w:tcW w:w="271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b/>
                <w:b/>
                <w:bCs/>
                <w:color w:val="000000"/>
              </w:rPr>
            </w:pPr>
            <w:r>
              <w:rPr>
                <w:b/>
                <w:bCs/>
                <w:color w:val="000000"/>
              </w:rPr>
              <w:t xml:space="preserve">Výdaje </w:t>
            </w:r>
          </w:p>
        </w:tc>
        <w:tc>
          <w:tcPr>
            <w:tcW w:w="8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b/>
                <w:b/>
                <w:bCs/>
                <w:color w:val="000000"/>
              </w:rPr>
            </w:pPr>
            <w:r>
              <w:rPr>
                <w:b/>
                <w:bCs/>
                <w:color w:val="000000"/>
              </w:rPr>
              <w:t>9,2</w:t>
            </w:r>
          </w:p>
        </w:tc>
        <w:tc>
          <w:tcPr>
            <w:tcW w:w="17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b/>
                <w:b/>
                <w:bCs/>
                <w:color w:val="000000"/>
              </w:rPr>
            </w:pPr>
            <w:r>
              <w:rPr>
                <w:b/>
                <w:bCs/>
                <w:color w:val="000000"/>
              </w:rPr>
              <w:t xml:space="preserve">Výdaje </w:t>
            </w:r>
          </w:p>
        </w:tc>
        <w:tc>
          <w:tcPr>
            <w:tcW w:w="177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b/>
                <w:b/>
                <w:bCs/>
                <w:color w:val="000000"/>
              </w:rPr>
            </w:pPr>
            <w:r>
              <w:rPr>
                <w:b/>
                <w:bCs/>
                <w:color w:val="000000"/>
              </w:rPr>
              <w:t>9,2</w:t>
            </w:r>
          </w:p>
        </w:tc>
      </w:tr>
      <w:tr>
        <w:trPr>
          <w:trHeight w:val="270" w:hRule="atLeast"/>
        </w:trPr>
        <w:tc>
          <w:tcPr>
            <w:tcW w:w="271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color w:val="000000"/>
              </w:rPr>
            </w:pPr>
            <w:r>
              <w:rPr>
                <w:color w:val="000000"/>
              </w:rPr>
              <w:t>Saldo P a V</w:t>
            </w:r>
          </w:p>
        </w:tc>
        <w:tc>
          <w:tcPr>
            <w:tcW w:w="8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-1,2</w:t>
            </w:r>
          </w:p>
        </w:tc>
        <w:tc>
          <w:tcPr>
            <w:tcW w:w="17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color w:val="000000"/>
              </w:rPr>
            </w:pPr>
            <w:r>
              <w:rPr>
                <w:color w:val="000000"/>
              </w:rPr>
              <w:t>Saldo P a V</w:t>
            </w:r>
          </w:p>
        </w:tc>
        <w:tc>
          <w:tcPr>
            <w:tcW w:w="177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-1,2</w:t>
            </w:r>
          </w:p>
        </w:tc>
      </w:tr>
      <w:tr>
        <w:trPr>
          <w:trHeight w:val="270" w:hRule="atLeast"/>
        </w:trPr>
        <w:tc>
          <w:tcPr>
            <w:tcW w:w="271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b/>
                <w:b/>
                <w:bCs/>
                <w:color w:val="000000"/>
              </w:rPr>
            </w:pPr>
            <w:r>
              <w:rPr>
                <w:b/>
                <w:bCs/>
                <w:color w:val="000000"/>
              </w:rPr>
              <w:t xml:space="preserve">Financování </w:t>
            </w:r>
          </w:p>
        </w:tc>
        <w:tc>
          <w:tcPr>
            <w:tcW w:w="8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b/>
                <w:b/>
                <w:bCs/>
                <w:color w:val="000000"/>
              </w:rPr>
            </w:pPr>
            <w:r>
              <w:rPr>
                <w:b/>
                <w:bCs/>
                <w:color w:val="000000"/>
              </w:rPr>
              <w:t>1,2</w:t>
            </w:r>
          </w:p>
        </w:tc>
        <w:tc>
          <w:tcPr>
            <w:tcW w:w="17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b/>
                <w:b/>
                <w:bCs/>
                <w:color w:val="000000"/>
              </w:rPr>
            </w:pPr>
            <w:r>
              <w:rPr>
                <w:b/>
                <w:bCs/>
                <w:color w:val="000000"/>
              </w:rPr>
              <w:t xml:space="preserve">Financování </w:t>
            </w:r>
          </w:p>
        </w:tc>
        <w:tc>
          <w:tcPr>
            <w:tcW w:w="177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b/>
                <w:b/>
                <w:bCs/>
                <w:color w:val="000000"/>
              </w:rPr>
            </w:pPr>
            <w:r>
              <w:rPr>
                <w:b/>
                <w:bCs/>
                <w:color w:val="000000"/>
              </w:rPr>
              <w:t>1,2</w:t>
            </w:r>
          </w:p>
        </w:tc>
      </w:tr>
      <w:tr>
        <w:trPr>
          <w:trHeight w:val="270" w:hRule="atLeast"/>
        </w:trPr>
        <w:tc>
          <w:tcPr>
            <w:tcW w:w="271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color w:val="000000"/>
              </w:rPr>
            </w:pPr>
            <w:r>
              <w:rPr>
                <w:color w:val="000000"/>
              </w:rPr>
              <w:t>Pol. 8115</w:t>
            </w:r>
          </w:p>
        </w:tc>
        <w:tc>
          <w:tcPr>
            <w:tcW w:w="8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1,2</w:t>
            </w:r>
          </w:p>
        </w:tc>
        <w:tc>
          <w:tcPr>
            <w:tcW w:w="17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color w:val="000000"/>
              </w:rPr>
            </w:pPr>
            <w:r>
              <w:rPr>
                <w:color w:val="000000"/>
              </w:rPr>
              <w:t>Pol. 8115</w:t>
            </w:r>
          </w:p>
        </w:tc>
        <w:tc>
          <w:tcPr>
            <w:tcW w:w="177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1</w:t>
            </w:r>
          </w:p>
        </w:tc>
      </w:tr>
      <w:tr>
        <w:trPr>
          <w:trHeight w:val="270" w:hRule="atLeast"/>
        </w:trPr>
        <w:tc>
          <w:tcPr>
            <w:tcW w:w="271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rPr>
                <w:color w:val="000000"/>
              </w:rPr>
            </w:pPr>
            <w:r>
              <w:rPr>
                <w:color w:val="000000"/>
              </w:rPr>
              <w:t>Pol. 8905</w:t>
            </w:r>
          </w:p>
        </w:tc>
        <w:tc>
          <w:tcPr>
            <w:tcW w:w="84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0</w:t>
            </w:r>
          </w:p>
        </w:tc>
        <w:tc>
          <w:tcPr>
            <w:tcW w:w="17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color w:val="000000"/>
              </w:rPr>
            </w:pPr>
            <w:r>
              <w:rPr>
                <w:color w:val="000000"/>
              </w:rPr>
              <w:t>Pol. 8905</w:t>
            </w:r>
          </w:p>
        </w:tc>
        <w:tc>
          <w:tcPr>
            <w:tcW w:w="177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0,2</w:t>
            </w:r>
          </w:p>
        </w:tc>
      </w:tr>
    </w:tbl>
    <w:p>
      <w:pPr>
        <w:pStyle w:val="Normal"/>
        <w:rPr/>
      </w:pPr>
      <w:r>
        <w:rPr/>
      </w:r>
    </w:p>
    <w:p>
      <w:pPr>
        <w:pStyle w:val="Normal"/>
        <w:rPr/>
      </w:pPr>
      <w:r>
        <w:rPr/>
      </w:r>
    </w:p>
    <w:p>
      <w:pPr>
        <w:pStyle w:val="Normal"/>
        <w:spacing w:before="0" w:after="60"/>
        <w:rPr/>
      </w:pPr>
      <w:r>
        <w:rPr/>
        <w:t>Navrácení účetního stavu ZBÚ na skutečnost (k 1. 1. 2017):</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281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8905</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r>
    </w:tbl>
    <w:p>
      <w:pPr>
        <w:pStyle w:val="Normal"/>
        <w:spacing w:before="0" w:after="60"/>
        <w:rPr/>
      </w:pPr>
      <w:r>
        <w:rPr/>
      </w:r>
    </w:p>
    <w:p>
      <w:pPr>
        <w:pStyle w:val="Normal"/>
        <w:spacing w:before="0" w:after="60"/>
        <w:rPr/>
      </w:pPr>
      <w:r>
        <w:rPr/>
      </w:r>
    </w:p>
    <w:p>
      <w:pPr>
        <w:pStyle w:val="Normal"/>
        <w:spacing w:before="0" w:after="60"/>
        <w:rPr/>
      </w:pPr>
      <w:r>
        <w:rPr/>
        <w:t>Účetní stav ZBÚ k 1. 1. 2017</w:t>
      </w:r>
    </w:p>
    <w:tbl>
      <w:tblPr>
        <w:tblW w:w="8171"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080"/>
        <w:gridCol w:w="1080"/>
        <w:gridCol w:w="1539"/>
        <w:gridCol w:w="1475"/>
        <w:gridCol w:w="1502"/>
        <w:gridCol w:w="1494"/>
      </w:tblGrid>
      <w:tr>
        <w:trPr>
          <w:trHeight w:val="270" w:hRule="atLeast"/>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vAlign w:val="bottom"/>
          </w:tcPr>
          <w:p>
            <w:pPr>
              <w:pStyle w:val="Normal"/>
              <w:jc w:val="center"/>
              <w:rPr>
                <w:b/>
                <w:b/>
                <w:bCs/>
                <w:color w:val="000000"/>
              </w:rPr>
            </w:pPr>
            <w:r>
              <w:rPr>
                <w:b/>
                <w:bCs/>
                <w:color w:val="000000"/>
              </w:rPr>
              <w:t>SU</w:t>
            </w:r>
          </w:p>
        </w:tc>
        <w:tc>
          <w:tcPr>
            <w:tcW w:w="108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AU</w:t>
            </w:r>
          </w:p>
        </w:tc>
        <w:tc>
          <w:tcPr>
            <w:tcW w:w="153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PS 2016</w:t>
            </w:r>
          </w:p>
        </w:tc>
        <w:tc>
          <w:tcPr>
            <w:tcW w:w="1475"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obrat MD</w:t>
            </w:r>
          </w:p>
        </w:tc>
        <w:tc>
          <w:tcPr>
            <w:tcW w:w="1502"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obrat DAL</w:t>
            </w:r>
          </w:p>
        </w:tc>
        <w:tc>
          <w:tcPr>
            <w:tcW w:w="1494"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vAlign w:val="bottom"/>
          </w:tcPr>
          <w:p>
            <w:pPr>
              <w:pStyle w:val="Normal"/>
              <w:jc w:val="center"/>
              <w:rPr>
                <w:b/>
                <w:b/>
                <w:bCs/>
                <w:color w:val="000000"/>
              </w:rPr>
            </w:pPr>
            <w:r>
              <w:rPr>
                <w:b/>
                <w:bCs/>
                <w:color w:val="000000"/>
              </w:rPr>
              <w:t>KZ 2016</w:t>
            </w:r>
          </w:p>
        </w:tc>
      </w:tr>
      <w:tr>
        <w:trPr>
          <w:trHeight w:val="270" w:hRule="atLeast"/>
        </w:trPr>
        <w:tc>
          <w:tcPr>
            <w:tcW w:w="108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center"/>
              <w:rPr>
                <w:color w:val="000000"/>
              </w:rPr>
            </w:pPr>
            <w:r>
              <w:rPr>
                <w:color w:val="000000"/>
              </w:rPr>
              <w:t>231</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color w:val="000000"/>
              </w:rPr>
            </w:pPr>
            <w:r>
              <w:rPr>
                <w:color w:val="000000"/>
              </w:rPr>
              <w:t>xx</w:t>
            </w:r>
          </w:p>
        </w:tc>
        <w:tc>
          <w:tcPr>
            <w:tcW w:w="153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0</w:t>
            </w:r>
          </w:p>
        </w:tc>
        <w:tc>
          <w:tcPr>
            <w:tcW w:w="147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0</w:t>
            </w:r>
          </w:p>
        </w:tc>
        <w:tc>
          <w:tcPr>
            <w:tcW w:w="150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200 000</w:t>
            </w:r>
          </w:p>
        </w:tc>
        <w:tc>
          <w:tcPr>
            <w:tcW w:w="14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color w:val="000000"/>
              </w:rPr>
            </w:pPr>
            <w:r>
              <w:rPr>
                <w:color w:val="000000"/>
              </w:rPr>
              <w:t>-200 000,00</w:t>
            </w:r>
          </w:p>
        </w:tc>
      </w:tr>
    </w:tbl>
    <w:p>
      <w:pPr>
        <w:pStyle w:val="Normal"/>
        <w:rPr>
          <w:b/>
          <w:b/>
          <w:sz w:val="28"/>
          <w:szCs w:val="28"/>
        </w:rPr>
      </w:pPr>
      <w:r>
        <w:rPr>
          <w:b/>
          <w:sz w:val="28"/>
          <w:szCs w:val="28"/>
        </w:rPr>
      </w:r>
    </w:p>
    <w:p>
      <w:pPr>
        <w:pStyle w:val="Normal"/>
        <w:jc w:val="center"/>
        <w:rPr>
          <w:b/>
          <w:b/>
          <w:sz w:val="28"/>
          <w:szCs w:val="28"/>
        </w:rPr>
      </w:pPr>
      <w:r>
        <w:rPr>
          <w:b/>
          <w:sz w:val="28"/>
          <w:szCs w:val="28"/>
        </w:rPr>
        <w:t>Termínované vklady</w:t>
      </w:r>
    </w:p>
    <w:p>
      <w:pPr>
        <w:pStyle w:val="Normal"/>
        <w:rPr>
          <w:b/>
          <w:b/>
          <w:smallCaps/>
        </w:rPr>
      </w:pPr>
      <w:r>
        <w:rPr>
          <w:b/>
          <w:smallCaps/>
        </w:rPr>
      </w:r>
    </w:p>
    <w:p>
      <w:pPr>
        <w:pStyle w:val="Normal"/>
        <w:spacing w:before="0" w:after="60"/>
        <w:rPr/>
      </w:pPr>
      <w:r>
        <w:rPr/>
        <w:t xml:space="preserve">Výkaz FIN 2-12 M, část VI </w:t>
      </w:r>
      <w:r>
        <w:rPr>
          <w:b/>
          <w:u w:val="single"/>
        </w:rPr>
        <w:t>(platná do roku 2015)</w:t>
      </w:r>
      <w:r>
        <w:rPr>
          <w:b/>
        </w:rPr>
        <w:t>:</w:t>
      </w:r>
    </w:p>
    <w:tbl>
      <w:tblPr>
        <w:tblW w:w="9274" w:type="dxa"/>
        <w:jc w:val="left"/>
        <w:tblInd w:w="56"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top w:w="0" w:type="dxa"/>
          <w:left w:w="65" w:type="dxa"/>
          <w:bottom w:w="0" w:type="dxa"/>
          <w:right w:w="70" w:type="dxa"/>
        </w:tblCellMar>
        <w:tblLook w:val="04a0" w:noVBand="1" w:noHBand="0" w:lastColumn="0" w:firstColumn="1" w:lastRow="0" w:firstRow="1"/>
      </w:tblPr>
      <w:tblGrid>
        <w:gridCol w:w="2707"/>
        <w:gridCol w:w="953"/>
        <w:gridCol w:w="1871"/>
        <w:gridCol w:w="1872"/>
        <w:gridCol w:w="1871"/>
      </w:tblGrid>
      <w:tr>
        <w:trPr>
          <w:trHeight w:val="330" w:hRule="atLeast"/>
        </w:trPr>
        <w:tc>
          <w:tcPr>
            <w:tcW w:w="2707"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rPr>
            </w:pPr>
            <w:r>
              <w:rPr>
                <w:b/>
                <w:bCs/>
              </w:rPr>
              <w:t>Položka (název)</w:t>
            </w:r>
          </w:p>
        </w:tc>
        <w:tc>
          <w:tcPr>
            <w:tcW w:w="953"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Položka (kód)</w:t>
            </w:r>
          </w:p>
        </w:tc>
        <w:tc>
          <w:tcPr>
            <w:tcW w:w="187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PS k 1.1.</w:t>
            </w:r>
          </w:p>
        </w:tc>
        <w:tc>
          <w:tcPr>
            <w:tcW w:w="1872"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Stav ke konci období</w:t>
            </w:r>
          </w:p>
        </w:tc>
        <w:tc>
          <w:tcPr>
            <w:tcW w:w="187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Změna stavu</w:t>
            </w:r>
          </w:p>
        </w:tc>
      </w:tr>
      <w:tr>
        <w:trPr>
          <w:trHeight w:val="330" w:hRule="atLeast"/>
        </w:trPr>
        <w:tc>
          <w:tcPr>
            <w:tcW w:w="2707"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Základní běžný účet ÚSC</w:t>
            </w:r>
          </w:p>
        </w:tc>
        <w:tc>
          <w:tcPr>
            <w:tcW w:w="953"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6010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4 000 000,00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3 800 000,00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200 000,00</w:t>
            </w:r>
          </w:p>
        </w:tc>
      </w:tr>
      <w:tr>
        <w:trPr>
          <w:trHeight w:val="330" w:hRule="atLeast"/>
        </w:trPr>
        <w:tc>
          <w:tcPr>
            <w:tcW w:w="2707"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Běžné účty fondů ÚSC</w:t>
            </w:r>
          </w:p>
        </w:tc>
        <w:tc>
          <w:tcPr>
            <w:tcW w:w="953"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6020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130 000,00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200 000,00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-70 000,00</w:t>
            </w:r>
          </w:p>
        </w:tc>
      </w:tr>
      <w:tr>
        <w:trPr>
          <w:trHeight w:val="330" w:hRule="atLeast"/>
        </w:trPr>
        <w:tc>
          <w:tcPr>
            <w:tcW w:w="2707"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Běžné účty celkem</w:t>
            </w:r>
          </w:p>
        </w:tc>
        <w:tc>
          <w:tcPr>
            <w:tcW w:w="953"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6030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4 130 000,00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4 000 000,00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130 000,00</w:t>
            </w:r>
          </w:p>
        </w:tc>
      </w:tr>
      <w:tr>
        <w:trPr>
          <w:trHeight w:val="330" w:hRule="atLeast"/>
        </w:trPr>
        <w:tc>
          <w:tcPr>
            <w:tcW w:w="2707"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Termínované vklady dl.</w:t>
            </w:r>
          </w:p>
        </w:tc>
        <w:tc>
          <w:tcPr>
            <w:tcW w:w="953"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6040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800 000,00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800 000,00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0,00</w:t>
            </w:r>
          </w:p>
        </w:tc>
      </w:tr>
      <w:tr>
        <w:trPr>
          <w:trHeight w:val="330" w:hRule="atLeast"/>
        </w:trPr>
        <w:tc>
          <w:tcPr>
            <w:tcW w:w="2707"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Termínované vklady kr.</w:t>
            </w:r>
          </w:p>
        </w:tc>
        <w:tc>
          <w:tcPr>
            <w:tcW w:w="953"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6050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0,00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0,00</w:t>
            </w:r>
          </w:p>
        </w:tc>
      </w:tr>
    </w:tbl>
    <w:p>
      <w:pPr>
        <w:pStyle w:val="Normal"/>
        <w:rPr/>
      </w:pPr>
      <w:r>
        <w:rPr/>
      </w:r>
    </w:p>
    <w:p>
      <w:pPr>
        <w:pStyle w:val="Normal"/>
        <w:spacing w:before="0" w:after="60"/>
        <w:rPr/>
      </w:pPr>
      <w:r>
        <w:rPr/>
      </w:r>
    </w:p>
    <w:p>
      <w:pPr>
        <w:pStyle w:val="Normal"/>
        <w:spacing w:before="0" w:after="60"/>
        <w:rPr/>
      </w:pPr>
      <w:r>
        <w:rPr/>
        <w:t xml:space="preserve">Výkaz FIN 2-12 M, část VI </w:t>
      </w:r>
      <w:r>
        <w:rPr>
          <w:b/>
          <w:u w:val="single"/>
        </w:rPr>
        <w:t>(platná od roku 2016)</w:t>
      </w:r>
      <w:r>
        <w:rPr/>
        <w:t>:</w:t>
      </w:r>
    </w:p>
    <w:tbl>
      <w:tblPr>
        <w:tblW w:w="9156" w:type="dxa"/>
        <w:jc w:val="left"/>
        <w:tblInd w:w="56"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top w:w="0" w:type="dxa"/>
          <w:left w:w="65" w:type="dxa"/>
          <w:bottom w:w="0" w:type="dxa"/>
          <w:right w:w="70" w:type="dxa"/>
        </w:tblCellMar>
        <w:tblLook w:val="04a0" w:noVBand="1" w:noHBand="0" w:lastColumn="0" w:firstColumn="1" w:lastRow="0" w:firstRow="1"/>
      </w:tblPr>
      <w:tblGrid>
        <w:gridCol w:w="2588"/>
        <w:gridCol w:w="954"/>
        <w:gridCol w:w="1871"/>
        <w:gridCol w:w="1872"/>
        <w:gridCol w:w="1871"/>
      </w:tblGrid>
      <w:tr>
        <w:trPr>
          <w:trHeight w:val="330" w:hRule="atLeast"/>
        </w:trPr>
        <w:tc>
          <w:tcPr>
            <w:tcW w:w="2588"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rPr>
            </w:pPr>
            <w:r>
              <w:rPr>
                <w:b/>
                <w:bCs/>
              </w:rPr>
              <w:t>Položka (název)</w:t>
            </w:r>
          </w:p>
        </w:tc>
        <w:tc>
          <w:tcPr>
            <w:tcW w:w="954"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Položka (kód)</w:t>
            </w:r>
          </w:p>
        </w:tc>
        <w:tc>
          <w:tcPr>
            <w:tcW w:w="187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PS k 1.1.</w:t>
            </w:r>
          </w:p>
        </w:tc>
        <w:tc>
          <w:tcPr>
            <w:tcW w:w="1872"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Stav ke konci období</w:t>
            </w:r>
          </w:p>
        </w:tc>
        <w:tc>
          <w:tcPr>
            <w:tcW w:w="187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rPr>
            </w:pPr>
            <w:r>
              <w:rPr>
                <w:b/>
                <w:bCs/>
              </w:rPr>
              <w:t>Změna stavu</w:t>
            </w:r>
          </w:p>
        </w:tc>
      </w:tr>
      <w:tr>
        <w:trPr>
          <w:trHeight w:val="330" w:hRule="atLeast"/>
        </w:trPr>
        <w:tc>
          <w:tcPr>
            <w:tcW w:w="2588"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Základní běžný účet ÚSC</w:t>
            </w:r>
          </w:p>
        </w:tc>
        <w:tc>
          <w:tcPr>
            <w:tcW w:w="95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6010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4 000 000,00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3 800 000,00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200 000,00</w:t>
            </w:r>
          </w:p>
        </w:tc>
      </w:tr>
      <w:tr>
        <w:trPr>
          <w:trHeight w:val="330" w:hRule="atLeast"/>
        </w:trPr>
        <w:tc>
          <w:tcPr>
            <w:tcW w:w="2588"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Běžné účty fondů ÚSC</w:t>
            </w:r>
          </w:p>
        </w:tc>
        <w:tc>
          <w:tcPr>
            <w:tcW w:w="95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6020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130 000,00</w:t>
            </w:r>
          </w:p>
        </w:tc>
        <w:tc>
          <w:tcPr>
            <w:tcW w:w="1872"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200 000,00</w:t>
            </w:r>
          </w:p>
        </w:tc>
        <w:tc>
          <w:tcPr>
            <w:tcW w:w="1871" w:type="dxa"/>
            <w:tcBorders>
              <w:bottom w:val="single" w:sz="12" w:space="0" w:color="333333"/>
              <w:right w:val="single" w:sz="4" w:space="0" w:color="333333"/>
              <w:insideH w:val="single" w:sz="12" w:space="0" w:color="333333"/>
              <w:insideV w:val="single" w:sz="4" w:space="0" w:color="333333"/>
            </w:tcBorders>
            <w:shd w:color="auto" w:fill="auto" w:val="clear"/>
            <w:vAlign w:val="center"/>
          </w:tcPr>
          <w:p>
            <w:pPr>
              <w:pStyle w:val="Normal"/>
              <w:jc w:val="right"/>
              <w:rPr/>
            </w:pPr>
            <w:r>
              <w:rPr/>
              <w:t>-70 000,00</w:t>
            </w:r>
          </w:p>
        </w:tc>
      </w:tr>
      <w:tr>
        <w:trPr>
          <w:trHeight w:val="330" w:hRule="atLeast"/>
        </w:trPr>
        <w:tc>
          <w:tcPr>
            <w:tcW w:w="2588"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Běžné účty celkem</w:t>
            </w:r>
          </w:p>
        </w:tc>
        <w:tc>
          <w:tcPr>
            <w:tcW w:w="95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6030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4 130 000,00</w:t>
            </w:r>
          </w:p>
        </w:tc>
        <w:tc>
          <w:tcPr>
            <w:tcW w:w="1872" w:type="dxa"/>
            <w:tcBorders>
              <w:bottom w:val="single" w:sz="4" w:space="0" w:color="333333"/>
              <w:right w:val="single" w:sz="12" w:space="0" w:color="333333"/>
              <w:insideH w:val="single" w:sz="4" w:space="0" w:color="333333"/>
              <w:insideV w:val="single" w:sz="12" w:space="0" w:color="333333"/>
            </w:tcBorders>
            <w:shd w:color="auto" w:fill="auto" w:val="clear"/>
            <w:vAlign w:val="center"/>
          </w:tcPr>
          <w:p>
            <w:pPr>
              <w:pStyle w:val="Normal"/>
              <w:jc w:val="right"/>
              <w:rPr/>
            </w:pPr>
            <w:r>
              <w:rPr/>
              <w:t>4 000 000,00</w:t>
            </w:r>
          </w:p>
        </w:tc>
        <w:tc>
          <w:tcPr>
            <w:tcW w:w="1871" w:type="dxa"/>
            <w:tcBorders>
              <w:top w:val="single" w:sz="12" w:space="0" w:color="333333"/>
              <w:left w:val="single" w:sz="12" w:space="0" w:color="333333"/>
              <w:bottom w:val="single" w:sz="4" w:space="0" w:color="333333"/>
              <w:right w:val="single" w:sz="12" w:space="0" w:color="333333"/>
              <w:insideH w:val="single" w:sz="4" w:space="0" w:color="333333"/>
              <w:insideV w:val="single" w:sz="12" w:space="0" w:color="333333"/>
            </w:tcBorders>
            <w:shd w:color="auto" w:fill="auto" w:val="clear"/>
            <w:tcMar>
              <w:left w:w="55" w:type="dxa"/>
            </w:tcMar>
            <w:vAlign w:val="center"/>
          </w:tcPr>
          <w:p>
            <w:pPr>
              <w:pStyle w:val="Normal"/>
              <w:jc w:val="right"/>
              <w:rPr/>
            </w:pPr>
            <w:r>
              <w:rPr/>
              <w:t>130 000,00</w:t>
            </w:r>
          </w:p>
        </w:tc>
      </w:tr>
      <w:tr>
        <w:trPr>
          <w:trHeight w:val="330" w:hRule="atLeast"/>
        </w:trPr>
        <w:tc>
          <w:tcPr>
            <w:tcW w:w="2588"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pPr>
            <w:r>
              <w:rPr/>
              <w:t>Pokladna</w:t>
            </w:r>
          </w:p>
        </w:tc>
        <w:tc>
          <w:tcPr>
            <w:tcW w:w="954"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pPr>
            <w:r>
              <w:rPr/>
              <w:t>6040</w:t>
            </w:r>
          </w:p>
        </w:tc>
        <w:tc>
          <w:tcPr>
            <w:tcW w:w="187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pPr>
            <w:r>
              <w:rPr/>
              <w:t>3 500,00</w:t>
            </w:r>
          </w:p>
        </w:tc>
        <w:tc>
          <w:tcPr>
            <w:tcW w:w="1872" w:type="dxa"/>
            <w:tcBorders>
              <w:bottom w:val="single" w:sz="4" w:space="0" w:color="333333"/>
              <w:right w:val="single" w:sz="12" w:space="0" w:color="333333"/>
              <w:insideH w:val="single" w:sz="4" w:space="0" w:color="333333"/>
              <w:insideV w:val="single" w:sz="12" w:space="0" w:color="333333"/>
            </w:tcBorders>
            <w:shd w:color="auto" w:fill="auto" w:val="clear"/>
            <w:vAlign w:val="center"/>
          </w:tcPr>
          <w:p>
            <w:pPr>
              <w:pStyle w:val="Normal"/>
              <w:jc w:val="right"/>
              <w:rPr/>
            </w:pPr>
            <w:r>
              <w:rPr/>
              <w:t>7 000,00</w:t>
            </w:r>
          </w:p>
        </w:tc>
        <w:tc>
          <w:tcPr>
            <w:tcW w:w="1871" w:type="dxa"/>
            <w:tcBorders>
              <w:top w:val="single" w:sz="4" w:space="0" w:color="333333"/>
              <w:left w:val="single" w:sz="12" w:space="0" w:color="333333"/>
              <w:bottom w:val="single" w:sz="12" w:space="0" w:color="333333"/>
              <w:right w:val="single" w:sz="12" w:space="0" w:color="333333"/>
              <w:insideH w:val="single" w:sz="12" w:space="0" w:color="333333"/>
              <w:insideV w:val="single" w:sz="12" w:space="0" w:color="333333"/>
            </w:tcBorders>
            <w:shd w:color="auto" w:fill="auto" w:val="clear"/>
            <w:tcMar>
              <w:left w:w="55" w:type="dxa"/>
            </w:tcMar>
            <w:vAlign w:val="center"/>
          </w:tcPr>
          <w:p>
            <w:pPr>
              <w:pStyle w:val="Normal"/>
              <w:keepNext/>
              <w:jc w:val="right"/>
              <w:rPr/>
            </w:pPr>
            <w:r>
              <w:rPr/>
              <w:t>-3 500,00</w:t>
            </w:r>
          </w:p>
        </w:tc>
      </w:tr>
    </w:tbl>
    <w:p>
      <w:pPr>
        <w:pStyle w:val="Normal"/>
        <w:spacing w:before="60" w:after="0"/>
        <w:rPr>
          <w:i/>
          <w:i/>
        </w:rPr>
      </w:pPr>
      <w:r>
        <w:rPr>
          <w:i/>
        </w:rPr>
        <w:t xml:space="preserve">Pol. 8115 = </w:t>
      </w:r>
      <w:r>
        <w:rPr>
          <w:i/>
          <w:highlight w:val="yellow"/>
        </w:rPr>
        <w:t>+</w:t>
      </w:r>
      <w:r>
        <w:rPr>
          <w:i/>
        </w:rPr>
        <w:t xml:space="preserve"> 126 500,00 Kč = peníze </w:t>
      </w:r>
      <w:r>
        <w:rPr>
          <w:i/>
          <w:highlight w:val="yellow"/>
        </w:rPr>
        <w:t>ubyly</w:t>
      </w:r>
      <w:r>
        <w:rPr>
          <w:i/>
        </w:rPr>
        <w:t xml:space="preserve">. </w:t>
      </w:r>
    </w:p>
    <w:p>
      <w:pPr>
        <w:pStyle w:val="Normal"/>
        <w:spacing w:before="60" w:after="0"/>
        <w:rPr>
          <w:i/>
          <w:i/>
        </w:rPr>
      </w:pPr>
      <w:r>
        <w:rPr>
          <w:i/>
        </w:rPr>
      </w:r>
    </w:p>
    <w:p>
      <w:pPr>
        <w:pStyle w:val="Normal"/>
        <w:spacing w:before="60" w:after="0"/>
        <w:jc w:val="both"/>
        <w:rPr>
          <w:i/>
          <w:i/>
        </w:rPr>
      </w:pPr>
      <w:r>
        <w:rPr>
          <w:i/>
        </w:rPr>
        <w:t xml:space="preserve">Od roku 2016 nelze použít RS u účtů 244 (krátkodobé TV) a 068 (dlouhodobé TV), položky převodů na TV je třeba rozpočtovat. Nebylo určeno přechodné ustanovení, tj. při víceletém srovnání se může položka 8117 nebo 8127 objevit vícekrát – vysvětlení na přednášce. </w:t>
      </w:r>
    </w:p>
    <w:p>
      <w:pPr>
        <w:pStyle w:val="Normal"/>
        <w:rPr>
          <w:b/>
          <w:b/>
          <w:i/>
          <w:i/>
        </w:rPr>
      </w:pPr>
      <w:r>
        <w:rPr>
          <w:b/>
          <w:i/>
        </w:rPr>
      </w:r>
    </w:p>
    <w:p>
      <w:pPr>
        <w:pStyle w:val="Normal"/>
        <w:spacing w:before="0" w:after="60"/>
        <w:rPr/>
      </w:pPr>
      <w:r>
        <w:rPr/>
        <w:t xml:space="preserve">A1. Převod ze ZBÚ na účet TV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8118, 8128</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500 000</w:t>
            </w:r>
          </w:p>
        </w:tc>
      </w:tr>
    </w:tbl>
    <w:p>
      <w:pPr>
        <w:pStyle w:val="Normal"/>
        <w:spacing w:before="120" w:after="60"/>
        <w:rPr/>
      </w:pPr>
      <w:r>
        <w:rPr/>
        <w:t>A2. Příjem na TV</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244 (068)</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xxx</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xxx</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500 000</w:t>
            </w:r>
          </w:p>
        </w:tc>
      </w:tr>
    </w:tbl>
    <w:p>
      <w:pPr>
        <w:pStyle w:val="Caption1"/>
        <w:rPr>
          <w:color w:val="00000A"/>
          <w:sz w:val="24"/>
          <w:szCs w:val="24"/>
        </w:rPr>
      </w:pPr>
      <w:r>
        <w:rPr>
          <w:color w:val="00000A"/>
          <w:sz w:val="24"/>
          <w:szCs w:val="24"/>
        </w:rPr>
        <w:t>Pozn.: bez RS</w:t>
      </w:r>
    </w:p>
    <w:p>
      <w:pPr>
        <w:pStyle w:val="Normal"/>
        <w:spacing w:before="120" w:after="60"/>
        <w:rPr/>
      </w:pPr>
      <w:r>
        <w:rPr/>
        <w:t>B. Zaúčtování výnosů z úroků - nejpozději k 31. 12., pokud je úložka přes rok</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244 (068)</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xxx</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662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xxx</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10 000</w:t>
            </w:r>
          </w:p>
        </w:tc>
      </w:tr>
    </w:tbl>
    <w:p>
      <w:pPr>
        <w:pStyle w:val="Caption1"/>
        <w:rPr>
          <w:color w:val="00000A"/>
          <w:sz w:val="24"/>
          <w:szCs w:val="24"/>
        </w:rPr>
      </w:pPr>
      <w:r>
        <w:rPr>
          <w:color w:val="00000A"/>
          <w:sz w:val="24"/>
          <w:szCs w:val="24"/>
        </w:rPr>
        <w:t>Pozn.: bez RS</w:t>
      </w:r>
    </w:p>
    <w:p>
      <w:pPr>
        <w:pStyle w:val="Normal"/>
        <w:spacing w:before="120" w:after="60"/>
        <w:rPr/>
      </w:pPr>
      <w:r>
        <w:rPr/>
        <w:t xml:space="preserve">C. Převod z TV zpět na ZBÚ </w:t>
      </w:r>
    </w:p>
    <w:tbl>
      <w:tblPr>
        <w:tblW w:w="8720" w:type="dxa"/>
        <w:jc w:val="left"/>
        <w:tblInd w:w="58" w:type="dxa"/>
        <w:tblBorders>
          <w:top w:val="single" w:sz="4" w:space="0" w:color="00000A"/>
          <w:left w:val="single" w:sz="4" w:space="0" w:color="00000A"/>
          <w:bottom w:val="single" w:sz="4" w:space="0" w:color="333333"/>
          <w:right w:val="single" w:sz="4" w:space="0" w:color="00000A"/>
          <w:insideH w:val="single" w:sz="4" w:space="0" w:color="333333"/>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333333"/>
              <w:right w:val="single" w:sz="4" w:space="0" w:color="00000A"/>
              <w:insideH w:val="single" w:sz="4" w:space="0" w:color="333333"/>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262</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xxx</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 </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 </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510 000</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 </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244 (068)</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xxx</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 </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510 000</w:t>
            </w:r>
          </w:p>
        </w:tc>
      </w:tr>
    </w:tbl>
    <w:p>
      <w:pPr>
        <w:pStyle w:val="Caption1"/>
        <w:rPr>
          <w:color w:val="00000A"/>
          <w:sz w:val="24"/>
          <w:szCs w:val="24"/>
        </w:rPr>
      </w:pPr>
      <w:r>
        <w:rPr>
          <w:color w:val="00000A"/>
          <w:sz w:val="24"/>
          <w:szCs w:val="24"/>
        </w:rPr>
        <w:t>Pozn.: bez RS</w:t>
      </w:r>
    </w:p>
    <w:p>
      <w:pPr>
        <w:pStyle w:val="Normal"/>
        <w:spacing w:before="120" w:after="60"/>
        <w:rPr/>
      </w:pPr>
      <w:r>
        <w:rPr/>
        <w:t xml:space="preserve">D. Příjem na ZBÚ z TV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8117, 8127 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333333"/>
              <w:right w:val="single" w:sz="4" w:space="0" w:color="00000A"/>
              <w:insideH w:val="single" w:sz="4" w:space="0" w:color="333333"/>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t>xxx</w:t>
            </w:r>
          </w:p>
        </w:tc>
        <w:tc>
          <w:tcPr>
            <w:tcW w:w="140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t>6310</w:t>
            </w:r>
          </w:p>
        </w:tc>
        <w:tc>
          <w:tcPr>
            <w:tcW w:w="1399"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t>2141</w:t>
            </w:r>
          </w:p>
        </w:tc>
        <w:tc>
          <w:tcPr>
            <w:tcW w:w="180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right"/>
              <w:rPr>
                <w:color w:val="000000"/>
              </w:rPr>
            </w:pPr>
            <w:r>
              <w:rPr>
                <w:color w:val="000000"/>
              </w:rPr>
              <w:t>10 000</w:t>
            </w:r>
          </w:p>
        </w:tc>
        <w:tc>
          <w:tcPr>
            <w:tcW w:w="1801"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right"/>
              <w:rPr>
                <w:color w:val="000000"/>
              </w:rPr>
            </w:pPr>
            <w:r>
              <w:rPr>
                <w:color w:val="000000"/>
              </w:rPr>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262</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color w:val="000000"/>
              </w:rPr>
            </w:pPr>
            <w:r>
              <w:rPr>
                <w:color w:val="000000"/>
              </w:rPr>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510 000</w:t>
            </w:r>
          </w:p>
        </w:tc>
      </w:tr>
    </w:tbl>
    <w:p>
      <w:pPr>
        <w:pStyle w:val="Normal"/>
        <w:rPr/>
      </w:pPr>
      <w:r>
        <w:rPr/>
      </w:r>
    </w:p>
    <w:p>
      <w:pPr>
        <w:pStyle w:val="Normal"/>
        <w:spacing w:before="0" w:after="120"/>
        <w:rPr>
          <w:u w:val="single"/>
        </w:rPr>
      </w:pPr>
      <w:r>
        <w:rPr>
          <w:u w:val="single"/>
        </w:rPr>
        <w:t xml:space="preserve">Převod ze ZBÚ na účet krátkodobého TV ve výši 500 tis. Kč, dopad do výkazu: </w:t>
      </w:r>
    </w:p>
    <w:p>
      <w:pPr>
        <w:pStyle w:val="Normal"/>
        <w:spacing w:before="0" w:after="120"/>
        <w:jc w:val="both"/>
        <w:rPr/>
      </w:pPr>
      <w:r>
        <w:rPr/>
        <w:t xml:space="preserve">Převodem na účet TV dojde ke snížení zůstatku na ZBÚ, z účtu, který podléhá třídění rozpočtovou skladbou, dojde k převodu na účet, který nepodléhá třídění rozpočtovou skladbou. Výkaz pro hodnocení plnění rozpočtu tento převod zobrazí na pol. 8118 (- 500 tis. Kč) a automaticky se generuje plnění na pol. 8115 (+ 500 tis. Kč, snížení stavu na ZBÚ). Ačkoliv dochází k převodu prostředků na TV (s prostředky stále disponuje obec, jen si je zhodnocuje), výkaz na tento převod reaguje obdobně, jako by prostředky byly vynaloženy zcela mimo organizaci. </w:t>
      </w:r>
    </w:p>
    <w:p>
      <w:pPr>
        <w:pStyle w:val="Normal"/>
        <w:spacing w:before="0" w:after="120"/>
        <w:jc w:val="both"/>
        <w:rPr/>
      </w:pPr>
      <w:r>
        <w:rPr/>
        <w:t xml:space="preserve">Rozpočtová skladba převod prostředků na TV klasifikuje jako „výdaj“ (vydání) na zhodnocení, pro obce plyne povinnost tyto převody rozpočtovat. </w:t>
      </w:r>
    </w:p>
    <w:p>
      <w:pPr>
        <w:pStyle w:val="Normal"/>
        <w:spacing w:before="0" w:after="120"/>
        <w:rPr/>
      </w:pPr>
      <w:r>
        <w:rPr/>
        <w:t>Text náplně podsesk. 413x odst. 3 vyhlášky o RS:</w:t>
      </w:r>
    </w:p>
    <w:p>
      <w:pPr>
        <w:pStyle w:val="Normal"/>
        <w:shd w:val="clear" w:color="auto" w:fill="D9D9D9" w:themeFill="background1" w:themeFillShade="d9"/>
        <w:jc w:val="both"/>
        <w:rPr>
          <w:b/>
          <w:b/>
        </w:rPr>
      </w:pPr>
      <w:r>
        <w:rPr>
          <w:i/>
          <w:color w:val="000000"/>
        </w:rPr>
        <w:t xml:space="preserve">(3) </w:t>
      </w:r>
      <w:r>
        <w:rPr>
          <w:b/>
          <w:i/>
          <w:color w:val="000000"/>
        </w:rPr>
        <w:t>Peněžním fondem</w:t>
      </w:r>
      <w:r>
        <w:rPr>
          <w:i/>
          <w:color w:val="000000"/>
        </w:rPr>
        <w:t xml:space="preserve"> se rozumí nástroj pro shromažďování, ukládání a vydávání peněžních prostředků umožňující placení nebo výběry na požádání, jemuž právní předpis nebo jeho vlastník stanovil režim spočívající zejména v tom, z jakých zdrojů se naplňuje a na financování čeho se používá. Je jím bankovní účet s výjimkou účtu s vkladní knížkou (§ 2662 až 2675 občanského zákoníku), jestliže splňuje tuto podmínku, popřípadě spojený s jiným takovým účtem nebo pokladnou (vyúčtovávanými na něj), nebo jejich skupina či soustava. Může jím být i pokladna používaná v režimu oddělených pokladen (k tomu v náplních položek 4138 a 5348). Rovněž jím může být i místo na takovém bankovním účtu nebo v takové pokladně, případně spojené s jinými takovými účty nebo místy na nich nebo pokladnami nebo místy v nich, jakož i jejich skupiny či soustavy. Není jím účet s vkladní knížkou (§ 2676 až 2679 občanského zákoníku) ani vklad, a to jednorázový vklad včetně vkladu potvrzeného vkladním listem (§ 2680 a 2681) ani </w:t>
      </w:r>
      <w:r>
        <w:rPr>
          <w:b/>
          <w:i/>
          <w:color w:val="000000"/>
        </w:rPr>
        <w:t>žádný jiný vklad, a to ani v případě, že smlouva o něm je nazvána smlouvou o termínovaném vkladu nebo smlouvou o účtu termínovaného vkladu, ani jiný nástroj neumožňující placení nebo výběry na požádání. Převody peněžních prostředků do těchto nástrojů patří na položky 8118, 8128, 8218 a 8228 a převody z nich na položky 8117, 8127, 8217 a 8227.</w:t>
      </w:r>
    </w:p>
    <w:p>
      <w:pPr>
        <w:pStyle w:val="Normal"/>
        <w:rPr/>
      </w:pPr>
      <w:r>
        <w:rPr/>
      </w:r>
    </w:p>
    <w:p>
      <w:pPr>
        <w:pStyle w:val="Normal"/>
        <w:spacing w:before="0" w:after="120"/>
        <w:jc w:val="both"/>
        <w:rPr>
          <w:i/>
          <w:i/>
        </w:rPr>
      </w:pPr>
      <w:r>
        <w:rPr>
          <w:i/>
        </w:rPr>
        <w:t xml:space="preserve">Náš názor: </w:t>
      </w:r>
    </w:p>
    <w:p>
      <w:pPr>
        <w:pStyle w:val="Normal"/>
        <w:jc w:val="both"/>
        <w:rPr>
          <w:i/>
          <w:i/>
        </w:rPr>
      </w:pPr>
      <w:r>
        <w:rPr>
          <w:i/>
        </w:rPr>
        <w:t xml:space="preserve">Zákon č. 250/2000 Sb. § 6 nedovoluje netřídit rozpočtovou skladbou peněžní operace za účelem jejich zhodnocení (za účelem řízení likvidity). Úprava vyhlášky č. 323/2002 Sb. je v této části nad rámec zákona. </w:t>
      </w:r>
    </w:p>
    <w:p>
      <w:pPr>
        <w:pStyle w:val="Normal"/>
        <w:jc w:val="both"/>
        <w:rPr>
          <w:i/>
          <w:i/>
        </w:rPr>
      </w:pPr>
      <w:r>
        <w:rPr>
          <w:i/>
        </w:rPr>
        <w:t xml:space="preserve">Text náplně v části:“… převody z nich na položky 8117, 8127…„ je navíc zavádějící. Převody z vkladů jsou zhodnoceny o úroky, dividendy, případně o zhodnocení hodnoty akcií (na zhodnocení akcií určených k obchodování chybí položka příjmová – příjmy z CP k obchodování ve výši hodnoty zhodnocení). Pokud by se rozpočtově nerozdělila výše příjmů do výše vkladu na tř. 8 a zhodnocení CP k obchodování nebo výnosy z nich do příjmů např. třídy 2, tak by docházelo k poškození výkazu FIN 2-12 M i zkreslení rozpočtu jednotlivých organizací. Na příjmy ze zhodnocení není v náplni „peněžních fondů“ ani u položek třídy 8 pamatováno v logice vysvětlení postupů k rozdělení na vklad a jeho zhodnocení (viz náplň pol. 8117 – „na tuto položku patří příjmy z prodeje cizích nakoupených krátkodobých dluhopisů a akcií na tuzemském finančním trhu pořízeních za účelem řízení likvidity…“). Chybí rozdělení na základ a výnos z řízení likvidity. </w:t>
      </w:r>
    </w:p>
    <w:p>
      <w:pPr>
        <w:pStyle w:val="Normal"/>
        <w:jc w:val="both"/>
        <w:rPr>
          <w:i/>
          <w:i/>
        </w:rPr>
      </w:pPr>
      <w:r>
        <w:rPr>
          <w:i/>
        </w:rPr>
        <w:t>Velký problém vzniká u zobrazení nákupů a prodejů přes účet určený pro správu portfolia. Pokud by na tomto účtu nebylo tříděno RS, tak nelze zhodnocení CP, úroky a dividendy při převodech zpět zobrazit. Bylo by potřeba alespoň účty zřizované pro správy portfolia v „peněžních fondech tříděných RS“ vést. Jinak se jedná o značné poškození vypovídací schopnosti výkazu FIN 2-12M a zkreslení rozpočtu jednotlivých organizací!</w:t>
      </w:r>
    </w:p>
    <w:p>
      <w:pPr>
        <w:pStyle w:val="Normal"/>
        <w:jc w:val="both"/>
        <w:rPr>
          <w:i/>
          <w:i/>
        </w:rPr>
      </w:pPr>
      <w:r>
        <w:rPr>
          <w:i/>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t>Nákup CP za účelem zhodnocení (portfolio)</w:t>
      </w:r>
    </w:p>
    <w:p>
      <w:pPr>
        <w:pStyle w:val="Normal"/>
        <w:rPr/>
      </w:pPr>
      <w:r>
        <w:rPr/>
      </w:r>
    </w:p>
    <w:p>
      <w:pPr>
        <w:pStyle w:val="Normal"/>
        <w:spacing w:before="0" w:after="60"/>
        <w:rPr/>
      </w:pPr>
      <w:r>
        <w:rPr/>
        <w:t xml:space="preserve">A1. Převod ze ZBÚ na portfoliový účet (zvláštní ZBÚ)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r>
              <w:rPr>
                <w:color w:val="000000"/>
              </w:rPr>
              <w:t>6330</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5345</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1000 000</w:t>
            </w:r>
          </w:p>
        </w:tc>
      </w:tr>
    </w:tbl>
    <w:p>
      <w:pPr>
        <w:pStyle w:val="Normal"/>
        <w:spacing w:before="120" w:after="60"/>
        <w:rPr/>
      </w:pPr>
      <w:r>
        <w:rPr/>
        <w:t>A2. Příjem na portfoliovém účtu</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0080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r>
              <w:rPr>
                <w:color w:val="000000"/>
              </w:rPr>
              <w:t>6330</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4134 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262</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keepNext/>
              <w:jc w:val="right"/>
              <w:rPr>
                <w:color w:val="000000"/>
              </w:rPr>
            </w:pPr>
            <w:r>
              <w:rPr>
                <w:color w:val="000000"/>
              </w:rPr>
              <w:t>1000 000</w:t>
            </w:r>
          </w:p>
        </w:tc>
      </w:tr>
    </w:tbl>
    <w:p>
      <w:pPr>
        <w:pStyle w:val="Normal"/>
        <w:spacing w:before="120" w:after="60"/>
        <w:rPr/>
      </w:pPr>
      <w:r>
        <w:rPr/>
        <w:t>B. Nákup akcií</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251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0080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8118</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800 000</w:t>
            </w:r>
          </w:p>
        </w:tc>
      </w:tr>
    </w:tbl>
    <w:p>
      <w:pPr>
        <w:pStyle w:val="Normal"/>
        <w:spacing w:before="120" w:after="60"/>
        <w:rPr/>
      </w:pPr>
      <w:r>
        <w:rPr/>
        <w:t xml:space="preserve">C. Prodej ¼ akcií za 210 tis. Kč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561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200 000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333333"/>
              <w:right w:val="single" w:sz="4" w:space="0" w:color="00000A"/>
              <w:insideH w:val="single" w:sz="4" w:space="0" w:color="333333"/>
              <w:insideV w:val="single" w:sz="4" w:space="0" w:color="00000A"/>
            </w:tcBorders>
            <w:shd w:color="auto" w:fill="auto" w:val="clear"/>
            <w:tcMar>
              <w:left w:w="65" w:type="dxa"/>
            </w:tcMar>
            <w:vAlign w:val="center"/>
          </w:tcPr>
          <w:p>
            <w:pPr>
              <w:pStyle w:val="Normal"/>
              <w:jc w:val="center"/>
              <w:rPr>
                <w:color w:val="000000"/>
              </w:rPr>
            </w:pPr>
            <w:r>
              <w:rPr>
                <w:color w:val="000000"/>
              </w:rPr>
              <w:t>251</w:t>
            </w:r>
          </w:p>
        </w:tc>
        <w:tc>
          <w:tcPr>
            <w:tcW w:w="116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right"/>
              <w:rPr>
                <w:color w:val="000000"/>
              </w:rPr>
            </w:pPr>
            <w:r>
              <w:rPr>
                <w:color w:val="000000"/>
              </w:rPr>
            </w:r>
          </w:p>
        </w:tc>
        <w:tc>
          <w:tcPr>
            <w:tcW w:w="1801"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right"/>
              <w:rPr>
                <w:color w:val="000000"/>
              </w:rPr>
            </w:pPr>
            <w:r>
              <w:rPr>
                <w:color w:val="000000"/>
              </w:rPr>
              <w:t>200 000</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231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0080</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 </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8117 </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200 000</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 </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231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0080</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6310</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2142</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10 000 </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661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0010</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210 000</w:t>
            </w:r>
          </w:p>
        </w:tc>
      </w:tr>
    </w:tbl>
    <w:p>
      <w:pPr>
        <w:pStyle w:val="Normal"/>
        <w:spacing w:before="120" w:after="60"/>
        <w:rPr/>
      </w:pPr>
      <w:r>
        <w:rPr/>
        <w:t>D. Přecenění RH k 31. 12.</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251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30 000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664</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0100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30 000</w:t>
            </w:r>
          </w:p>
        </w:tc>
      </w:tr>
    </w:tbl>
    <w:p>
      <w:pPr>
        <w:pStyle w:val="Normal"/>
        <w:spacing w:before="120" w:after="60"/>
        <w:rPr/>
      </w:pPr>
      <w:r>
        <w:rPr/>
        <w:t xml:space="preserve">E. Prodej zbývajících ¾  akcií za 580 tis. Kč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561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630 000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333333"/>
              <w:right w:val="single" w:sz="4" w:space="0" w:color="00000A"/>
              <w:insideH w:val="single" w:sz="4" w:space="0" w:color="333333"/>
              <w:insideV w:val="single" w:sz="4" w:space="0" w:color="00000A"/>
            </w:tcBorders>
            <w:shd w:color="auto" w:fill="auto" w:val="clear"/>
            <w:tcMar>
              <w:left w:w="65" w:type="dxa"/>
            </w:tcMar>
            <w:vAlign w:val="center"/>
          </w:tcPr>
          <w:p>
            <w:pPr>
              <w:pStyle w:val="Normal"/>
              <w:jc w:val="center"/>
              <w:rPr>
                <w:color w:val="000000"/>
              </w:rPr>
            </w:pPr>
            <w:r>
              <w:rPr>
                <w:color w:val="000000"/>
              </w:rPr>
              <w:t>251</w:t>
            </w:r>
          </w:p>
        </w:tc>
        <w:tc>
          <w:tcPr>
            <w:tcW w:w="116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t>0010</w:t>
            </w:r>
          </w:p>
        </w:tc>
        <w:tc>
          <w:tcPr>
            <w:tcW w:w="140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right"/>
              <w:rPr>
                <w:color w:val="000000"/>
              </w:rPr>
            </w:pPr>
            <w:r>
              <w:rPr>
                <w:color w:val="000000"/>
              </w:rPr>
            </w:r>
          </w:p>
        </w:tc>
        <w:tc>
          <w:tcPr>
            <w:tcW w:w="1801" w:type="dxa"/>
            <w:tcBorders>
              <w:bottom w:val="single" w:sz="4" w:space="0" w:color="333333"/>
              <w:right w:val="single" w:sz="4" w:space="0" w:color="00000A"/>
              <w:insideH w:val="single" w:sz="4" w:space="0" w:color="333333"/>
              <w:insideV w:val="single" w:sz="4" w:space="0" w:color="00000A"/>
            </w:tcBorders>
            <w:shd w:color="auto" w:fill="auto" w:val="clear"/>
            <w:vAlign w:val="center"/>
          </w:tcPr>
          <w:p>
            <w:pPr>
              <w:pStyle w:val="Normal"/>
              <w:jc w:val="right"/>
              <w:rPr>
                <w:color w:val="000000"/>
              </w:rPr>
            </w:pPr>
            <w:r>
              <w:rPr>
                <w:color w:val="000000"/>
              </w:rPr>
              <w:t>630 000</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231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0080</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 </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8117</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600 000</w:t>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 </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231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0080</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6310</w:t>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5149</w:t>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20 000</w:t>
            </w:r>
          </w:p>
        </w:tc>
      </w:tr>
      <w:tr>
        <w:trPr>
          <w:trHeight w:val="270" w:hRule="atLeast"/>
        </w:trPr>
        <w:tc>
          <w:tcPr>
            <w:tcW w:w="115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661</w:t>
            </w:r>
          </w:p>
        </w:tc>
        <w:tc>
          <w:tcPr>
            <w:tcW w:w="116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t>0010</w:t>
            </w:r>
          </w:p>
        </w:tc>
        <w:tc>
          <w:tcPr>
            <w:tcW w:w="14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399"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center"/>
              <w:rPr>
                <w:color w:val="000000"/>
              </w:rPr>
            </w:pPr>
            <w:r>
              <w:rPr>
                <w:color w:val="000000"/>
              </w:rPr>
            </w:r>
          </w:p>
        </w:tc>
        <w:tc>
          <w:tcPr>
            <w:tcW w:w="1800"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r>
          </w:p>
        </w:tc>
        <w:tc>
          <w:tcPr>
            <w:tcW w:w="1801"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jc w:val="right"/>
              <w:rPr>
                <w:color w:val="000000"/>
              </w:rPr>
            </w:pPr>
            <w:r>
              <w:rPr>
                <w:color w:val="000000"/>
              </w:rPr>
              <w:t>580 000</w:t>
            </w:r>
          </w:p>
        </w:tc>
      </w:tr>
    </w:tbl>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t>Položka 8901</w:t>
      </w:r>
    </w:p>
    <w:p>
      <w:pPr>
        <w:pStyle w:val="Normal"/>
        <w:rPr/>
      </w:pPr>
      <w:r>
        <w:rPr/>
      </w:r>
    </w:p>
    <w:p>
      <w:pPr>
        <w:pStyle w:val="Normal"/>
        <w:rPr/>
      </w:pPr>
      <w:r>
        <w:rPr/>
        <w:t xml:space="preserve">Složení jistoty na ZBÚ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r>
              <w:rPr>
                <w:color w:val="000000"/>
              </w:rPr>
              <w:t>8901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378</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100 000</w:t>
            </w:r>
          </w:p>
        </w:tc>
      </w:tr>
    </w:tbl>
    <w:p>
      <w:pPr>
        <w:pStyle w:val="Normal"/>
        <w:rPr/>
      </w:pPr>
      <w:r>
        <w:rPr/>
      </w:r>
    </w:p>
    <w:p>
      <w:pPr>
        <w:pStyle w:val="Normal"/>
        <w:rPr/>
      </w:pPr>
      <w:r>
        <w:rPr/>
        <w:t xml:space="preserve">Vrácení jistoty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378</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100 000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r>
              <w:rPr>
                <w:color w:val="000000"/>
              </w:rPr>
              <w:t>8901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100 000</w:t>
            </w:r>
          </w:p>
        </w:tc>
      </w:tr>
    </w:tbl>
    <w:p>
      <w:pPr>
        <w:pStyle w:val="Normal"/>
        <w:rPr/>
      </w:pPr>
      <w:r>
        <w:rPr/>
      </w:r>
    </w:p>
    <w:p>
      <w:pPr>
        <w:pStyle w:val="Normal"/>
        <w:rPr/>
      </w:pPr>
      <w:r>
        <w:rPr/>
        <w:t xml:space="preserve">VHČ na ZBÚ </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r>
              <w:rPr>
                <w:color w:val="000000"/>
              </w:rPr>
              <w:t>8901</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5 000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311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5 000</w:t>
            </w:r>
          </w:p>
        </w:tc>
      </w:tr>
    </w:tbl>
    <w:p>
      <w:pPr>
        <w:pStyle w:val="Normal"/>
        <w:rPr/>
      </w:pPr>
      <w:r>
        <w:rPr/>
      </w:r>
    </w:p>
    <w:p>
      <w:pPr>
        <w:pStyle w:val="Normal"/>
        <w:spacing w:before="0" w:after="120"/>
        <w:rPr>
          <w:b/>
          <w:b/>
        </w:rPr>
      </w:pPr>
      <w:r>
        <w:rPr>
          <w:b/>
        </w:rPr>
        <w:t>DPH z přenesené daňové povinnosti (PDP)</w:t>
      </w:r>
    </w:p>
    <w:p>
      <w:pPr>
        <w:pStyle w:val="Normal"/>
        <w:spacing w:before="0" w:after="120"/>
        <w:jc w:val="both"/>
        <w:rPr>
          <w:b/>
          <w:b/>
          <w:i/>
          <w:i/>
          <w:color w:val="000000"/>
        </w:rPr>
      </w:pPr>
      <w:r>
        <w:rPr>
          <w:b/>
          <w:i/>
          <w:color w:val="000000"/>
        </w:rPr>
        <w:t xml:space="preserve">Příklad zaúčtování před novelou vyhlášky o RS pro rok 2017 (varianta povinnosti odvodu DPH z PDP bez nároku na odpočet): </w:t>
      </w:r>
    </w:p>
    <w:p>
      <w:pPr>
        <w:pStyle w:val="Normal1"/>
        <w:rPr>
          <w:rFonts w:ascii="Times New Roman" w:hAnsi="Times New Roman" w:cs="Times New Roman"/>
          <w:bCs/>
          <w:i/>
          <w:i/>
          <w:highlight w:val="white"/>
        </w:rPr>
      </w:pPr>
      <w:r>
        <w:rPr>
          <w:rFonts w:cs="Times New Roman" w:ascii="Times New Roman" w:hAnsi="Times New Roman"/>
          <w:b/>
          <w:bCs/>
          <w:i/>
          <w:shd w:fill="FFFFFF" w:val="clear"/>
        </w:rPr>
        <w:t>Příklad 1</w:t>
      </w:r>
      <w:r>
        <w:rPr>
          <w:rFonts w:cs="Times New Roman" w:ascii="Times New Roman" w:hAnsi="Times New Roman"/>
          <w:bCs/>
          <w:i/>
          <w:shd w:fill="FFFFFF" w:val="clear"/>
        </w:rPr>
        <w:t xml:space="preserve">: Faktura za opravu komunikace – stavební práce, základ daně 1 mil. Kč, DPH 200 tis. Kč. Obec nemá nárok na odpočet DPH. </w:t>
      </w:r>
    </w:p>
    <w:p>
      <w:pPr>
        <w:pStyle w:val="Normal1"/>
        <w:rPr>
          <w:rFonts w:ascii="Times New Roman" w:hAnsi="Times New Roman" w:cs="Times New Roman"/>
          <w:bCs/>
          <w:i/>
          <w:i/>
          <w:highlight w:val="white"/>
        </w:rPr>
      </w:pPr>
      <w:r>
        <w:rPr>
          <w:rFonts w:cs="Times New Roman" w:ascii="Times New Roman" w:hAnsi="Times New Roman"/>
          <w:bCs/>
          <w:i/>
          <w:shd w:fill="FFFFFF" w:val="clear"/>
        </w:rPr>
        <w:t>Předpis faktury</w:t>
      </w:r>
    </w:p>
    <w:p>
      <w:pPr>
        <w:pStyle w:val="Normal1"/>
        <w:rPr>
          <w:rFonts w:ascii="Times New Roman" w:hAnsi="Times New Roman" w:cs="Times New Roman"/>
          <w:b/>
          <w:b/>
          <w:bCs/>
          <w:shd w:fill="FFFFFF" w:val="clear"/>
        </w:rPr>
      </w:pPr>
      <w:r>
        <w:rPr>
          <w:rFonts w:cs="Times New Roman" w:ascii="Times New Roman" w:hAnsi="Times New Roman"/>
          <w:b/>
          <w:bCs/>
          <w:shd w:fill="FFFFFF" w:val="clear"/>
        </w:rPr>
      </w:r>
      <w:r>
        <mc:AlternateContent>
          <mc:Choice Requires="wps">
            <w:drawing>
              <wp:anchor behindDoc="0" distT="0" distB="0" distL="89535" distR="89535" simplePos="0" locked="0" layoutInCell="1" allowOverlap="1" relativeHeight="10">
                <wp:simplePos x="0" y="0"/>
                <wp:positionH relativeFrom="page">
                  <wp:posOffset>1235710</wp:posOffset>
                </wp:positionH>
                <wp:positionV relativeFrom="paragraph">
                  <wp:posOffset>99060</wp:posOffset>
                </wp:positionV>
                <wp:extent cx="4453890" cy="674370"/>
                <wp:effectExtent l="0" t="0" r="0" b="0"/>
                <wp:wrapSquare wrapText="bothSides"/>
                <wp:docPr id="9" name="Frame2"/>
                <a:graphic xmlns:a="http://schemas.openxmlformats.org/drawingml/2006/main">
                  <a:graphicData uri="http://schemas.microsoft.com/office/word/2010/wordprocessingShape">
                    <wps:wsp>
                      <wps:cNvSpPr txBox="1"/>
                      <wps:spPr>
                        <a:xfrm>
                          <a:off x="0" y="0"/>
                          <a:ext cx="4453890" cy="674370"/>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511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 (z PDP) ř.10</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wps:txbx>
                      <wps:bodyPr anchor="t" lIns="0" tIns="0" rIns="0" bIns="0">
                        <a:spAutoFit/>
                      </wps:bodyPr>
                    </wps:wsp>
                  </a:graphicData>
                </a:graphic>
              </wp:anchor>
            </w:drawing>
          </mc:Choice>
          <mc:Fallback>
            <w:pict>
              <v:rect style="position:absolute;rotation:0;width:350.7pt;height:53.1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511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 (z PDP) ř.10</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v:textbox>
                <w10:wrap type="square"/>
              </v:rect>
            </w:pict>
          </mc:Fallback>
        </mc:AlternateConten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highlight w:val="white"/>
        </w:rPr>
      </w:pPr>
      <w:r>
        <w:rPr>
          <w:rFonts w:cs="Times New Roman" w:ascii="Times New Roman" w:hAnsi="Times New Roman"/>
          <w:bCs/>
          <w:i/>
          <w:shd w:fill="FFFFFF" w:val="clear"/>
        </w:rPr>
        <w:t xml:space="preserve">Úhrada faktury (i položka 890x se zaúčtuje při úhradě) </w: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r>
        <mc:AlternateContent>
          <mc:Choice Requires="wps">
            <w:drawing>
              <wp:anchor behindDoc="0" distT="0" distB="0" distL="89535" distR="89535" simplePos="0" locked="0" layoutInCell="1" allowOverlap="1" relativeHeight="11">
                <wp:simplePos x="0" y="0"/>
                <wp:positionH relativeFrom="page">
                  <wp:posOffset>1235710</wp:posOffset>
                </wp:positionH>
                <wp:positionV relativeFrom="paragraph">
                  <wp:posOffset>99060</wp:posOffset>
                </wp:positionV>
                <wp:extent cx="4453890" cy="674370"/>
                <wp:effectExtent l="0" t="0" r="0" b="0"/>
                <wp:wrapSquare wrapText="bothSides"/>
                <wp:docPr id="10" name="Frame3"/>
                <a:graphic xmlns:a="http://schemas.openxmlformats.org/drawingml/2006/main">
                  <a:graphicData uri="http://schemas.microsoft.com/office/word/2010/wordprocessingShape">
                    <wps:wsp>
                      <wps:cNvSpPr txBox="1"/>
                      <wps:spPr>
                        <a:xfrm>
                          <a:off x="0" y="0"/>
                          <a:ext cx="4453890" cy="674370"/>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321(jen ZD)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ZD+DPH/D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2212</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5171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1 200</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jen DPH /D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8901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bl>
                        </w:txbxContent>
                      </wps:txbx>
                      <wps:bodyPr anchor="t" lIns="0" tIns="0" rIns="0" bIns="0">
                        <a:spAutoFit/>
                      </wps:bodyPr>
                    </wps:wsp>
                  </a:graphicData>
                </a:graphic>
              </wp:anchor>
            </w:drawing>
          </mc:Choice>
          <mc:Fallback>
            <w:pict>
              <v:rect style="position:absolute;rotation:0;width:350.7pt;height:53.1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321(jen ZD)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ZD+DPH/D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2212</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5171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1 200</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jen DPH /D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8901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bl>
                  </w:txbxContent>
                </v:textbox>
                <w10:wrap type="square"/>
              </v:rect>
            </w:pict>
          </mc:Fallback>
        </mc:AlternateConten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highlight w:val="white"/>
        </w:rPr>
      </w:pPr>
      <w:r>
        <w:rPr>
          <w:rFonts w:cs="Times New Roman" w:ascii="Times New Roman" w:hAnsi="Times New Roman"/>
          <w:bCs/>
          <w:shd w:fill="FFFFFF" w:val="clear"/>
        </w:rPr>
        <w:t xml:space="preserve">Varianta: Ihned k předpisu fa zaúčtujeme ve výši DPH : </w:t>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r>
        <mc:AlternateContent>
          <mc:Choice Requires="wps">
            <w:drawing>
              <wp:anchor behindDoc="0" distT="0" distB="0" distL="89535" distR="89535" simplePos="0" locked="0" layoutInCell="1" allowOverlap="1" relativeHeight="12">
                <wp:simplePos x="0" y="0"/>
                <wp:positionH relativeFrom="page">
                  <wp:posOffset>1235710</wp:posOffset>
                </wp:positionH>
                <wp:positionV relativeFrom="paragraph">
                  <wp:posOffset>99060</wp:posOffset>
                </wp:positionV>
                <wp:extent cx="4453890" cy="507365"/>
                <wp:effectExtent l="0" t="0" r="0" b="0"/>
                <wp:wrapSquare wrapText="bothSides"/>
                <wp:docPr id="11" name="Frame4"/>
                <a:graphic xmlns:a="http://schemas.openxmlformats.org/drawingml/2006/main">
                  <a:graphicData uri="http://schemas.microsoft.com/office/word/2010/wordprocessingShape">
                    <wps:wsp>
                      <wps:cNvSpPr txBox="1"/>
                      <wps:spPr>
                        <a:xfrm>
                          <a:off x="0" y="0"/>
                          <a:ext cx="4453890" cy="507365"/>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DPH/D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2212</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5171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 xml:space="preserve"> </w:t>
                                  </w:r>
                                  <w:r>
                                    <w:rPr>
                                      <w:sz w:val="22"/>
                                      <w:szCs w:val="22"/>
                                    </w:rPr>
                                    <w:t>200</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jen DPH /D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8901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bl>
                        </w:txbxContent>
                      </wps:txbx>
                      <wps:bodyPr anchor="t" lIns="0" tIns="0" rIns="0" bIns="0">
                        <a:spAutoFit/>
                      </wps:bodyPr>
                    </wps:wsp>
                  </a:graphicData>
                </a:graphic>
              </wp:anchor>
            </w:drawing>
          </mc:Choice>
          <mc:Fallback>
            <w:pict>
              <v:rect style="position:absolute;rotation:0;width:350.7pt;height:39.95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DPH/D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2212</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5171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 xml:space="preserve"> </w:t>
                            </w:r>
                            <w:r>
                              <w:rPr>
                                <w:sz w:val="22"/>
                                <w:szCs w:val="22"/>
                              </w:rPr>
                              <w:t>200</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jen DPH /D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8901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bl>
                  </w:txbxContent>
                </v:textbox>
                <w10:wrap type="square"/>
              </v:rect>
            </w:pict>
          </mc:Fallback>
        </mc:AlternateContent>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highlight w:val="white"/>
        </w:rPr>
      </w:pPr>
      <w:r>
        <w:rPr>
          <w:rFonts w:cs="Times New Roman" w:ascii="Times New Roman" w:hAnsi="Times New Roman"/>
          <w:bCs/>
          <w:i/>
          <w:shd w:fill="FFFFFF" w:val="clear"/>
        </w:rPr>
        <w:t>Odvod finančnímu úřadu DPH z PDP</w: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r>
        <mc:AlternateContent>
          <mc:Choice Requires="wps">
            <w:drawing>
              <wp:anchor behindDoc="0" distT="0" distB="0" distL="89535" distR="89535" simplePos="0" locked="0" layoutInCell="1" allowOverlap="1" relativeHeight="13">
                <wp:simplePos x="0" y="0"/>
                <wp:positionH relativeFrom="page">
                  <wp:posOffset>1235710</wp:posOffset>
                </wp:positionH>
                <wp:positionV relativeFrom="paragraph">
                  <wp:posOffset>99060</wp:posOffset>
                </wp:positionV>
                <wp:extent cx="4453890" cy="507365"/>
                <wp:effectExtent l="0" t="0" r="0" b="0"/>
                <wp:wrapSquare wrapText="bothSides"/>
                <wp:docPr id="12" name="Frame5"/>
                <a:graphic xmlns:a="http://schemas.openxmlformats.org/drawingml/2006/main">
                  <a:graphicData uri="http://schemas.microsoft.com/office/word/2010/wordprocessingShape">
                    <wps:wsp>
                      <wps:cNvSpPr txBox="1"/>
                      <wps:spPr>
                        <a:xfrm>
                          <a:off x="0" y="0"/>
                          <a:ext cx="4453890" cy="507365"/>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426"/>
                              <w:gridCol w:w="1112"/>
                              <w:gridCol w:w="1120"/>
                              <w:gridCol w:w="1139"/>
                              <w:gridCol w:w="1115"/>
                              <w:gridCol w:w="1101"/>
                            </w:tblGrid>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 xml:space="preserve"> </w:t>
                                  </w: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8901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wps:txbx>
                      <wps:bodyPr anchor="t" lIns="0" tIns="0" rIns="0" bIns="0">
                        <a:spAutoFit/>
                      </wps:bodyPr>
                    </wps:wsp>
                  </a:graphicData>
                </a:graphic>
              </wp:anchor>
            </w:drawing>
          </mc:Choice>
          <mc:Fallback>
            <w:pict>
              <v:rect style="position:absolute;rotation:0;width:350.7pt;height:39.95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426"/>
                        <w:gridCol w:w="1112"/>
                        <w:gridCol w:w="1120"/>
                        <w:gridCol w:w="1139"/>
                        <w:gridCol w:w="1115"/>
                        <w:gridCol w:w="1101"/>
                      </w:tblGrid>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 xml:space="preserve"> </w:t>
                            </w: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8901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v:textbox>
                <w10:wrap type="square"/>
              </v:rect>
            </w:pict>
          </mc:Fallback>
        </mc:AlternateConten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
        <w:spacing w:before="0" w:after="120"/>
        <w:jc w:val="both"/>
        <w:rPr>
          <w:b/>
          <w:b/>
          <w:color w:val="000000"/>
        </w:rPr>
      </w:pPr>
      <w:r>
        <w:rPr>
          <w:b/>
          <w:color w:val="000000"/>
        </w:rPr>
      </w:r>
    </w:p>
    <w:p>
      <w:pPr>
        <w:pStyle w:val="Normal"/>
        <w:shd w:val="clear" w:color="auto" w:fill="D9D9D9" w:themeFill="background1" w:themeFillShade="d9"/>
        <w:spacing w:before="0" w:after="120"/>
        <w:jc w:val="both"/>
        <w:rPr>
          <w:color w:val="000000"/>
        </w:rPr>
      </w:pPr>
      <w:r>
        <w:rPr>
          <w:b/>
          <w:color w:val="000000"/>
        </w:rPr>
        <w:t>Po novele od roku 2017</w:t>
      </w:r>
      <w:r>
        <w:rPr>
          <w:color w:val="000000"/>
        </w:rPr>
        <w:t>: Pozor je možné jak pokračovat jako dosud – tj. předchozí příklad, nebo je druhá možnost - je možnost si tedy zvolit!!!</w:t>
      </w:r>
    </w:p>
    <w:p>
      <w:pPr>
        <w:pStyle w:val="Normal1"/>
        <w:rPr>
          <w:rFonts w:ascii="Times New Roman" w:hAnsi="Times New Roman" w:cs="Times New Roman"/>
          <w:bCs/>
          <w:i/>
          <w:i/>
          <w:highlight w:val="white"/>
        </w:rPr>
      </w:pPr>
      <w:r>
        <w:rPr>
          <w:rFonts w:cs="Times New Roman" w:ascii="Times New Roman" w:hAnsi="Times New Roman"/>
          <w:b/>
          <w:bCs/>
          <w:i/>
          <w:shd w:fill="FFFFFF" w:val="clear"/>
        </w:rPr>
        <w:t>Příklad 1</w:t>
      </w:r>
      <w:r>
        <w:rPr>
          <w:rFonts w:cs="Times New Roman" w:ascii="Times New Roman" w:hAnsi="Times New Roman"/>
          <w:bCs/>
          <w:i/>
          <w:shd w:fill="FFFFFF" w:val="clear"/>
        </w:rPr>
        <w:t xml:space="preserve">: Faktura za opravu komunikace – stavební práce, základ daně 1 mil. Kč, DPH 200 tis. Kč. Obec nemá nárok na odpočet DPH. </w:t>
      </w:r>
    </w:p>
    <w:p>
      <w:pPr>
        <w:pStyle w:val="Normal1"/>
        <w:rPr>
          <w:rFonts w:ascii="Times New Roman" w:hAnsi="Times New Roman" w:cs="Times New Roman"/>
          <w:bCs/>
          <w:i/>
          <w:i/>
          <w:highlight w:val="white"/>
        </w:rPr>
      </w:pPr>
      <w:r>
        <w:rPr>
          <w:rFonts w:cs="Times New Roman" w:ascii="Times New Roman" w:hAnsi="Times New Roman"/>
          <w:bCs/>
          <w:i/>
          <w:shd w:fill="FFFFFF" w:val="clear"/>
        </w:rPr>
        <w:t>Předpis faktury</w:t>
      </w:r>
    </w:p>
    <w:p>
      <w:pPr>
        <w:pStyle w:val="Normal1"/>
        <w:rPr>
          <w:rFonts w:ascii="Times New Roman" w:hAnsi="Times New Roman" w:cs="Times New Roman"/>
          <w:bCs/>
          <w:shd w:fill="FFFFFF" w:val="clear"/>
        </w:rPr>
      </w:pPr>
      <w:r>
        <w:rPr>
          <w:rFonts w:cs="Times New Roman" w:ascii="Times New Roman" w:hAnsi="Times New Roman"/>
          <w:bCs/>
          <w:shd w:fill="FFFFFF" w:val="clear"/>
        </w:rPr>
      </w:r>
      <w:r>
        <mc:AlternateContent>
          <mc:Choice Requires="wps">
            <w:drawing>
              <wp:anchor behindDoc="0" distT="0" distB="0" distL="89535" distR="89535" simplePos="0" locked="0" layoutInCell="1" allowOverlap="1" relativeHeight="14">
                <wp:simplePos x="0" y="0"/>
                <wp:positionH relativeFrom="page">
                  <wp:posOffset>1235710</wp:posOffset>
                </wp:positionH>
                <wp:positionV relativeFrom="paragraph">
                  <wp:posOffset>99060</wp:posOffset>
                </wp:positionV>
                <wp:extent cx="4453890" cy="674370"/>
                <wp:effectExtent l="0" t="0" r="0" b="0"/>
                <wp:wrapSquare wrapText="bothSides"/>
                <wp:docPr id="13" name="Frame6"/>
                <a:graphic xmlns:a="http://schemas.openxmlformats.org/drawingml/2006/main">
                  <a:graphicData uri="http://schemas.microsoft.com/office/word/2010/wordprocessingShape">
                    <wps:wsp>
                      <wps:cNvSpPr txBox="1"/>
                      <wps:spPr>
                        <a:xfrm>
                          <a:off x="0" y="0"/>
                          <a:ext cx="4453890" cy="674370"/>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2092"/>
                              <w:gridCol w:w="851"/>
                              <w:gridCol w:w="716"/>
                              <w:gridCol w:w="1139"/>
                              <w:gridCol w:w="1115"/>
                              <w:gridCol w:w="1100"/>
                            </w:tblGrid>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511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1 200</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r>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 (z PDP) ř.10</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wps:txbx>
                      <wps:bodyPr anchor="t" lIns="0" tIns="0" rIns="0" bIns="0">
                        <a:spAutoFit/>
                      </wps:bodyPr>
                    </wps:wsp>
                  </a:graphicData>
                </a:graphic>
              </wp:anchor>
            </w:drawing>
          </mc:Choice>
          <mc:Fallback>
            <w:pict>
              <v:rect style="position:absolute;rotation:0;width:350.7pt;height:53.1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2092"/>
                        <w:gridCol w:w="851"/>
                        <w:gridCol w:w="716"/>
                        <w:gridCol w:w="1139"/>
                        <w:gridCol w:w="1115"/>
                        <w:gridCol w:w="1100"/>
                      </w:tblGrid>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511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1 200</w:t>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r>
                      <w:tr>
                        <w:trPr/>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 (z PDP) ř.10</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7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v:textbox>
                <w10:wrap type="square"/>
              </v:rect>
            </w:pict>
          </mc:Fallback>
        </mc:AlternateContent>
      </w:r>
    </w:p>
    <w:p>
      <w:pPr>
        <w:pStyle w:val="Normal1"/>
        <w:rPr>
          <w:rFonts w:ascii="Times New Roman" w:hAnsi="Times New Roman" w:cs="Times New Roman"/>
          <w:bCs/>
          <w:shd w:fill="FFFFFF" w:val="clear"/>
        </w:rPr>
      </w:pPr>
      <w:r>
        <w:rPr>
          <w:rFonts w:cs="Times New Roman" w:ascii="Times New Roman" w:hAnsi="Times New Roman"/>
          <w:bCs/>
          <w:shd w:fill="FFFFFF" w:val="clear"/>
        </w:rPr>
      </w:r>
    </w:p>
    <w:p>
      <w:pPr>
        <w:pStyle w:val="Normal1"/>
        <w:rPr>
          <w:rFonts w:ascii="Times New Roman" w:hAnsi="Times New Roman" w:cs="Times New Roman"/>
          <w:bCs/>
          <w:shd w:fill="FFFFFF" w:val="clear"/>
        </w:rPr>
      </w:pPr>
      <w:r>
        <w:rPr>
          <w:rFonts w:cs="Times New Roman" w:ascii="Times New Roman" w:hAnsi="Times New Roman"/>
          <w:bCs/>
          <w:shd w:fill="FFFFFF" w:val="clear"/>
        </w:rPr>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1"/>
        <w:rPr>
          <w:rFonts w:ascii="Times New Roman" w:hAnsi="Times New Roman" w:cs="Times New Roman"/>
          <w:b/>
          <w:b/>
          <w:bCs/>
          <w:sz w:val="28"/>
          <w:szCs w:val="28"/>
          <w:highlight w:val="white"/>
        </w:rPr>
      </w:pPr>
      <w:r>
        <w:rPr>
          <w:rFonts w:cs="Times New Roman" w:ascii="Times New Roman" w:hAnsi="Times New Roman"/>
          <w:b/>
          <w:bCs/>
          <w:sz w:val="28"/>
          <w:szCs w:val="28"/>
          <w:shd w:fill="FFFFFF" w:val="clear"/>
        </w:rPr>
        <w:t xml:space="preserve"> </w:t>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highlight w:val="white"/>
        </w:rPr>
      </w:pPr>
      <w:r>
        <w:rPr>
          <w:rFonts w:cs="Times New Roman" w:ascii="Times New Roman" w:hAnsi="Times New Roman"/>
          <w:bCs/>
          <w:i/>
          <w:shd w:fill="FFFFFF" w:val="clear"/>
        </w:rPr>
        <w:t xml:space="preserve">Úhrada faktury </w:t>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r>
        <mc:AlternateContent>
          <mc:Choice Requires="wps">
            <w:drawing>
              <wp:anchor behindDoc="0" distT="0" distB="0" distL="89535" distR="89535" simplePos="0" locked="0" layoutInCell="1" allowOverlap="1" relativeHeight="15">
                <wp:simplePos x="0" y="0"/>
                <wp:positionH relativeFrom="page">
                  <wp:posOffset>1235710</wp:posOffset>
                </wp:positionH>
                <wp:positionV relativeFrom="paragraph">
                  <wp:posOffset>99060</wp:posOffset>
                </wp:positionV>
                <wp:extent cx="4453890" cy="507365"/>
                <wp:effectExtent l="0" t="0" r="0" b="0"/>
                <wp:wrapSquare wrapText="bothSides"/>
                <wp:docPr id="14" name="Frame7"/>
                <a:graphic xmlns:a="http://schemas.openxmlformats.org/drawingml/2006/main">
                  <a:graphicData uri="http://schemas.microsoft.com/office/word/2010/wordprocessingShape">
                    <wps:wsp>
                      <wps:cNvSpPr txBox="1"/>
                      <wps:spPr>
                        <a:xfrm>
                          <a:off x="0" y="0"/>
                          <a:ext cx="4453890" cy="507365"/>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321(jen ZD)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ZD+DPH/D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2212</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5171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r>
                          </w:tbl>
                        </w:txbxContent>
                      </wps:txbx>
                      <wps:bodyPr anchor="t" lIns="0" tIns="0" rIns="0" bIns="0">
                        <a:spAutoFit/>
                      </wps:bodyPr>
                    </wps:wsp>
                  </a:graphicData>
                </a:graphic>
              </wp:anchor>
            </w:drawing>
          </mc:Choice>
          <mc:Fallback>
            <w:pict>
              <v:rect style="position:absolute;rotation:0;width:350.7pt;height:39.95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950"/>
                        <w:gridCol w:w="851"/>
                        <w:gridCol w:w="857"/>
                        <w:gridCol w:w="1139"/>
                        <w:gridCol w:w="1115"/>
                        <w:gridCol w:w="1101"/>
                      </w:tblGrid>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321(jen ZD)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 ZD+DPH/D</w:t>
                            </w:r>
                          </w:p>
                        </w:tc>
                        <w:tc>
                          <w:tcPr>
                            <w:tcW w:w="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2212</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5171</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1 000</w:t>
                            </w:r>
                          </w:p>
                        </w:tc>
                      </w:tr>
                    </w:tbl>
                  </w:txbxContent>
                </v:textbox>
                <w10:wrap type="square"/>
              </v:rect>
            </w:pict>
          </mc:Fallback>
        </mc:AlternateContent>
      </w:r>
    </w:p>
    <w:p>
      <w:pPr>
        <w:pStyle w:val="Normal1"/>
        <w:rPr>
          <w:rFonts w:ascii="Times New Roman" w:hAnsi="Times New Roman" w:cs="Times New Roman"/>
          <w:bCs/>
          <w:shd w:fill="FFFFFF" w:val="clear"/>
        </w:rPr>
      </w:pPr>
      <w:r>
        <w:rPr>
          <w:rFonts w:cs="Times New Roman" w:ascii="Times New Roman" w:hAnsi="Times New Roman"/>
          <w:bCs/>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shd w:fill="FFFFFF" w:val="clear"/>
        </w:rPr>
      </w:pPr>
      <w:r>
        <w:rPr>
          <w:rFonts w:cs="Times New Roman" w:ascii="Times New Roman" w:hAnsi="Times New Roman"/>
          <w:bCs/>
          <w:i/>
          <w:shd w:fill="FFFFFF" w:val="clear"/>
        </w:rPr>
      </w:r>
    </w:p>
    <w:p>
      <w:pPr>
        <w:pStyle w:val="Normal1"/>
        <w:rPr>
          <w:rFonts w:ascii="Times New Roman" w:hAnsi="Times New Roman" w:cs="Times New Roman"/>
          <w:bCs/>
          <w:i/>
          <w:i/>
          <w:highlight w:val="white"/>
        </w:rPr>
      </w:pPr>
      <w:r>
        <w:rPr>
          <w:rFonts w:cs="Times New Roman" w:ascii="Times New Roman" w:hAnsi="Times New Roman"/>
          <w:bCs/>
          <w:i/>
          <w:shd w:fill="FFFFFF" w:val="clear"/>
        </w:rPr>
        <w:t>Odvod finančnímu úřadu DPH z PDP</w: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r>
        <mc:AlternateContent>
          <mc:Choice Requires="wps">
            <w:drawing>
              <wp:anchor behindDoc="0" distT="0" distB="0" distL="89535" distR="89535" simplePos="0" locked="0" layoutInCell="1" allowOverlap="1" relativeHeight="16">
                <wp:simplePos x="0" y="0"/>
                <wp:positionH relativeFrom="page">
                  <wp:posOffset>1235710</wp:posOffset>
                </wp:positionH>
                <wp:positionV relativeFrom="paragraph">
                  <wp:posOffset>99060</wp:posOffset>
                </wp:positionV>
                <wp:extent cx="4453890" cy="507365"/>
                <wp:effectExtent l="0" t="0" r="0" b="0"/>
                <wp:wrapSquare wrapText="bothSides"/>
                <wp:docPr id="15" name="Frame8"/>
                <a:graphic xmlns:a="http://schemas.openxmlformats.org/drawingml/2006/main">
                  <a:graphicData uri="http://schemas.microsoft.com/office/word/2010/wordprocessingShape">
                    <wps:wsp>
                      <wps:cNvSpPr txBox="1"/>
                      <wps:spPr>
                        <a:xfrm>
                          <a:off x="0" y="0"/>
                          <a:ext cx="4453890" cy="507365"/>
                        </a:xfrm>
                        <a:prstGeom prst="rect"/>
                      </wps:spPr>
                      <wps:txbx>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426"/>
                              <w:gridCol w:w="1112"/>
                              <w:gridCol w:w="1120"/>
                              <w:gridCol w:w="1139"/>
                              <w:gridCol w:w="1115"/>
                              <w:gridCol w:w="1101"/>
                            </w:tblGrid>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 xml:space="preserve"> </w:t>
                                  </w: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6399</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5362</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wps:txbx>
                      <wps:bodyPr anchor="t" lIns="0" tIns="0" rIns="0" bIns="0">
                        <a:spAutoFit/>
                      </wps:bodyPr>
                    </wps:wsp>
                  </a:graphicData>
                </a:graphic>
              </wp:anchor>
            </w:drawing>
          </mc:Choice>
          <mc:Fallback>
            <w:pict>
              <v:rect style="position:absolute;rotation:0;width:350.7pt;height:39.95pt;mso-wrap-distance-left:7.05pt;mso-wrap-distance-right:7.05pt;mso-wrap-distance-top:0pt;mso-wrap-distance-bottom:0pt;margin-top:7.8pt;mso-position-vertical-relative:text;margin-left:97.3pt;mso-position-horizontal-relative:page">
                <v:textbox inset="0in,0in,0in,0in">
                  <w:txbxContent>
                    <w:tbl>
                      <w:tblPr>
                        <w:tblpPr w:bottomFromText="0" w:horzAnchor="page" w:leftFromText="141" w:rightFromText="141" w:tblpX="2059" w:tblpY="156" w:topFromText="0" w:vertAnchor="text"/>
                        <w:tblW w:w="7014"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426"/>
                        <w:gridCol w:w="1112"/>
                        <w:gridCol w:w="1120"/>
                        <w:gridCol w:w="1139"/>
                        <w:gridCol w:w="1115"/>
                        <w:gridCol w:w="1101"/>
                      </w:tblGrid>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SU</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AU</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odpa</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Položka</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MD</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b/>
                                <w:sz w:val="22"/>
                                <w:szCs w:val="22"/>
                              </w:rPr>
                              <w:t>D</w:t>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343</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 xml:space="preserve">0XXX </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sz w:val="22"/>
                                <w:szCs w:val="22"/>
                              </w:rPr>
                            </w:pPr>
                            <w:r>
                              <w:rPr>
                                <w:sz w:val="22"/>
                                <w:szCs w:val="22"/>
                              </w:rPr>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 xml:space="preserve"> </w:t>
                            </w:r>
                            <w:r>
                              <w:rPr>
                                <w:sz w:val="22"/>
                                <w:szCs w:val="22"/>
                              </w:rPr>
                              <w:t>200</w:t>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r>
                      <w:tr>
                        <w:trPr/>
                        <w:tc>
                          <w:tcPr>
                            <w:tcW w:w="1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231</w:t>
                            </w:r>
                          </w:p>
                        </w:tc>
                        <w:tc>
                          <w:tcPr>
                            <w:tcW w:w="1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rPr/>
                            </w:pPr>
                            <w:r>
                              <w:rPr>
                                <w:sz w:val="22"/>
                                <w:szCs w:val="22"/>
                              </w:rPr>
                              <w:t>0XXX</w:t>
                            </w:r>
                          </w:p>
                        </w:tc>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6399</w:t>
                            </w:r>
                          </w:p>
                        </w:tc>
                        <w:tc>
                          <w:tcPr>
                            <w:tcW w:w="11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center"/>
                              <w:rPr/>
                            </w:pPr>
                            <w:r>
                              <w:rPr>
                                <w:sz w:val="22"/>
                                <w:szCs w:val="22"/>
                              </w:rPr>
                              <w:t>5362</w:t>
                            </w:r>
                          </w:p>
                        </w:tc>
                        <w:tc>
                          <w:tcPr>
                            <w:tcW w:w="1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sz w:val="22"/>
                                <w:szCs w:val="22"/>
                              </w:rPr>
                            </w:pPr>
                            <w:r>
                              <w:rPr>
                                <w:sz w:val="22"/>
                                <w:szCs w:val="22"/>
                              </w:rPr>
                            </w:r>
                          </w:p>
                        </w:tc>
                        <w:tc>
                          <w:tcPr>
                            <w:tcW w:w="11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odstavce"/>
                              <w:numPr>
                                <w:ilvl w:val="0"/>
                                <w:numId w:val="0"/>
                              </w:numPr>
                              <w:spacing w:before="0" w:after="0"/>
                              <w:jc w:val="right"/>
                              <w:rPr/>
                            </w:pPr>
                            <w:r>
                              <w:rPr>
                                <w:sz w:val="22"/>
                                <w:szCs w:val="22"/>
                              </w:rPr>
                              <w:t>200</w:t>
                            </w:r>
                          </w:p>
                        </w:tc>
                      </w:tr>
                    </w:tbl>
                  </w:txbxContent>
                </v:textbox>
                <w10:wrap type="square"/>
              </v:rect>
            </w:pict>
          </mc:Fallback>
        </mc:AlternateContent>
      </w:r>
    </w:p>
    <w:p>
      <w:pPr>
        <w:pStyle w:val="Normal1"/>
        <w:rPr>
          <w:rFonts w:ascii="Times New Roman" w:hAnsi="Times New Roman" w:cs="Times New Roman"/>
          <w:b/>
          <w:b/>
          <w:bCs/>
          <w:sz w:val="28"/>
          <w:szCs w:val="28"/>
          <w:shd w:fill="FFFFFF" w:val="clear"/>
        </w:rPr>
      </w:pPr>
      <w:r>
        <w:rPr>
          <w:rFonts w:cs="Times New Roman" w:ascii="Times New Roman" w:hAnsi="Times New Roman"/>
          <w:b/>
          <w:bCs/>
          <w:sz w:val="28"/>
          <w:szCs w:val="28"/>
          <w:shd w:fill="FFFFFF" w:val="clear"/>
        </w:rPr>
      </w:r>
    </w:p>
    <w:p>
      <w:pPr>
        <w:pStyle w:val="Normal"/>
        <w:spacing w:before="0" w:after="120"/>
        <w:rPr>
          <w:rFonts w:eastAsia="SimSun"/>
          <w:b/>
          <w:b/>
          <w:bCs/>
          <w:sz w:val="28"/>
          <w:szCs w:val="28"/>
          <w:shd w:fill="FFFFFF" w:val="clear"/>
          <w:lang w:eastAsia="zh-CN"/>
        </w:rPr>
      </w:pPr>
      <w:r>
        <w:rPr>
          <w:rFonts w:eastAsia="SimSun"/>
          <w:b/>
          <w:bCs/>
          <w:sz w:val="28"/>
          <w:szCs w:val="28"/>
          <w:shd w:fill="FFFFFF" w:val="clear"/>
          <w:lang w:eastAsia="zh-CN"/>
        </w:rPr>
      </w:r>
    </w:p>
    <w:p>
      <w:pPr>
        <w:pStyle w:val="Normal"/>
        <w:spacing w:before="0" w:after="120"/>
        <w:rPr>
          <w:i/>
          <w:i/>
          <w:color w:val="000000"/>
        </w:rPr>
      </w:pPr>
      <w:r>
        <w:rPr>
          <w:b/>
          <w:color w:val="000000"/>
        </w:rPr>
        <w:t xml:space="preserve">Pozn. </w:t>
      </w:r>
      <w:r>
        <w:rPr>
          <w:i/>
          <w:color w:val="000000"/>
        </w:rPr>
        <w:t xml:space="preserve">Odvod finančnímu úřadu by se neúčtoval dle PDP k jednotlivým fakturám, ale najednou v celé výši odvodu DPH dle přiznání k DPH. </w:t>
      </w:r>
    </w:p>
    <w:p>
      <w:pPr>
        <w:pStyle w:val="Normal"/>
        <w:rPr/>
      </w:pPr>
      <w:r>
        <w:rPr/>
      </w:r>
    </w:p>
    <w:p>
      <w:pPr>
        <w:pStyle w:val="Normal"/>
        <w:jc w:val="center"/>
        <w:rPr>
          <w:b/>
          <w:b/>
          <w:sz w:val="28"/>
          <w:szCs w:val="28"/>
        </w:rPr>
      </w:pPr>
      <w:r>
        <w:rPr>
          <w:b/>
          <w:sz w:val="28"/>
          <w:szCs w:val="28"/>
        </w:rPr>
        <w:t>Položka 8902</w:t>
      </w:r>
    </w:p>
    <w:p>
      <w:pPr>
        <w:pStyle w:val="Normal"/>
        <w:rPr/>
      </w:pPr>
      <w:r>
        <w:rPr/>
      </w:r>
    </w:p>
    <w:p>
      <w:pPr>
        <w:pStyle w:val="Normal"/>
        <w:shd w:val="clear" w:color="auto" w:fill="D9D9D9" w:themeFill="background1" w:themeFillShade="d9"/>
        <w:ind w:firstLine="709"/>
        <w:jc w:val="both"/>
        <w:rPr>
          <w:color w:val="000000"/>
        </w:rPr>
      </w:pPr>
      <w:r>
        <w:rPr>
          <w:color w:val="000000"/>
        </w:rPr>
        <w:t xml:space="preserve"> </w:t>
      </w:r>
      <w:r>
        <w:rPr>
          <w:color w:val="000000"/>
        </w:rPr>
        <w:t>(1)</w:t>
      </w:r>
      <w:r>
        <w:rPr>
          <w:i/>
          <w:color w:val="000000"/>
        </w:rPr>
        <w:t xml:space="preserve"> </w:t>
      </w:r>
      <w:r>
        <w:rPr>
          <w:color w:val="000000"/>
        </w:rPr>
        <w:t xml:space="preserve">Položku používá Ministerstvo financí a organizace, které se rozhodly nepoužívat při korunovém účtování o devizových účtech pevný kurs. Používají ji při přepočtu stavů bankovních účtů vedených v cizí měně, jsou-li takové účty součástí příslušného peněžního fondu (bankovního účtu nebo soustavy bankovních účtů), na koruny. Změna stavu bankovního účtu v cizí měně od začátku roku do výkazového dne, která se označuje položkami 8115, 8116, 8125, 8215, 8216 nebo 8225, se vyjadřuje v kursu platném dne 1. ledna (vypočítá se jako rozdíl stavu tohoto účtu k výkazovému dni v kursu platném dne 1. ledna a jeho stavu ke dni 1. ledna v tomtéž kursu). Položkou 8902 se označí rozdíl mezi úhrnem pohybů (součtem částek přijetí peněžních prostředků vyjadřovaných v kladné hodnotě a částek vydání vyjadřovaných v záporné hodnotě) tohoto bankovního účtu a uvedenou změnou jeho stavu. </w:t>
      </w:r>
    </w:p>
    <w:p>
      <w:pPr>
        <w:pStyle w:val="Normal"/>
        <w:shd w:val="clear" w:color="auto" w:fill="D9D9D9" w:themeFill="background1" w:themeFillShade="d9"/>
        <w:spacing w:before="0" w:after="120"/>
        <w:ind w:firstLine="708"/>
        <w:jc w:val="both"/>
        <w:rPr>
          <w:color w:val="000000"/>
        </w:rPr>
      </w:pPr>
      <w:r>
        <w:rPr>
          <w:color w:val="000000"/>
        </w:rPr>
        <w:t>(2)</w:t>
      </w:r>
      <w:r>
        <w:rPr>
          <w:i/>
          <w:color w:val="000000"/>
        </w:rPr>
        <w:t xml:space="preserve"> </w:t>
      </w:r>
      <w:r>
        <w:rPr>
          <w:color w:val="000000"/>
        </w:rPr>
        <w:t>Stejně jako použití položek 8115, 8116, 8125, 8215, 8216, 8225 a 8905 nepředstavuje ani použití položky 8902 účetní operaci zobrazující pohyb bankovního účtu. Uvádí se jen ve finančním výkaze [bod 9.2 písm. e) přílohy č. 3, bod 3.1 písm. d) přílohy č. 5 a bod 7 přílohy č. 6 vyhlášky č. 5/2014 Sb.].</w:t>
      </w:r>
    </w:p>
    <w:p>
      <w:pPr>
        <w:pStyle w:val="Normal"/>
        <w:jc w:val="both"/>
        <w:rPr>
          <w:i/>
          <w:i/>
        </w:rPr>
      </w:pPr>
      <w:r>
        <w:rPr>
          <w:i/>
        </w:rPr>
        <w:t>Položku mají používat organizace, které se rozhodly nepoužívat pevný kurz. Použití položky dle náplně na příkladu:</w:t>
      </w:r>
    </w:p>
    <w:p>
      <w:pPr>
        <w:pStyle w:val="Normal"/>
        <w:jc w:val="both"/>
        <w:rPr>
          <w:i/>
          <w:i/>
        </w:rPr>
      </w:pPr>
      <w:r>
        <w:rPr>
          <w:i/>
        </w:rPr>
        <w:t>Zadání – kurz ČNB k 1. 1. 25,00 Kč; kurz ČNB k 31. 12. 25,50 Kč; stav EUR účtu k 1. 1. 1000 EUR (oceněno 25 x 1000 = 25 000 Kč); stav EUR účtu k 31. 12. 2000 EUR (oceněno 25,50 x 2000 = 51 000 Kč).</w:t>
      </w:r>
    </w:p>
    <w:p>
      <w:pPr>
        <w:pStyle w:val="Normal"/>
        <w:jc w:val="both"/>
        <w:rPr>
          <w:i/>
          <w:i/>
        </w:rPr>
      </w:pPr>
      <w:r>
        <w:rPr>
          <w:i/>
        </w:rPr>
        <w:t xml:space="preserve">Dle náplně položky se změna stavu účtu (pol. 8115) nemá určit v logice PS – KS = 25 000 – 51 000 = - 26 000. Změna stavu účtu (pol. 8115) se má vyjádřit v kurzu ze dne 1. 1., tj. rozdíl počátečního stavu účtu v kurzu z 1. 1. a konečného stavu účtu přepočteného kurzem k 1. 1, tj. 25 000 – 50 000 (25 x 2000) = - 25 000. Položkou 8902 se má označit rozdíl, tj. - 1000.   </w:t>
      </w:r>
    </w:p>
    <w:p>
      <w:pPr>
        <w:pStyle w:val="Normal"/>
        <w:jc w:val="both"/>
        <w:rPr>
          <w:i/>
          <w:i/>
        </w:rPr>
      </w:pPr>
      <w:r>
        <w:rPr>
          <w:i/>
        </w:rPr>
        <w:t xml:space="preserve">Rozdíl ve výši 1000 Kč zjištěný uvedeným postupem je účetně neaplikovatelný, takový rozdíl není proti čemu zaúčtovat. </w:t>
      </w:r>
    </w:p>
    <w:p>
      <w:pPr>
        <w:pStyle w:val="Normal"/>
        <w:jc w:val="both"/>
        <w:rPr>
          <w:i/>
          <w:i/>
        </w:rPr>
      </w:pPr>
      <w:r>
        <w:rPr>
          <w:i/>
        </w:rPr>
        <w:t xml:space="preserve">V náplni položky je uvedeno, že stejně jako pol. 8115 nepředstavuje ani pol. 8902 účetní operaci. Měl by ji tedy generovat program automaticky. </w:t>
      </w:r>
    </w:p>
    <w:p>
      <w:pPr>
        <w:pStyle w:val="Normal"/>
        <w:jc w:val="both"/>
        <w:rPr>
          <w:i/>
          <w:i/>
        </w:rPr>
      </w:pPr>
      <w:r>
        <w:rPr>
          <w:i/>
        </w:rPr>
      </w:r>
    </w:p>
    <w:p>
      <w:pPr>
        <w:pStyle w:val="Normal"/>
        <w:jc w:val="both"/>
        <w:rPr>
          <w:i/>
          <w:i/>
        </w:rPr>
      </w:pPr>
      <w:r>
        <w:rPr>
          <w:i/>
        </w:rPr>
        <w:t xml:space="preserve">K diskuzi – položka v rámci financování by byla vhodná pro zobrazení kurzového rozdílu z přepočtu zůstatku devizového účtu kurzem ČNB k 31.12. </w:t>
      </w:r>
    </w:p>
    <w:p>
      <w:pPr>
        <w:pStyle w:val="Normal"/>
        <w:rPr/>
      </w:pPr>
      <w:r>
        <w:rPr/>
      </w:r>
    </w:p>
    <w:p>
      <w:pPr>
        <w:pStyle w:val="Normal"/>
        <w:rPr>
          <w:i/>
          <w:i/>
        </w:rPr>
      </w:pPr>
      <w:r>
        <w:rPr>
          <w:i/>
        </w:rPr>
        <w:t>Příklad</w:t>
      </w:r>
    </w:p>
    <w:p>
      <w:pPr>
        <w:pStyle w:val="Normal"/>
        <w:jc w:val="both"/>
        <w:rPr>
          <w:i/>
          <w:i/>
        </w:rPr>
      </w:pPr>
      <w:r>
        <w:rPr>
          <w:i/>
        </w:rPr>
        <w:t xml:space="preserve">Účetní jednotky jsou povinny přepočítat cizí měnu kurzem devizového trhu vyhlášeným ČNB k 31. 12. Obec má eurový účet, KZ dne 31. 12. 1000 EUR (v účetnictví oceněno 26 000 Kč). Kurz devizového trhu je k 31. 12. ČNB vyhlášen na 25,50 Kč / EUR. </w:t>
      </w:r>
    </w:p>
    <w:p>
      <w:pPr>
        <w:pStyle w:val="Normal"/>
        <w:rPr/>
      </w:pPr>
      <w:r>
        <w:rPr/>
      </w:r>
    </w:p>
    <w:p>
      <w:pPr>
        <w:pStyle w:val="Normal"/>
        <w:spacing w:before="0" w:after="60"/>
        <w:rPr>
          <w:i/>
          <w:i/>
        </w:rPr>
      </w:pPr>
      <w:r>
        <w:rPr>
          <w:i/>
        </w:rPr>
        <w:t>Účetní postup</w:t>
      </w:r>
    </w:p>
    <w:tbl>
      <w:tblPr>
        <w:tblW w:w="8720" w:type="dxa"/>
        <w:jc w:val="left"/>
        <w:tblInd w:w="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noVBand="1" w:noHBand="0" w:lastColumn="0" w:firstColumn="1" w:lastRow="0" w:firstRow="1"/>
      </w:tblPr>
      <w:tblGrid>
        <w:gridCol w:w="1159"/>
        <w:gridCol w:w="1160"/>
        <w:gridCol w:w="1400"/>
        <w:gridCol w:w="1399"/>
        <w:gridCol w:w="1800"/>
        <w:gridCol w:w="1801"/>
      </w:tblGrid>
      <w:tr>
        <w:trPr>
          <w:trHeight w:val="270" w:hRule="atLeast"/>
        </w:trPr>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jc w:val="center"/>
              <w:rPr>
                <w:b/>
                <w:b/>
                <w:bCs/>
                <w:color w:val="000000"/>
              </w:rPr>
            </w:pPr>
            <w:r>
              <w:rPr>
                <w:b/>
                <w:bCs/>
                <w:color w:val="000000"/>
              </w:rPr>
              <w:t>SU</w:t>
            </w:r>
          </w:p>
        </w:tc>
        <w:tc>
          <w:tcPr>
            <w:tcW w:w="116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AU</w:t>
            </w:r>
          </w:p>
        </w:tc>
        <w:tc>
          <w:tcPr>
            <w:tcW w:w="14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odpa</w:t>
            </w:r>
          </w:p>
        </w:tc>
        <w:tc>
          <w:tcPr>
            <w:tcW w:w="1399"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položka</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MD</w:t>
            </w:r>
          </w:p>
        </w:tc>
        <w:tc>
          <w:tcPr>
            <w:tcW w:w="1801" w:type="dxa"/>
            <w:tcBorders>
              <w:top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b/>
                <w:b/>
                <w:bCs/>
                <w:color w:val="000000"/>
              </w:rPr>
            </w:pPr>
            <w:r>
              <w:rPr>
                <w:b/>
                <w:bCs/>
                <w:color w:val="000000"/>
              </w:rPr>
              <w:t>D</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563</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 </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500</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r>
      <w:tr>
        <w:trPr>
          <w:trHeight w:val="270" w:hRule="atLeast"/>
        </w:trPr>
        <w:tc>
          <w:tcPr>
            <w:tcW w:w="11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center"/>
          </w:tcPr>
          <w:p>
            <w:pPr>
              <w:pStyle w:val="Normal"/>
              <w:jc w:val="center"/>
              <w:rPr>
                <w:color w:val="000000"/>
              </w:rPr>
            </w:pPr>
            <w:r>
              <w:rPr>
                <w:color w:val="000000"/>
              </w:rPr>
              <w:t>231</w:t>
            </w:r>
          </w:p>
        </w:tc>
        <w:tc>
          <w:tcPr>
            <w:tcW w:w="116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0200</w:t>
            </w:r>
          </w:p>
        </w:tc>
        <w:tc>
          <w:tcPr>
            <w:tcW w:w="14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r>
          </w:p>
        </w:tc>
        <w:tc>
          <w:tcPr>
            <w:tcW w:w="139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rPr>
            </w:pPr>
            <w:r>
              <w:rPr>
                <w:color w:val="000000"/>
              </w:rPr>
              <w:t>8902</w:t>
            </w:r>
          </w:p>
        </w:tc>
        <w:tc>
          <w:tcPr>
            <w:tcW w:w="180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 </w:t>
            </w:r>
          </w:p>
        </w:tc>
        <w:tc>
          <w:tcPr>
            <w:tcW w:w="180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color w:val="000000"/>
              </w:rPr>
            </w:pPr>
            <w:r>
              <w:rPr>
                <w:color w:val="000000"/>
              </w:rPr>
              <w:t>500</w:t>
            </w:r>
          </w:p>
        </w:tc>
      </w:tr>
    </w:tbl>
    <w:p>
      <w:pPr>
        <w:pStyle w:val="Normal"/>
        <w:rPr/>
      </w:pPr>
      <w:r>
        <w:rPr/>
      </w:r>
    </w:p>
    <w:p>
      <w:pPr>
        <w:pStyle w:val="Normal"/>
        <w:jc w:val="both"/>
        <w:rPr>
          <w:i/>
          <w:i/>
        </w:rPr>
      </w:pPr>
      <w:r>
        <w:rPr>
          <w:i/>
        </w:rPr>
        <w:t>Je nejisté, zda by software tento zápis vůbec umožnil. Pokud nikoliv, jedinou možností je takový kurzový rozdíl zachytit na pol. 2143 nebo 5342. Použití pol. 8902 by bylo výhodnější z hlediska rozpočtu. Možnost práce s pol. 8902 bude záležet na algoritmech programů, náplň je však zmatečná.</w:t>
      </w:r>
    </w:p>
    <w:p>
      <w:pPr>
        <w:pStyle w:val="Normal"/>
        <w:rPr/>
      </w:pPr>
      <w:r>
        <w:rPr/>
      </w:r>
    </w:p>
    <w:p>
      <w:pPr>
        <w:pStyle w:val="Normal"/>
        <w:jc w:val="center"/>
        <w:rPr>
          <w:b/>
          <w:b/>
          <w:sz w:val="28"/>
          <w:szCs w:val="28"/>
        </w:rPr>
      </w:pPr>
      <w:r>
        <w:rPr>
          <w:b/>
          <w:sz w:val="28"/>
          <w:szCs w:val="28"/>
        </w:rPr>
        <w:t>Příklady použití financování při rozpočtování i skutečném plnění</w:t>
      </w:r>
    </w:p>
    <w:p>
      <w:pPr>
        <w:pStyle w:val="Normal"/>
        <w:tabs>
          <w:tab w:val="left" w:pos="1178" w:leader="none"/>
        </w:tabs>
        <w:spacing w:before="0" w:after="0"/>
        <w:contextualSpacing/>
        <w:rPr/>
      </w:pPr>
      <w:r>
        <w:rPr/>
        <w:tab/>
      </w:r>
    </w:p>
    <w:p>
      <w:pPr>
        <w:pStyle w:val="Caption1"/>
        <w:keepNext/>
        <w:spacing w:before="0" w:after="60"/>
        <w:rPr/>
      </w:pPr>
      <w:r>
        <w:rPr>
          <w:color w:val="00000A"/>
          <w:sz w:val="24"/>
          <w:szCs w:val="24"/>
        </w:rPr>
        <w:t xml:space="preserve">Příklad </w:t>
      </w:r>
      <w:r>
        <w:rPr>
          <w:color w:val="00000A"/>
          <w:sz w:val="24"/>
          <w:szCs w:val="24"/>
        </w:rPr>
        <w:fldChar w:fldCharType="begin"/>
      </w:r>
      <w:r>
        <w:instrText> SEQ Příklad \* ARABIC </w:instrText>
      </w:r>
      <w:r>
        <w:fldChar w:fldCharType="separate"/>
      </w:r>
      <w:r>
        <w:t>1</w:t>
      </w:r>
      <w:r>
        <w:fldChar w:fldCharType="end"/>
      </w:r>
      <w:r>
        <w:rPr>
          <w:color w:val="00000A"/>
          <w:sz w:val="24"/>
          <w:szCs w:val="24"/>
        </w:rPr>
        <w:t xml:space="preserve"> – přebytkový rozpočet</w:t>
      </w:r>
    </w:p>
    <w:tbl>
      <w:tblPr>
        <w:tblW w:w="90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2688"/>
        <w:gridCol w:w="709"/>
        <w:gridCol w:w="5671"/>
      </w:tblGrid>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Popis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Kč</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Poznámka</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bCs/>
                <w:szCs w:val="22"/>
              </w:rPr>
            </w:pPr>
            <w:r>
              <w:rPr>
                <w:b/>
                <w:bCs/>
                <w:sz w:val="22"/>
              </w:rPr>
              <w:t>Příjmy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bCs/>
                <w:szCs w:val="22"/>
              </w:rPr>
            </w:pPr>
            <w:r>
              <w:rPr>
                <w:b/>
                <w:bCs/>
                <w:sz w:val="22"/>
              </w:rPr>
              <w:t>20</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 w:val="22"/>
              </w:rPr>
              <w:t>Přebytkový rozpočet, přebytek ve výši 2.</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Výdaje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18</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Rozdíl mezi příjmy a výdaji</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454"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Financování součet</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-2</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i/>
                <w:i/>
                <w:szCs w:val="22"/>
              </w:rPr>
            </w:pPr>
            <w:r>
              <w:rPr>
                <w:i/>
                <w:sz w:val="22"/>
              </w:rPr>
              <w:t xml:space="preserve">Prostředky z přebytku zůstávají na základním běžném účtu. Vidíme, že peníze přibyly, to znamená, že položka 8115 je záporná.  </w:t>
            </w:r>
          </w:p>
        </w:tc>
      </w:tr>
      <w:tr>
        <w:trPr>
          <w:trHeight w:val="454"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8115</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bl>
    <w:p>
      <w:pPr>
        <w:pStyle w:val="Normal"/>
        <w:spacing w:before="0" w:after="0"/>
        <w:contextualSpacing/>
        <w:rPr>
          <w:rFonts w:cs="" w:cstheme="minorBidi"/>
          <w:szCs w:val="22"/>
          <w:lang w:eastAsia="en-US"/>
        </w:rPr>
      </w:pPr>
      <w:r>
        <w:rPr>
          <w:rFonts w:cs="" w:cstheme="minorBidi"/>
          <w:szCs w:val="22"/>
          <w:lang w:eastAsia="en-US"/>
        </w:rPr>
      </w:r>
    </w:p>
    <w:p>
      <w:pPr>
        <w:pStyle w:val="Caption1"/>
        <w:keepNext/>
        <w:spacing w:before="0" w:after="60"/>
        <w:rPr/>
      </w:pPr>
      <w:r>
        <w:rPr>
          <w:color w:val="00000A"/>
          <w:sz w:val="24"/>
          <w:szCs w:val="24"/>
        </w:rPr>
        <w:t xml:space="preserve">Příklad </w:t>
      </w:r>
      <w:r>
        <w:rPr>
          <w:color w:val="00000A"/>
          <w:sz w:val="24"/>
          <w:szCs w:val="24"/>
        </w:rPr>
        <w:fldChar w:fldCharType="begin"/>
      </w:r>
      <w:r>
        <w:instrText> SEQ Příklad \* ARABIC </w:instrText>
      </w:r>
      <w:r>
        <w:fldChar w:fldCharType="separate"/>
      </w:r>
      <w:r>
        <w:t>2</w:t>
      </w:r>
      <w:r>
        <w:fldChar w:fldCharType="end"/>
      </w:r>
      <w:r>
        <w:rPr>
          <w:color w:val="00000A"/>
          <w:sz w:val="24"/>
          <w:szCs w:val="24"/>
        </w:rPr>
        <w:t xml:space="preserve"> – schodkový rozpočet</w:t>
      </w:r>
    </w:p>
    <w:tbl>
      <w:tblPr>
        <w:tblW w:w="90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2688"/>
        <w:gridCol w:w="709"/>
        <w:gridCol w:w="5671"/>
      </w:tblGrid>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Popis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Kč</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Poznámka</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bCs/>
                <w:szCs w:val="22"/>
              </w:rPr>
            </w:pPr>
            <w:r>
              <w:rPr>
                <w:b/>
                <w:bCs/>
                <w:sz w:val="22"/>
              </w:rPr>
              <w:t>Příjmy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bCs/>
                <w:szCs w:val="22"/>
              </w:rPr>
            </w:pPr>
            <w:r>
              <w:rPr>
                <w:b/>
                <w:bCs/>
                <w:sz w:val="22"/>
              </w:rPr>
              <w:t>20</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bCs/>
                <w:i/>
                <w:i/>
                <w:szCs w:val="22"/>
              </w:rPr>
            </w:pPr>
            <w:r>
              <w:rPr>
                <w:bCs/>
                <w:i/>
                <w:sz w:val="22"/>
              </w:rPr>
              <w:t xml:space="preserve">Schodkový rozpočet, schodek ve výši 2. </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Výdaje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22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Rozdíl mezi příjmy a výdaji</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794"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Financování součet</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2</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i/>
                <w:i/>
                <w:szCs w:val="22"/>
              </w:rPr>
            </w:pPr>
            <w:r>
              <w:rPr>
                <w:i/>
                <w:sz w:val="22"/>
              </w:rPr>
              <w:t>Takto se standardně sestavuje schodkový rozpočet v situaci, kdy obec má prostředky na svých účtech a nemusí proto čerpat návratné zdroj (úvěr, apod.). Podmínkou pro takové rozpočtování je, že prostředky jsou skutečně k 1. 1. na účtech obce. Položka 8115 je kladná, to znamená, že prostředky ubydou (ubyly).</w:t>
            </w:r>
          </w:p>
        </w:tc>
      </w:tr>
      <w:tr>
        <w:trPr>
          <w:trHeight w:val="794"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8115</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bl>
    <w:p>
      <w:pPr>
        <w:pStyle w:val="Normal"/>
        <w:spacing w:before="0" w:after="120"/>
        <w:jc w:val="both"/>
        <w:rPr>
          <w:b/>
          <w:b/>
        </w:rPr>
      </w:pPr>
      <w:r>
        <w:rPr>
          <w:b/>
        </w:rPr>
      </w:r>
    </w:p>
    <w:p>
      <w:pPr>
        <w:pStyle w:val="Normal"/>
        <w:spacing w:before="0" w:after="120"/>
        <w:jc w:val="both"/>
        <w:rPr>
          <w:b/>
          <w:b/>
        </w:rPr>
      </w:pPr>
      <w:r>
        <w:rPr>
          <w:b/>
        </w:rPr>
        <w:t xml:space="preserve">Jaké prostředky lze k 1. 1. zapojit do rozpočtu (pro krytí schodku rozpočtu): </w:t>
      </w:r>
    </w:p>
    <w:p>
      <w:pPr>
        <w:pStyle w:val="Normal"/>
        <w:jc w:val="both"/>
        <w:rPr>
          <w:lang w:eastAsia="en-US"/>
        </w:rPr>
      </w:pPr>
      <w:r>
        <w:rPr/>
        <w:t>Bezpochyby jsou to zůstatky základních běžných účtů (SÚ 231) a účtů peněžních fondů (SÚ 236). U peněžních fondů je třeba dát při sestavování rozpočtu pozor na účelovost těchto prostředků, která je dána pravidly (statutem) fondu (do rozpočtu lze zapojit zůstatek fondu jen ke krytí výdajů, ke kterým je fond účelově určen, nikoliv ke krytí jiných výdajů rozpočtu). Dále do stavu prostředků k 1.1. zapojíme zůstatek pokladny (SÚ 261) - v režimu oddělených pokladen se pokladna chová jako základní běžný účet. Dále lze do stavu k 1. 1. zapojit prostředky na termínovaných účtech krátkodobých (SÚ 244) a dlouhodobých (SÚ 068). U dlouhodobých termínovaných účtů je možné zapojit v rámci pol. 8115 jen tu část zůstatku, kterou bude možné v průběhu roku bezpečně převést na základní běžný účet (pozor na poplatky za předčasné čerpání). Prostředky termínovaných účtů zapojíme v rámci pol. 8115 jen v případě, že se nerozpočtují přes pol. 8xx7 (v tom případě by je nebylo možné do pol. 8115 zapojit, aby nebyly rozpočtovány duplicitně).</w:t>
      </w:r>
    </w:p>
    <w:p>
      <w:pPr>
        <w:pStyle w:val="Normal"/>
        <w:spacing w:before="0" w:after="0"/>
        <w:contextualSpacing/>
        <w:jc w:val="both"/>
        <w:rPr>
          <w:i/>
          <w:i/>
        </w:rPr>
      </w:pPr>
      <w:r>
        <w:rPr>
          <w:i/>
        </w:rPr>
      </w:r>
    </w:p>
    <w:p>
      <w:pPr>
        <w:pStyle w:val="Caption1"/>
        <w:keepNext/>
        <w:spacing w:before="0" w:after="60"/>
        <w:rPr>
          <w:color w:val="00000A"/>
          <w:sz w:val="24"/>
          <w:szCs w:val="24"/>
        </w:rPr>
      </w:pPr>
      <w:r>
        <w:rPr>
          <w:color w:val="00000A"/>
          <w:sz w:val="24"/>
          <w:szCs w:val="24"/>
        </w:rPr>
        <w:t>Příklad 3 – schodkový rozpočet</w:t>
      </w:r>
    </w:p>
    <w:tbl>
      <w:tblPr>
        <w:tblW w:w="90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2688"/>
        <w:gridCol w:w="709"/>
        <w:gridCol w:w="5671"/>
      </w:tblGrid>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Popis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Kč</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Cs w:val="22"/>
              </w:rPr>
            </w:pPr>
            <w:r>
              <w:rPr>
                <w:b/>
                <w:bCs/>
                <w:sz w:val="22"/>
              </w:rPr>
              <w:t>Poznámka</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bCs/>
                <w:szCs w:val="22"/>
              </w:rPr>
            </w:pPr>
            <w:r>
              <w:rPr>
                <w:b/>
                <w:bCs/>
                <w:sz w:val="22"/>
              </w:rPr>
              <w:t>Příjmy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bCs/>
                <w:szCs w:val="22"/>
              </w:rPr>
            </w:pPr>
            <w:r>
              <w:rPr>
                <w:b/>
                <w:bCs/>
                <w:sz w:val="22"/>
              </w:rPr>
              <w:t>20</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bCs/>
                <w:i/>
                <w:i/>
                <w:szCs w:val="22"/>
              </w:rPr>
            </w:pPr>
            <w:r>
              <w:rPr>
                <w:bCs/>
                <w:i/>
                <w:sz w:val="22"/>
              </w:rPr>
              <w:t xml:space="preserve">Schodkový rozpočet, schodek ve výši 4. </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Výdaje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24</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Rozdíl mezi příjmy a výdaji</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-4</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98"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Financování součet</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4</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i/>
                <w:i/>
                <w:szCs w:val="22"/>
              </w:rPr>
            </w:pPr>
            <w:r>
              <w:rPr>
                <w:i/>
                <w:sz w:val="22"/>
              </w:rPr>
              <w:t>Schodkový rozpočet krytý dlouhodobými návratnými zdroji (úvěrem).</w:t>
            </w:r>
          </w:p>
        </w:tc>
      </w:tr>
      <w:tr>
        <w:trPr>
          <w:trHeight w:val="438"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8115</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0</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r>
        <w:trPr>
          <w:trHeight w:val="438"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8123</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4</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bl>
    <w:p>
      <w:pPr>
        <w:pStyle w:val="Normal"/>
        <w:spacing w:before="0" w:after="0"/>
        <w:contextualSpacing/>
        <w:jc w:val="both"/>
        <w:rPr>
          <w:i/>
          <w:i/>
        </w:rPr>
      </w:pPr>
      <w:r>
        <w:rPr>
          <w:i/>
        </w:rPr>
      </w:r>
    </w:p>
    <w:p>
      <w:pPr>
        <w:pStyle w:val="Normal"/>
        <w:jc w:val="both"/>
        <w:rPr>
          <w:i/>
          <w:i/>
          <w:szCs w:val="22"/>
        </w:rPr>
      </w:pPr>
      <w:r>
        <w:rPr>
          <w:i/>
        </w:rPr>
        <w:t>Příklad 4 – přebytkový rozpočet</w:t>
      </w:r>
    </w:p>
    <w:tbl>
      <w:tblPr>
        <w:tblW w:w="90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2688"/>
        <w:gridCol w:w="709"/>
        <w:gridCol w:w="5671"/>
      </w:tblGrid>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 w:val="20"/>
                <w:szCs w:val="20"/>
              </w:rPr>
            </w:pPr>
            <w:r>
              <w:rPr>
                <w:b/>
                <w:bCs/>
                <w:sz w:val="20"/>
                <w:szCs w:val="20"/>
              </w:rPr>
              <w:t>Popis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 w:val="20"/>
                <w:szCs w:val="20"/>
              </w:rPr>
            </w:pPr>
            <w:r>
              <w:rPr>
                <w:b/>
                <w:bCs/>
                <w:sz w:val="20"/>
                <w:szCs w:val="20"/>
              </w:rPr>
              <w:t>Kč</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 w:val="20"/>
                <w:szCs w:val="20"/>
              </w:rPr>
            </w:pPr>
            <w:r>
              <w:rPr>
                <w:b/>
                <w:bCs/>
                <w:sz w:val="20"/>
                <w:szCs w:val="20"/>
              </w:rPr>
              <w:t>Poznámka</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bCs/>
                <w:szCs w:val="22"/>
              </w:rPr>
            </w:pPr>
            <w:r>
              <w:rPr>
                <w:b/>
                <w:bCs/>
                <w:sz w:val="22"/>
              </w:rPr>
              <w:t>Příjmy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bCs/>
                <w:szCs w:val="22"/>
              </w:rPr>
            </w:pPr>
            <w:r>
              <w:rPr>
                <w:b/>
                <w:bCs/>
                <w:sz w:val="22"/>
              </w:rPr>
              <w:t>20</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bCs/>
                <w:i/>
                <w:i/>
                <w:szCs w:val="22"/>
              </w:rPr>
            </w:pPr>
            <w:r>
              <w:rPr>
                <w:bCs/>
                <w:i/>
                <w:sz w:val="22"/>
              </w:rPr>
              <w:t xml:space="preserve">Přebytkový rozpočet, přebytek ve výši 2. </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Výdaje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18</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Rozdíl mezi příjmy a výdaji</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Financování součet</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-2</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i/>
                <w:i/>
                <w:szCs w:val="22"/>
              </w:rPr>
            </w:pPr>
            <w:r>
              <w:rPr>
                <w:i/>
                <w:sz w:val="22"/>
              </w:rPr>
              <w:t xml:space="preserve">Celý přebytek rozpočtu je určen ke splátce jistiny úvěru z minulých let. Ačkoliv je rozpočet přebytkový, prostředky na účtech nepřibyly, ale zůstávají stejné jako na počátku období. </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8115</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0</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8124</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bl>
    <w:p>
      <w:pPr>
        <w:pStyle w:val="Caption1"/>
        <w:keepNext/>
        <w:rPr>
          <w:color w:val="00000A"/>
          <w:sz w:val="24"/>
          <w:szCs w:val="24"/>
        </w:rPr>
      </w:pPr>
      <w:r>
        <w:rPr>
          <w:color w:val="00000A"/>
          <w:sz w:val="24"/>
          <w:szCs w:val="24"/>
        </w:rPr>
      </w:r>
    </w:p>
    <w:p>
      <w:pPr>
        <w:pStyle w:val="Caption1"/>
        <w:keepNext/>
        <w:rPr>
          <w:color w:val="00000A"/>
          <w:sz w:val="24"/>
          <w:szCs w:val="24"/>
        </w:rPr>
      </w:pPr>
      <w:r>
        <w:rPr>
          <w:color w:val="00000A"/>
          <w:sz w:val="24"/>
          <w:szCs w:val="24"/>
        </w:rPr>
        <w:t>Příklad 5 – přebytkový rozpočet</w:t>
      </w:r>
    </w:p>
    <w:tbl>
      <w:tblPr>
        <w:tblW w:w="906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2688"/>
        <w:gridCol w:w="709"/>
        <w:gridCol w:w="5671"/>
      </w:tblGrid>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 w:val="20"/>
                <w:szCs w:val="20"/>
              </w:rPr>
            </w:pPr>
            <w:r>
              <w:rPr>
                <w:b/>
                <w:bCs/>
                <w:sz w:val="20"/>
                <w:szCs w:val="20"/>
              </w:rPr>
              <w:t>Popis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 w:val="20"/>
                <w:szCs w:val="20"/>
              </w:rPr>
            </w:pPr>
            <w:r>
              <w:rPr>
                <w:b/>
                <w:bCs/>
                <w:sz w:val="20"/>
                <w:szCs w:val="20"/>
              </w:rPr>
              <w:t>Kč</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70" w:type="dxa"/>
            </w:tcMar>
            <w:vAlign w:val="center"/>
          </w:tcPr>
          <w:p>
            <w:pPr>
              <w:pStyle w:val="Normal"/>
              <w:jc w:val="center"/>
              <w:rPr>
                <w:b/>
                <w:b/>
                <w:bCs/>
                <w:sz w:val="20"/>
                <w:szCs w:val="20"/>
              </w:rPr>
            </w:pPr>
            <w:r>
              <w:rPr>
                <w:b/>
                <w:bCs/>
                <w:sz w:val="20"/>
                <w:szCs w:val="20"/>
              </w:rPr>
              <w:t>Poznámka</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bCs/>
                <w:szCs w:val="22"/>
              </w:rPr>
            </w:pPr>
            <w:r>
              <w:rPr>
                <w:b/>
                <w:bCs/>
                <w:sz w:val="22"/>
              </w:rPr>
              <w:t>Příjmy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bCs/>
                <w:szCs w:val="22"/>
              </w:rPr>
            </w:pPr>
            <w:r>
              <w:rPr>
                <w:b/>
                <w:bCs/>
                <w:sz w:val="22"/>
              </w:rPr>
              <w:t>20</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bCs/>
                <w:i/>
                <w:i/>
                <w:szCs w:val="22"/>
              </w:rPr>
            </w:pPr>
            <w:r>
              <w:rPr>
                <w:bCs/>
                <w:i/>
                <w:sz w:val="22"/>
              </w:rPr>
              <w:t xml:space="preserve">Přebytkový rozpočet, přebytek ve výši 0,5. </w:t>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Výdaje celkem</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19,5</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340"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Rozdíl mezi příjmy a výdaji</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0,5</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Cs/>
                <w:i/>
                <w:i/>
                <w:szCs w:val="22"/>
              </w:rPr>
            </w:pPr>
            <w:r>
              <w:rPr>
                <w:bCs/>
                <w:i/>
                <w:szCs w:val="22"/>
              </w:rPr>
            </w:r>
          </w:p>
        </w:tc>
      </w:tr>
      <w:tr>
        <w:trPr>
          <w:trHeight w:val="567"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b/>
                <w:b/>
                <w:szCs w:val="22"/>
              </w:rPr>
            </w:pPr>
            <w:r>
              <w:rPr>
                <w:b/>
                <w:sz w:val="22"/>
              </w:rPr>
              <w:t>Financování součet</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b/>
                <w:b/>
                <w:szCs w:val="22"/>
              </w:rPr>
            </w:pPr>
            <w:r>
              <w:rPr>
                <w:b/>
                <w:sz w:val="22"/>
              </w:rPr>
              <w:t>-0,5</w:t>
            </w:r>
          </w:p>
        </w:tc>
        <w:tc>
          <w:tcPr>
            <w:tcW w:w="5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both"/>
              <w:rPr>
                <w:i/>
                <w:i/>
                <w:szCs w:val="22"/>
              </w:rPr>
            </w:pPr>
            <w:r>
              <w:rPr>
                <w:i/>
                <w:sz w:val="22"/>
              </w:rPr>
              <w:t>Ačkoliv je rozpočet přebytkový, peníze ubyly! Je to způsobeno tím, že vytvořený přebytek běžného roku nepokryje výši splátky jistiny úvěru čerpaného v minulých letech, proto je třeba použít i prostředky z minulých let (pokud jsou). Peníze na krátkodobých účtech poklesnou, ačkoliv je rozpočet „přebytkový“.</w:t>
            </w:r>
          </w:p>
        </w:tc>
      </w:tr>
      <w:tr>
        <w:trPr>
          <w:trHeight w:val="567"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8115</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1,5</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r>
        <w:trPr>
          <w:trHeight w:val="567" w:hRule="atLeast"/>
        </w:trPr>
        <w:tc>
          <w:tcPr>
            <w:tcW w:w="2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szCs w:val="22"/>
              </w:rPr>
            </w:pPr>
            <w:r>
              <w:rPr>
                <w:sz w:val="22"/>
              </w:rPr>
              <w:t>Položka 8124</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right"/>
              <w:rPr>
                <w:szCs w:val="22"/>
              </w:rPr>
            </w:pPr>
            <w:r>
              <w:rPr>
                <w:sz w:val="22"/>
              </w:rPr>
              <w:t>-2</w:t>
            </w:r>
          </w:p>
        </w:tc>
        <w:tc>
          <w:tcPr>
            <w:tcW w:w="5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rPr>
                <w:i/>
                <w:i/>
                <w:szCs w:val="22"/>
              </w:rPr>
            </w:pPr>
            <w:r>
              <w:rPr>
                <w:i/>
                <w:szCs w:val="22"/>
              </w:rPr>
            </w:r>
          </w:p>
        </w:tc>
      </w:tr>
    </w:tbl>
    <w:p>
      <w:pPr>
        <w:pStyle w:val="Normal"/>
        <w:spacing w:before="0" w:after="120"/>
        <w:rPr>
          <w:i/>
          <w:i/>
        </w:rPr>
      </w:pPr>
      <w:r>
        <w:rPr>
          <w:i/>
        </w:rPr>
      </w:r>
    </w:p>
    <w:p>
      <w:pPr>
        <w:pStyle w:val="Normal"/>
        <w:spacing w:before="0" w:after="120"/>
        <w:rPr>
          <w:i/>
          <w:i/>
        </w:rPr>
      </w:pPr>
      <w:r>
        <w:rPr>
          <w:i/>
        </w:rPr>
      </w:r>
    </w:p>
    <w:p>
      <w:pPr>
        <w:pStyle w:val="Normal"/>
        <w:spacing w:before="0" w:after="120"/>
        <w:rPr>
          <w:i/>
          <w:i/>
        </w:rPr>
      </w:pPr>
      <w:r>
        <w:rPr>
          <w:i/>
        </w:rPr>
      </w:r>
    </w:p>
    <w:p>
      <w:pPr>
        <w:pStyle w:val="Normal"/>
        <w:spacing w:before="0" w:after="120"/>
        <w:rPr>
          <w:i/>
          <w:i/>
        </w:rPr>
      </w:pPr>
      <w:r>
        <w:rPr>
          <w:i/>
        </w:rPr>
      </w:r>
    </w:p>
    <w:p>
      <w:pPr>
        <w:pStyle w:val="Normal"/>
        <w:spacing w:before="0" w:after="120"/>
        <w:rPr>
          <w:i/>
          <w:i/>
        </w:rPr>
      </w:pPr>
      <w:r>
        <w:rPr>
          <w:i/>
        </w:rPr>
      </w:r>
    </w:p>
    <w:p>
      <w:pPr>
        <w:pStyle w:val="Normal"/>
        <w:spacing w:before="0" w:after="120"/>
        <w:rPr>
          <w:i/>
          <w:i/>
        </w:rPr>
      </w:pPr>
      <w:r>
        <w:rPr>
          <w:i/>
        </w:rPr>
      </w:r>
    </w:p>
    <w:p>
      <w:pPr>
        <w:pStyle w:val="Normal"/>
        <w:spacing w:before="0" w:after="120"/>
        <w:rPr>
          <w:i/>
          <w:i/>
        </w:rPr>
      </w:pPr>
      <w:r>
        <w:rPr>
          <w:i/>
        </w:rPr>
      </w:r>
    </w:p>
    <w:p>
      <w:pPr>
        <w:pStyle w:val="Normal"/>
        <w:spacing w:before="0" w:after="120"/>
        <w:rPr>
          <w:i/>
          <w:i/>
        </w:rPr>
      </w:pPr>
      <w:r>
        <w:rPr>
          <w:i/>
        </w:rPr>
        <w:t xml:space="preserve">Ilustrace – jaké informace můžeme vyčíst z těchto údajů v rámci tř. 8 – financování? </w:t>
      </w:r>
    </w:p>
    <w:tbl>
      <w:tblPr>
        <w:tblW w:w="9228" w:type="dxa"/>
        <w:jc w:val="left"/>
        <w:tblInd w:w="56"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CellMar>
          <w:top w:w="0" w:type="dxa"/>
          <w:left w:w="65" w:type="dxa"/>
          <w:bottom w:w="0" w:type="dxa"/>
          <w:right w:w="70" w:type="dxa"/>
        </w:tblCellMar>
        <w:tblLook w:val="04a0" w:noVBand="1" w:noHBand="0" w:lastColumn="0" w:firstColumn="1" w:lastRow="0" w:firstRow="1"/>
      </w:tblPr>
      <w:tblGrid>
        <w:gridCol w:w="3275"/>
        <w:gridCol w:w="700"/>
        <w:gridCol w:w="1666"/>
        <w:gridCol w:w="1701"/>
        <w:gridCol w:w="1886"/>
      </w:tblGrid>
      <w:tr>
        <w:trPr>
          <w:trHeight w:val="255" w:hRule="atLeast"/>
        </w:trPr>
        <w:tc>
          <w:tcPr>
            <w:tcW w:w="327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sz w:val="22"/>
                <w:szCs w:val="22"/>
              </w:rPr>
            </w:pPr>
            <w:r>
              <w:rPr>
                <w:b/>
                <w:bCs/>
                <w:sz w:val="22"/>
                <w:szCs w:val="22"/>
              </w:rPr>
              <w:t>Položka (název)</w:t>
            </w:r>
          </w:p>
        </w:tc>
        <w:tc>
          <w:tcPr>
            <w:tcW w:w="700"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Pol.</w:t>
            </w:r>
          </w:p>
        </w:tc>
        <w:tc>
          <w:tcPr>
            <w:tcW w:w="166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SR</w:t>
            </w:r>
          </w:p>
        </w:tc>
        <w:tc>
          <w:tcPr>
            <w:tcW w:w="170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UR</w:t>
            </w:r>
          </w:p>
        </w:tc>
        <w:tc>
          <w:tcPr>
            <w:tcW w:w="188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 xml:space="preserve">Plnění </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Financování</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8000</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-750 000,00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2 206 820,66</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2 206 820,06</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krátkodobých…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-750 000,00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-720 000,00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-720 000,00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Změna stavu…</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8115</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1 126 820,66</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1 126 820,06</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Dlouhodobé přijaté půjčené…</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8123</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1 800 000,00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1 800 000,00</w:t>
            </w:r>
          </w:p>
        </w:tc>
      </w:tr>
      <w:tr>
        <w:trPr>
          <w:trHeight w:val="23" w:hRule="exact"/>
        </w:trPr>
        <w:tc>
          <w:tcPr>
            <w:tcW w:w="3275" w:type="dxa"/>
            <w:tcBorders/>
            <w:shd w:color="auto" w:fill="auto" w:val="clear"/>
            <w:vAlign w:val="center"/>
          </w:tcPr>
          <w:p>
            <w:pPr>
              <w:pStyle w:val="Normal"/>
              <w:rPr>
                <w:color w:val="000000"/>
                <w:sz w:val="22"/>
                <w:szCs w:val="22"/>
              </w:rPr>
            </w:pPr>
            <w:r>
              <w:rPr>
                <w:color w:val="000000"/>
                <w:sz w:val="22"/>
                <w:szCs w:val="22"/>
              </w:rPr>
            </w:r>
          </w:p>
        </w:tc>
        <w:tc>
          <w:tcPr>
            <w:tcW w:w="700" w:type="dxa"/>
            <w:tcBorders/>
            <w:shd w:color="auto" w:fill="auto" w:val="clear"/>
            <w:vAlign w:val="center"/>
          </w:tcPr>
          <w:p>
            <w:pPr>
              <w:pStyle w:val="Normal"/>
              <w:rPr>
                <w:color w:val="000000"/>
                <w:sz w:val="22"/>
                <w:szCs w:val="22"/>
              </w:rPr>
            </w:pPr>
            <w:r>
              <w:rPr>
                <w:color w:val="000000"/>
                <w:sz w:val="22"/>
                <w:szCs w:val="22"/>
              </w:rPr>
            </w:r>
          </w:p>
        </w:tc>
        <w:tc>
          <w:tcPr>
            <w:tcW w:w="1666" w:type="dxa"/>
            <w:tcBorders/>
            <w:shd w:color="auto" w:fill="auto" w:val="clear"/>
            <w:vAlign w:val="center"/>
          </w:tcPr>
          <w:p>
            <w:pPr>
              <w:pStyle w:val="Normal"/>
              <w:rPr>
                <w:color w:val="000000"/>
                <w:sz w:val="22"/>
                <w:szCs w:val="22"/>
              </w:rPr>
            </w:pPr>
            <w:r>
              <w:rPr>
                <w:color w:val="000000"/>
                <w:sz w:val="22"/>
                <w:szCs w:val="22"/>
              </w:rPr>
            </w:r>
          </w:p>
        </w:tc>
        <w:tc>
          <w:tcPr>
            <w:tcW w:w="1701" w:type="dxa"/>
            <w:tcBorders/>
            <w:shd w:color="auto" w:fill="auto" w:val="clear"/>
            <w:vAlign w:val="center"/>
          </w:tcPr>
          <w:p>
            <w:pPr>
              <w:pStyle w:val="Normal"/>
              <w:rPr>
                <w:color w:val="000000"/>
                <w:sz w:val="22"/>
                <w:szCs w:val="22"/>
              </w:rPr>
            </w:pPr>
            <w:r>
              <w:rPr>
                <w:color w:val="000000"/>
                <w:sz w:val="22"/>
                <w:szCs w:val="22"/>
              </w:rPr>
            </w:r>
          </w:p>
        </w:tc>
        <w:tc>
          <w:tcPr>
            <w:tcW w:w="1886" w:type="dxa"/>
            <w:tcBorders/>
            <w:shd w:color="auto" w:fill="auto" w:val="clear"/>
            <w:vAlign w:val="center"/>
          </w:tcPr>
          <w:p>
            <w:pPr>
              <w:pStyle w:val="Normal"/>
              <w:rPr>
                <w:color w:val="000000"/>
                <w:sz w:val="22"/>
                <w:szCs w:val="22"/>
              </w:rPr>
            </w:pPr>
            <w:r>
              <w:rPr>
                <w:color w:val="000000"/>
                <w:sz w:val="22"/>
                <w:szCs w:val="22"/>
              </w:rPr>
            </w:r>
          </w:p>
        </w:tc>
      </w:tr>
      <w:tr>
        <w:trPr>
          <w:trHeight w:val="255" w:hRule="atLeast"/>
        </w:trPr>
        <w:tc>
          <w:tcPr>
            <w:tcW w:w="327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sz w:val="22"/>
                <w:szCs w:val="22"/>
              </w:rPr>
            </w:pPr>
            <w:r>
              <w:rPr>
                <w:b/>
                <w:bCs/>
                <w:sz w:val="22"/>
                <w:szCs w:val="22"/>
              </w:rPr>
              <w:t>Položka (název)</w:t>
            </w:r>
          </w:p>
        </w:tc>
        <w:tc>
          <w:tcPr>
            <w:tcW w:w="700"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Pol.</w:t>
            </w:r>
          </w:p>
        </w:tc>
        <w:tc>
          <w:tcPr>
            <w:tcW w:w="166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SR</w:t>
            </w:r>
          </w:p>
        </w:tc>
        <w:tc>
          <w:tcPr>
            <w:tcW w:w="170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UR</w:t>
            </w:r>
          </w:p>
        </w:tc>
        <w:tc>
          <w:tcPr>
            <w:tcW w:w="188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 xml:space="preserve">Plnění </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Financování</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8000</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2 250 000,00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22 279 000,00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3 520 620,12</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Změna stavu…</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8115</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2 500 000,00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2 500 000,00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-4 966 170,82</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Dlouhodobé přijaté půjčené…</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8123</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20 000 000,00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8 706 973,14</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dlouhodobých…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-250 000,00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-221 000,00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-220 182,20</w:t>
            </w:r>
          </w:p>
        </w:tc>
      </w:tr>
      <w:tr>
        <w:trPr>
          <w:trHeight w:val="23" w:hRule="exact"/>
        </w:trPr>
        <w:tc>
          <w:tcPr>
            <w:tcW w:w="3275" w:type="dxa"/>
            <w:tcBorders/>
            <w:shd w:color="auto" w:fill="auto" w:val="clear"/>
            <w:vAlign w:val="center"/>
          </w:tcPr>
          <w:p>
            <w:pPr>
              <w:pStyle w:val="Normal"/>
              <w:rPr>
                <w:color w:val="000000"/>
                <w:sz w:val="22"/>
                <w:szCs w:val="22"/>
              </w:rPr>
            </w:pPr>
            <w:r>
              <w:rPr>
                <w:color w:val="000000"/>
                <w:sz w:val="22"/>
                <w:szCs w:val="22"/>
              </w:rPr>
            </w:r>
          </w:p>
        </w:tc>
        <w:tc>
          <w:tcPr>
            <w:tcW w:w="700" w:type="dxa"/>
            <w:tcBorders/>
            <w:shd w:color="auto" w:fill="auto" w:val="clear"/>
            <w:vAlign w:val="center"/>
          </w:tcPr>
          <w:p>
            <w:pPr>
              <w:pStyle w:val="Normal"/>
              <w:rPr>
                <w:color w:val="000000"/>
                <w:sz w:val="22"/>
                <w:szCs w:val="22"/>
              </w:rPr>
            </w:pPr>
            <w:r>
              <w:rPr>
                <w:color w:val="000000"/>
                <w:sz w:val="22"/>
                <w:szCs w:val="22"/>
              </w:rPr>
            </w:r>
          </w:p>
        </w:tc>
        <w:tc>
          <w:tcPr>
            <w:tcW w:w="1666" w:type="dxa"/>
            <w:tcBorders/>
            <w:shd w:color="auto" w:fill="auto" w:val="clear"/>
            <w:vAlign w:val="center"/>
          </w:tcPr>
          <w:p>
            <w:pPr>
              <w:pStyle w:val="Normal"/>
              <w:rPr>
                <w:color w:val="000000"/>
                <w:sz w:val="22"/>
                <w:szCs w:val="22"/>
              </w:rPr>
            </w:pPr>
            <w:r>
              <w:rPr>
                <w:color w:val="000000"/>
                <w:sz w:val="22"/>
                <w:szCs w:val="22"/>
              </w:rPr>
            </w:r>
          </w:p>
        </w:tc>
        <w:tc>
          <w:tcPr>
            <w:tcW w:w="1701" w:type="dxa"/>
            <w:tcBorders/>
            <w:shd w:color="auto" w:fill="auto" w:val="clear"/>
            <w:vAlign w:val="center"/>
          </w:tcPr>
          <w:p>
            <w:pPr>
              <w:pStyle w:val="Normal"/>
              <w:rPr>
                <w:color w:val="000000"/>
                <w:sz w:val="22"/>
                <w:szCs w:val="22"/>
              </w:rPr>
            </w:pPr>
            <w:r>
              <w:rPr>
                <w:color w:val="000000"/>
                <w:sz w:val="22"/>
                <w:szCs w:val="22"/>
              </w:rPr>
            </w:r>
          </w:p>
        </w:tc>
        <w:tc>
          <w:tcPr>
            <w:tcW w:w="1886" w:type="dxa"/>
            <w:tcBorders/>
            <w:shd w:color="auto" w:fill="auto" w:val="clear"/>
            <w:vAlign w:val="center"/>
          </w:tcPr>
          <w:p>
            <w:pPr>
              <w:pStyle w:val="Normal"/>
              <w:rPr>
                <w:color w:val="000000"/>
                <w:sz w:val="22"/>
                <w:szCs w:val="22"/>
              </w:rPr>
            </w:pPr>
            <w:r>
              <w:rPr>
                <w:color w:val="000000"/>
                <w:sz w:val="22"/>
                <w:szCs w:val="22"/>
              </w:rPr>
            </w:r>
          </w:p>
        </w:tc>
      </w:tr>
      <w:tr>
        <w:trPr>
          <w:trHeight w:val="255" w:hRule="atLeast"/>
        </w:trPr>
        <w:tc>
          <w:tcPr>
            <w:tcW w:w="327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sz w:val="22"/>
                <w:szCs w:val="22"/>
              </w:rPr>
            </w:pPr>
            <w:r>
              <w:rPr>
                <w:b/>
                <w:bCs/>
                <w:sz w:val="22"/>
                <w:szCs w:val="22"/>
              </w:rPr>
              <w:t>Položka (název)</w:t>
            </w:r>
          </w:p>
        </w:tc>
        <w:tc>
          <w:tcPr>
            <w:tcW w:w="700"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Pol.</w:t>
            </w:r>
          </w:p>
        </w:tc>
        <w:tc>
          <w:tcPr>
            <w:tcW w:w="166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SR</w:t>
            </w:r>
          </w:p>
        </w:tc>
        <w:tc>
          <w:tcPr>
            <w:tcW w:w="170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UR</w:t>
            </w:r>
          </w:p>
        </w:tc>
        <w:tc>
          <w:tcPr>
            <w:tcW w:w="188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 xml:space="preserve">Plnění </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Financování</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8000</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4 335 800,00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4 335 800,00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-1 573 997,77</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Změna stavu…</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8115</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5 035 800,00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5 035 800,00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-873 989,77</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dlouhodobých…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-700 000,00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-700 008,00</w:t>
            </w:r>
          </w:p>
        </w:tc>
      </w:tr>
      <w:tr>
        <w:trPr>
          <w:trHeight w:val="23" w:hRule="exact"/>
        </w:trPr>
        <w:tc>
          <w:tcPr>
            <w:tcW w:w="3275" w:type="dxa"/>
            <w:tcBorders/>
            <w:shd w:color="auto" w:fill="auto" w:val="clear"/>
            <w:vAlign w:val="center"/>
          </w:tcPr>
          <w:p>
            <w:pPr>
              <w:pStyle w:val="Normal"/>
              <w:rPr>
                <w:color w:val="000000"/>
                <w:sz w:val="22"/>
                <w:szCs w:val="22"/>
              </w:rPr>
            </w:pPr>
            <w:r>
              <w:rPr>
                <w:color w:val="000000"/>
                <w:sz w:val="22"/>
                <w:szCs w:val="22"/>
              </w:rPr>
            </w:r>
          </w:p>
        </w:tc>
        <w:tc>
          <w:tcPr>
            <w:tcW w:w="700" w:type="dxa"/>
            <w:tcBorders/>
            <w:shd w:color="auto" w:fill="auto" w:val="clear"/>
            <w:vAlign w:val="center"/>
          </w:tcPr>
          <w:p>
            <w:pPr>
              <w:pStyle w:val="Normal"/>
              <w:rPr>
                <w:color w:val="000000"/>
                <w:sz w:val="22"/>
                <w:szCs w:val="22"/>
              </w:rPr>
            </w:pPr>
            <w:r>
              <w:rPr>
                <w:color w:val="000000"/>
                <w:sz w:val="22"/>
                <w:szCs w:val="22"/>
              </w:rPr>
            </w:r>
          </w:p>
        </w:tc>
        <w:tc>
          <w:tcPr>
            <w:tcW w:w="1666" w:type="dxa"/>
            <w:tcBorders/>
            <w:shd w:color="auto" w:fill="auto" w:val="clear"/>
            <w:vAlign w:val="center"/>
          </w:tcPr>
          <w:p>
            <w:pPr>
              <w:pStyle w:val="Normal"/>
              <w:rPr>
                <w:color w:val="000000"/>
                <w:sz w:val="22"/>
                <w:szCs w:val="22"/>
              </w:rPr>
            </w:pPr>
            <w:r>
              <w:rPr>
                <w:color w:val="000000"/>
                <w:sz w:val="22"/>
                <w:szCs w:val="22"/>
              </w:rPr>
            </w:r>
          </w:p>
        </w:tc>
        <w:tc>
          <w:tcPr>
            <w:tcW w:w="1701" w:type="dxa"/>
            <w:tcBorders/>
            <w:shd w:color="auto" w:fill="auto" w:val="clear"/>
            <w:vAlign w:val="center"/>
          </w:tcPr>
          <w:p>
            <w:pPr>
              <w:pStyle w:val="Normal"/>
              <w:rPr>
                <w:color w:val="000000"/>
                <w:sz w:val="22"/>
                <w:szCs w:val="22"/>
              </w:rPr>
            </w:pPr>
            <w:r>
              <w:rPr>
                <w:color w:val="000000"/>
                <w:sz w:val="22"/>
                <w:szCs w:val="22"/>
              </w:rPr>
            </w:r>
          </w:p>
        </w:tc>
        <w:tc>
          <w:tcPr>
            <w:tcW w:w="1886" w:type="dxa"/>
            <w:tcBorders/>
            <w:shd w:color="auto" w:fill="auto" w:val="clear"/>
            <w:vAlign w:val="center"/>
          </w:tcPr>
          <w:p>
            <w:pPr>
              <w:pStyle w:val="Normal"/>
              <w:rPr>
                <w:color w:val="000000"/>
                <w:sz w:val="22"/>
                <w:szCs w:val="22"/>
              </w:rPr>
            </w:pPr>
            <w:r>
              <w:rPr>
                <w:color w:val="000000"/>
                <w:sz w:val="22"/>
                <w:szCs w:val="22"/>
              </w:rPr>
            </w:r>
          </w:p>
        </w:tc>
      </w:tr>
      <w:tr>
        <w:trPr>
          <w:trHeight w:val="255" w:hRule="atLeast"/>
        </w:trPr>
        <w:tc>
          <w:tcPr>
            <w:tcW w:w="327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sz w:val="22"/>
                <w:szCs w:val="22"/>
              </w:rPr>
            </w:pPr>
            <w:r>
              <w:rPr>
                <w:b/>
                <w:bCs/>
                <w:sz w:val="22"/>
                <w:szCs w:val="22"/>
              </w:rPr>
              <w:t>Položka (název)</w:t>
            </w:r>
          </w:p>
        </w:tc>
        <w:tc>
          <w:tcPr>
            <w:tcW w:w="700"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Pol.</w:t>
            </w:r>
          </w:p>
        </w:tc>
        <w:tc>
          <w:tcPr>
            <w:tcW w:w="166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SR</w:t>
            </w:r>
          </w:p>
        </w:tc>
        <w:tc>
          <w:tcPr>
            <w:tcW w:w="170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UR</w:t>
            </w:r>
          </w:p>
        </w:tc>
        <w:tc>
          <w:tcPr>
            <w:tcW w:w="188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 xml:space="preserve">Plnění </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Financování</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8000</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-9 851 100,00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-16 540 100,00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-32 845 143,38</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Změna stavu…</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8115</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-3 851 100,00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-10 540 100,00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-26 797 712,38</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dlouhodobých…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-6 000 000,00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-6 000 000,00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-6 000 000,00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Operace z peněžních účtů…</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8901</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-47 431,00</w:t>
            </w:r>
          </w:p>
        </w:tc>
      </w:tr>
      <w:tr>
        <w:trPr>
          <w:trHeight w:val="23" w:hRule="exact"/>
        </w:trPr>
        <w:tc>
          <w:tcPr>
            <w:tcW w:w="3275" w:type="dxa"/>
            <w:tcBorders/>
            <w:shd w:color="auto" w:fill="auto" w:val="clear"/>
            <w:vAlign w:val="center"/>
          </w:tcPr>
          <w:p>
            <w:pPr>
              <w:pStyle w:val="Normal"/>
              <w:rPr>
                <w:color w:val="000000"/>
                <w:sz w:val="22"/>
                <w:szCs w:val="22"/>
              </w:rPr>
            </w:pPr>
            <w:r>
              <w:rPr>
                <w:color w:val="000000"/>
                <w:sz w:val="22"/>
                <w:szCs w:val="22"/>
              </w:rPr>
            </w:r>
          </w:p>
        </w:tc>
        <w:tc>
          <w:tcPr>
            <w:tcW w:w="700" w:type="dxa"/>
            <w:tcBorders/>
            <w:shd w:color="auto" w:fill="auto" w:val="clear"/>
            <w:vAlign w:val="center"/>
          </w:tcPr>
          <w:p>
            <w:pPr>
              <w:pStyle w:val="Normal"/>
              <w:rPr>
                <w:color w:val="000000"/>
                <w:sz w:val="22"/>
                <w:szCs w:val="22"/>
              </w:rPr>
            </w:pPr>
            <w:r>
              <w:rPr>
                <w:color w:val="000000"/>
                <w:sz w:val="22"/>
                <w:szCs w:val="22"/>
              </w:rPr>
            </w:r>
          </w:p>
        </w:tc>
        <w:tc>
          <w:tcPr>
            <w:tcW w:w="1666" w:type="dxa"/>
            <w:tcBorders/>
            <w:shd w:color="auto" w:fill="auto" w:val="clear"/>
            <w:vAlign w:val="center"/>
          </w:tcPr>
          <w:p>
            <w:pPr>
              <w:pStyle w:val="Normal"/>
              <w:rPr>
                <w:color w:val="000000"/>
                <w:sz w:val="22"/>
                <w:szCs w:val="22"/>
              </w:rPr>
            </w:pPr>
            <w:r>
              <w:rPr>
                <w:color w:val="000000"/>
                <w:sz w:val="22"/>
                <w:szCs w:val="22"/>
              </w:rPr>
            </w:r>
          </w:p>
        </w:tc>
        <w:tc>
          <w:tcPr>
            <w:tcW w:w="1701" w:type="dxa"/>
            <w:tcBorders/>
            <w:shd w:color="auto" w:fill="auto" w:val="clear"/>
            <w:vAlign w:val="center"/>
          </w:tcPr>
          <w:p>
            <w:pPr>
              <w:pStyle w:val="Normal"/>
              <w:rPr>
                <w:color w:val="000000"/>
                <w:sz w:val="22"/>
                <w:szCs w:val="22"/>
              </w:rPr>
            </w:pPr>
            <w:r>
              <w:rPr>
                <w:color w:val="000000"/>
                <w:sz w:val="22"/>
                <w:szCs w:val="22"/>
              </w:rPr>
            </w:r>
          </w:p>
        </w:tc>
        <w:tc>
          <w:tcPr>
            <w:tcW w:w="1886" w:type="dxa"/>
            <w:tcBorders/>
            <w:shd w:color="auto" w:fill="auto" w:val="clear"/>
            <w:vAlign w:val="center"/>
          </w:tcPr>
          <w:p>
            <w:pPr>
              <w:pStyle w:val="Normal"/>
              <w:rPr>
                <w:color w:val="000000"/>
                <w:sz w:val="22"/>
                <w:szCs w:val="22"/>
              </w:rPr>
            </w:pPr>
            <w:r>
              <w:rPr>
                <w:color w:val="000000"/>
                <w:sz w:val="22"/>
                <w:szCs w:val="22"/>
              </w:rPr>
            </w:r>
          </w:p>
        </w:tc>
      </w:tr>
      <w:tr>
        <w:trPr>
          <w:trHeight w:val="255" w:hRule="atLeast"/>
        </w:trPr>
        <w:tc>
          <w:tcPr>
            <w:tcW w:w="327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sz w:val="22"/>
                <w:szCs w:val="22"/>
              </w:rPr>
            </w:pPr>
            <w:r>
              <w:rPr>
                <w:b/>
                <w:bCs/>
                <w:sz w:val="22"/>
                <w:szCs w:val="22"/>
              </w:rPr>
              <w:t>Položka (název)</w:t>
            </w:r>
          </w:p>
        </w:tc>
        <w:tc>
          <w:tcPr>
            <w:tcW w:w="700"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Pol.</w:t>
            </w:r>
          </w:p>
        </w:tc>
        <w:tc>
          <w:tcPr>
            <w:tcW w:w="166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SR</w:t>
            </w:r>
          </w:p>
        </w:tc>
        <w:tc>
          <w:tcPr>
            <w:tcW w:w="170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UR</w:t>
            </w:r>
          </w:p>
        </w:tc>
        <w:tc>
          <w:tcPr>
            <w:tcW w:w="188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 xml:space="preserve">Plnění </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Financování</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8000</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26 935 430,00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78 594 337,74</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2 808 254,01</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Změna stavu…</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8115</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32 360 530,00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84 019 437,74</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5 671 059,20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dlouhodobých…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-5 425 100,00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-5 425 100,00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-3 949 880,00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Operace z peněžních účtů…</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8901</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1 087 074,81</w:t>
            </w:r>
          </w:p>
        </w:tc>
      </w:tr>
      <w:tr>
        <w:trPr>
          <w:trHeight w:val="23" w:hRule="exact"/>
        </w:trPr>
        <w:tc>
          <w:tcPr>
            <w:tcW w:w="3275" w:type="dxa"/>
            <w:tcBorders/>
            <w:shd w:color="auto" w:fill="auto" w:val="clear"/>
            <w:vAlign w:val="center"/>
          </w:tcPr>
          <w:p>
            <w:pPr>
              <w:pStyle w:val="Normal"/>
              <w:rPr>
                <w:color w:val="000000"/>
                <w:sz w:val="22"/>
                <w:szCs w:val="22"/>
              </w:rPr>
            </w:pPr>
            <w:r>
              <w:rPr>
                <w:color w:val="000000"/>
                <w:sz w:val="22"/>
                <w:szCs w:val="22"/>
              </w:rPr>
            </w:r>
          </w:p>
        </w:tc>
        <w:tc>
          <w:tcPr>
            <w:tcW w:w="700" w:type="dxa"/>
            <w:tcBorders/>
            <w:shd w:color="auto" w:fill="auto" w:val="clear"/>
            <w:vAlign w:val="center"/>
          </w:tcPr>
          <w:p>
            <w:pPr>
              <w:pStyle w:val="Normal"/>
              <w:rPr>
                <w:color w:val="000000"/>
                <w:sz w:val="22"/>
                <w:szCs w:val="22"/>
              </w:rPr>
            </w:pPr>
            <w:r>
              <w:rPr>
                <w:color w:val="000000"/>
                <w:sz w:val="22"/>
                <w:szCs w:val="22"/>
              </w:rPr>
            </w:r>
          </w:p>
        </w:tc>
        <w:tc>
          <w:tcPr>
            <w:tcW w:w="1666" w:type="dxa"/>
            <w:tcBorders/>
            <w:shd w:color="auto" w:fill="auto" w:val="clear"/>
            <w:vAlign w:val="center"/>
          </w:tcPr>
          <w:p>
            <w:pPr>
              <w:pStyle w:val="Normal"/>
              <w:rPr>
                <w:color w:val="000000"/>
                <w:sz w:val="22"/>
                <w:szCs w:val="22"/>
              </w:rPr>
            </w:pPr>
            <w:r>
              <w:rPr>
                <w:color w:val="000000"/>
                <w:sz w:val="22"/>
                <w:szCs w:val="22"/>
              </w:rPr>
            </w:r>
          </w:p>
        </w:tc>
        <w:tc>
          <w:tcPr>
            <w:tcW w:w="1701" w:type="dxa"/>
            <w:tcBorders/>
            <w:shd w:color="auto" w:fill="auto" w:val="clear"/>
            <w:vAlign w:val="center"/>
          </w:tcPr>
          <w:p>
            <w:pPr>
              <w:pStyle w:val="Normal"/>
              <w:rPr>
                <w:color w:val="000000"/>
                <w:sz w:val="22"/>
                <w:szCs w:val="22"/>
              </w:rPr>
            </w:pPr>
            <w:r>
              <w:rPr>
                <w:color w:val="000000"/>
                <w:sz w:val="22"/>
                <w:szCs w:val="22"/>
              </w:rPr>
            </w:r>
          </w:p>
        </w:tc>
        <w:tc>
          <w:tcPr>
            <w:tcW w:w="1886" w:type="dxa"/>
            <w:tcBorders/>
            <w:shd w:color="auto" w:fill="auto" w:val="clear"/>
            <w:vAlign w:val="center"/>
          </w:tcPr>
          <w:p>
            <w:pPr>
              <w:pStyle w:val="Normal"/>
              <w:rPr>
                <w:color w:val="000000"/>
                <w:sz w:val="22"/>
                <w:szCs w:val="22"/>
              </w:rPr>
            </w:pPr>
            <w:r>
              <w:rPr>
                <w:color w:val="000000"/>
                <w:sz w:val="22"/>
                <w:szCs w:val="22"/>
              </w:rPr>
            </w:r>
          </w:p>
        </w:tc>
      </w:tr>
      <w:tr>
        <w:trPr>
          <w:trHeight w:val="255" w:hRule="atLeast"/>
        </w:trPr>
        <w:tc>
          <w:tcPr>
            <w:tcW w:w="3275" w:type="dxa"/>
            <w:tcBorders>
              <w:top w:val="single" w:sz="4" w:space="0" w:color="333333"/>
              <w:left w:val="single" w:sz="4" w:space="0" w:color="333333"/>
              <w:bottom w:val="single" w:sz="4" w:space="0" w:color="333333"/>
              <w:right w:val="single" w:sz="4" w:space="0" w:color="333333"/>
              <w:insideH w:val="single" w:sz="4" w:space="0" w:color="333333"/>
              <w:insideV w:val="single" w:sz="4" w:space="0" w:color="333333"/>
            </w:tcBorders>
            <w:shd w:color="000000" w:fill="C0C0C0" w:val="clear"/>
            <w:tcMar>
              <w:left w:w="65" w:type="dxa"/>
            </w:tcMar>
            <w:vAlign w:val="center"/>
          </w:tcPr>
          <w:p>
            <w:pPr>
              <w:pStyle w:val="Normal"/>
              <w:jc w:val="center"/>
              <w:rPr>
                <w:b/>
                <w:b/>
                <w:bCs/>
                <w:sz w:val="22"/>
                <w:szCs w:val="22"/>
              </w:rPr>
            </w:pPr>
            <w:r>
              <w:rPr>
                <w:b/>
                <w:bCs/>
                <w:sz w:val="22"/>
                <w:szCs w:val="22"/>
              </w:rPr>
              <w:t>Položka (název)</w:t>
            </w:r>
          </w:p>
        </w:tc>
        <w:tc>
          <w:tcPr>
            <w:tcW w:w="700"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Pol.</w:t>
            </w:r>
          </w:p>
        </w:tc>
        <w:tc>
          <w:tcPr>
            <w:tcW w:w="166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SR</w:t>
            </w:r>
          </w:p>
        </w:tc>
        <w:tc>
          <w:tcPr>
            <w:tcW w:w="1701"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UR</w:t>
            </w:r>
          </w:p>
        </w:tc>
        <w:tc>
          <w:tcPr>
            <w:tcW w:w="1886" w:type="dxa"/>
            <w:tcBorders>
              <w:top w:val="single" w:sz="4" w:space="0" w:color="333333"/>
              <w:bottom w:val="single" w:sz="4" w:space="0" w:color="333333"/>
              <w:right w:val="single" w:sz="4" w:space="0" w:color="333333"/>
              <w:insideH w:val="single" w:sz="4" w:space="0" w:color="333333"/>
              <w:insideV w:val="single" w:sz="4" w:space="0" w:color="333333"/>
            </w:tcBorders>
            <w:shd w:color="000000" w:fill="C0C0C0" w:val="clear"/>
            <w:vAlign w:val="center"/>
          </w:tcPr>
          <w:p>
            <w:pPr>
              <w:pStyle w:val="Normal"/>
              <w:jc w:val="center"/>
              <w:rPr>
                <w:b/>
                <w:b/>
                <w:bCs/>
                <w:sz w:val="22"/>
                <w:szCs w:val="22"/>
              </w:rPr>
            </w:pPr>
            <w:r>
              <w:rPr>
                <w:b/>
                <w:bCs/>
                <w:sz w:val="22"/>
                <w:szCs w:val="22"/>
              </w:rPr>
              <w:t xml:space="preserve">Plnění </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Financování</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8000</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283 362 000,00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237 063 000,00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-1 653 485 103,55</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Krátkodobé přijaté půjčené…</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8113</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800 000 000,00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800 000 000,00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320 000 000,00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krátkodobých…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-960 000 000,00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-960 000 000,00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-480 000 000,00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Změna stavu…</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8115</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683 952 000,00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637 653 000,00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-1 716 916 402,34</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Aktivní krátkodobé operace…</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8117</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1 165 911 060,72</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Aktivní krátkodobé operace…</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8118</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-700 412 849,31</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dlouhodobých…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8124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-15 590 000,00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-15 590 000,00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-15 590 000,00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Uhrazené splátky dlouhodobých…</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8224</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-225 000 000,00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-225 000 000,00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-225 000 000,00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Operace z peněžních účtů…</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8901</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-1 471 524,90</w:t>
            </w:r>
          </w:p>
        </w:tc>
      </w:tr>
      <w:tr>
        <w:trPr>
          <w:trHeight w:val="255" w:hRule="atLeast"/>
        </w:trPr>
        <w:tc>
          <w:tcPr>
            <w:tcW w:w="3275" w:type="dxa"/>
            <w:tcBorders>
              <w:left w:val="single" w:sz="4" w:space="0" w:color="333333"/>
              <w:bottom w:val="single" w:sz="4" w:space="0" w:color="333333"/>
              <w:right w:val="single" w:sz="4" w:space="0" w:color="333333"/>
              <w:insideH w:val="single" w:sz="4" w:space="0" w:color="333333"/>
              <w:insideV w:val="single" w:sz="4" w:space="0" w:color="333333"/>
            </w:tcBorders>
            <w:shd w:color="auto" w:fill="auto" w:val="clear"/>
            <w:tcMar>
              <w:left w:w="65" w:type="dxa"/>
            </w:tcMar>
            <w:vAlign w:val="center"/>
          </w:tcPr>
          <w:p>
            <w:pPr>
              <w:pStyle w:val="Normal"/>
              <w:rPr>
                <w:sz w:val="22"/>
                <w:szCs w:val="22"/>
              </w:rPr>
            </w:pPr>
            <w:r>
              <w:rPr>
                <w:sz w:val="22"/>
                <w:szCs w:val="22"/>
              </w:rPr>
              <w:t>Nerealizované kursové rozdíly…</w:t>
            </w:r>
          </w:p>
        </w:tc>
        <w:tc>
          <w:tcPr>
            <w:tcW w:w="700"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rPr>
                <w:sz w:val="22"/>
                <w:szCs w:val="22"/>
              </w:rPr>
            </w:pPr>
            <w:r>
              <w:rPr>
                <w:sz w:val="22"/>
                <w:szCs w:val="22"/>
              </w:rPr>
              <w:t>8902</w:t>
            </w:r>
          </w:p>
        </w:tc>
        <w:tc>
          <w:tcPr>
            <w:tcW w:w="166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701"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0,00</w:t>
            </w:r>
          </w:p>
        </w:tc>
        <w:tc>
          <w:tcPr>
            <w:tcW w:w="1886" w:type="dxa"/>
            <w:tcBorders>
              <w:bottom w:val="single" w:sz="4" w:space="0" w:color="333333"/>
              <w:right w:val="single" w:sz="4" w:space="0" w:color="333333"/>
              <w:insideH w:val="single" w:sz="4" w:space="0" w:color="333333"/>
              <w:insideV w:val="single" w:sz="4" w:space="0" w:color="333333"/>
            </w:tcBorders>
            <w:shd w:color="auto" w:fill="auto" w:val="clear"/>
            <w:vAlign w:val="center"/>
          </w:tcPr>
          <w:p>
            <w:pPr>
              <w:pStyle w:val="Normal"/>
              <w:jc w:val="right"/>
              <w:rPr>
                <w:sz w:val="22"/>
                <w:szCs w:val="22"/>
              </w:rPr>
            </w:pPr>
            <w:r>
              <w:rPr>
                <w:sz w:val="22"/>
                <w:szCs w:val="22"/>
              </w:rPr>
              <w:t>-5 387,72</w:t>
            </w:r>
          </w:p>
        </w:tc>
      </w:tr>
    </w:tbl>
    <w:p>
      <w:pPr>
        <w:pStyle w:val="Normal"/>
        <w:rPr/>
      </w:pPr>
      <w:r>
        <w:rPr/>
      </w:r>
    </w:p>
    <w:p>
      <w:pPr>
        <w:pStyle w:val="Normal"/>
        <w:rPr/>
      </w:pPr>
      <w:r>
        <w:rPr/>
      </w:r>
    </w:p>
    <w:p>
      <w:pPr>
        <w:pStyle w:val="Normal"/>
        <w:rPr/>
      </w:pPr>
      <w:r>
        <w:rPr/>
      </w:r>
    </w:p>
    <w:sectPr>
      <w:footerReference w:type="default" r:id="rId22"/>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7949008"/>
    </w:sdtPr>
    <w:sdtContent>
      <w:p>
        <w:pPr>
          <w:pStyle w:val="Footer"/>
          <w:jc w:val="center"/>
          <w:rPr/>
        </w:pPr>
        <w:r>
          <w:rPr>
            <w:sz w:val="20"/>
            <w:szCs w:val="20"/>
          </w:rPr>
          <w:fldChar w:fldCharType="begin"/>
        </w:r>
        <w:r>
          <w:instrText> PAGE </w:instrText>
        </w:r>
        <w:r>
          <w:fldChar w:fldCharType="separate"/>
        </w:r>
        <w:r>
          <w:t>43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7"/>
      <w:numFmt w:val="bullet"/>
      <w:lvlText w:val="-"/>
      <w:lvlJc w:val="left"/>
      <w:pPr>
        <w:ind w:left="720" w:hanging="360"/>
      </w:pPr>
      <w:rPr>
        <w:rFonts w:ascii="Times New Roman" w:hAnsi="Times New Roman" w:cs="Times New Roman"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360" w:hanging="360"/>
      </w:pPr>
      <w:rPr>
        <w:rFonts w:ascii="Wingdings" w:hAnsi="Wingdings" w:cs="Wingdings" w:hint="default"/>
        <w:sz w:val="24"/>
        <w:szCs w:val="24"/>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decimal"/>
      <w:lvlText w:val="(%7)"/>
      <w:lvlJc w:val="left"/>
      <w:pPr>
        <w:tabs>
          <w:tab w:val="num" w:pos="5040"/>
        </w:tabs>
        <w:ind w:left="5040" w:hanging="360"/>
      </w:pPr>
      <w:rPr>
        <w:rFonts w:eastAsia="Times New Roman" w:cs="Times New Roman"/>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890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3"/>
      <w:numFmt w:val="decimal"/>
      <w:lvlText w:val="(%1)"/>
      <w:lvlJc w:val="left"/>
      <w:pPr>
        <w:ind w:left="502" w:hanging="360"/>
      </w:pPr>
      <w:rPr>
        <w:u w:val="none"/>
        <w:rFonts w:eastAsia="Times New Roman"/>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360" w:hanging="360"/>
      </w:pPr>
      <w:rPr>
        <w:rFonts w:ascii="Wingdings" w:hAnsi="Wingdings" w:cs="Wingdings" w:hint="default"/>
        <w:sz w:val="24"/>
        <w:szCs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decimal"/>
      <w:lvlText w:val="(%7)"/>
      <w:lvlJc w:val="left"/>
      <w:pPr>
        <w:ind w:left="5040" w:hanging="360"/>
      </w:pPr>
      <w:rPr>
        <w:rFonts w:eastAsia="Times New Roman" w:cs="Times New Roman"/>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423" w:hanging="360"/>
      </w:pPr>
      <w:rPr>
        <w:rFonts w:ascii="Symbol" w:hAnsi="Symbol" w:cs="Symbol" w:hint="default"/>
      </w:rPr>
    </w:lvl>
    <w:lvl w:ilvl="1">
      <w:start w:val="1"/>
      <w:numFmt w:val="bullet"/>
      <w:lvlText w:val="o"/>
      <w:lvlJc w:val="left"/>
      <w:pPr>
        <w:ind w:left="2143" w:hanging="360"/>
      </w:pPr>
      <w:rPr>
        <w:rFonts w:ascii="Courier New" w:hAnsi="Courier New" w:cs="Courier New" w:hint="default"/>
        <w:rFonts w:cs="Courier New"/>
      </w:rPr>
    </w:lvl>
    <w:lvl w:ilvl="2">
      <w:start w:val="1"/>
      <w:numFmt w:val="bullet"/>
      <w:lvlText w:val=""/>
      <w:lvlJc w:val="left"/>
      <w:pPr>
        <w:ind w:left="2863" w:hanging="360"/>
      </w:pPr>
      <w:rPr>
        <w:rFonts w:ascii="Wingdings" w:hAnsi="Wingdings" w:cs="Wingdings" w:hint="default"/>
      </w:rPr>
    </w:lvl>
    <w:lvl w:ilvl="3">
      <w:start w:val="1"/>
      <w:numFmt w:val="bullet"/>
      <w:lvlText w:val=""/>
      <w:lvlJc w:val="left"/>
      <w:pPr>
        <w:ind w:left="3583" w:hanging="360"/>
      </w:pPr>
      <w:rPr>
        <w:rFonts w:ascii="Symbol" w:hAnsi="Symbol" w:cs="Symbol" w:hint="default"/>
      </w:rPr>
    </w:lvl>
    <w:lvl w:ilvl="4">
      <w:start w:val="1"/>
      <w:numFmt w:val="bullet"/>
      <w:lvlText w:val="o"/>
      <w:lvlJc w:val="left"/>
      <w:pPr>
        <w:ind w:left="4303" w:hanging="360"/>
      </w:pPr>
      <w:rPr>
        <w:rFonts w:ascii="Courier New" w:hAnsi="Courier New" w:cs="Courier New" w:hint="default"/>
        <w:rFonts w:cs="Courier New"/>
      </w:rPr>
    </w:lvl>
    <w:lvl w:ilvl="5">
      <w:start w:val="1"/>
      <w:numFmt w:val="bullet"/>
      <w:lvlText w:val=""/>
      <w:lvlJc w:val="left"/>
      <w:pPr>
        <w:ind w:left="5023" w:hanging="360"/>
      </w:pPr>
      <w:rPr>
        <w:rFonts w:ascii="Wingdings" w:hAnsi="Wingdings" w:cs="Wingdings" w:hint="default"/>
      </w:rPr>
    </w:lvl>
    <w:lvl w:ilvl="6">
      <w:start w:val="1"/>
      <w:numFmt w:val="bullet"/>
      <w:lvlText w:val=""/>
      <w:lvlJc w:val="left"/>
      <w:pPr>
        <w:ind w:left="5743" w:hanging="360"/>
      </w:pPr>
      <w:rPr>
        <w:rFonts w:ascii="Symbol" w:hAnsi="Symbol" w:cs="Symbol" w:hint="default"/>
      </w:rPr>
    </w:lvl>
    <w:lvl w:ilvl="7">
      <w:start w:val="1"/>
      <w:numFmt w:val="bullet"/>
      <w:lvlText w:val="o"/>
      <w:lvlJc w:val="left"/>
      <w:pPr>
        <w:ind w:left="6463" w:hanging="360"/>
      </w:pPr>
      <w:rPr>
        <w:rFonts w:ascii="Courier New" w:hAnsi="Courier New" w:cs="Courier New" w:hint="default"/>
        <w:rFonts w:cs="Courier New"/>
      </w:rPr>
    </w:lvl>
    <w:lvl w:ilvl="8">
      <w:start w:val="1"/>
      <w:numFmt w:val="bullet"/>
      <w:lvlText w:val=""/>
      <w:lvlJc w:val="left"/>
      <w:pPr>
        <w:ind w:left="7183" w:hanging="360"/>
      </w:pPr>
      <w:rPr>
        <w:rFonts w:ascii="Wingdings" w:hAnsi="Wingdings" w:cs="Wingdings" w:hint="default"/>
      </w:r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rPr>
        <w:rFonts w:eastAsia="Arial Unicode MS" w:cs="Mang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s-CZ" w:eastAsia="cs-CZ"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7d83"/>
    <w:pPr>
      <w:widowControl/>
      <w:bidi w:val="0"/>
      <w:jc w:val="left"/>
    </w:pPr>
    <w:rPr>
      <w:rFonts w:ascii="Times New Roman" w:hAnsi="Times New Roman" w:eastAsia="Times New Roman" w:cs="Times New Roman"/>
      <w:color w:val="auto"/>
      <w:sz w:val="24"/>
      <w:szCs w:val="24"/>
      <w:lang w:val="cs-CZ" w:eastAsia="cs-CZ" w:bidi="ar-SA"/>
    </w:rPr>
  </w:style>
  <w:style w:type="paragraph" w:styleId="Heading1">
    <w:name w:val="Heading 1"/>
    <w:basedOn w:val="Normal"/>
    <w:link w:val="Nadpis1Char"/>
    <w:autoRedefine/>
    <w:uiPriority w:val="9"/>
    <w:qFormat/>
    <w:rsid w:val="00d2292a"/>
    <w:pPr>
      <w:keepNext/>
      <w:spacing w:before="240" w:after="60"/>
      <w:jc w:val="both"/>
      <w:textAlignment w:val="baseline"/>
      <w:outlineLvl w:val="0"/>
    </w:pPr>
    <w:rPr>
      <w:bCs/>
      <w:i/>
    </w:rPr>
  </w:style>
  <w:style w:type="paragraph" w:styleId="Heading2">
    <w:name w:val="Heading 2"/>
    <w:basedOn w:val="Normal"/>
    <w:link w:val="Nadpis2Char"/>
    <w:uiPriority w:val="9"/>
    <w:unhideWhenUsed/>
    <w:qFormat/>
    <w:rsid w:val="00d2292a"/>
    <w:pPr>
      <w:keepNext/>
      <w:spacing w:before="240" w:after="60"/>
      <w:textAlignment w:val="baseline"/>
      <w:outlineLvl w:val="1"/>
    </w:pPr>
    <w:rPr>
      <w:rFonts w:ascii="Cambria" w:hAnsi="Cambria"/>
      <w:b/>
      <w:bCs/>
      <w:i/>
      <w:iCs/>
      <w:sz w:val="28"/>
      <w:szCs w:val="28"/>
    </w:rPr>
  </w:style>
  <w:style w:type="paragraph" w:styleId="Heading3">
    <w:name w:val="Heading 3"/>
    <w:basedOn w:val="Normal"/>
    <w:link w:val="Nadpis3Char"/>
    <w:uiPriority w:val="9"/>
    <w:unhideWhenUsed/>
    <w:qFormat/>
    <w:rsid w:val="00d2292a"/>
    <w:pPr>
      <w:keepNext/>
      <w:spacing w:before="240" w:after="60"/>
      <w:outlineLvl w:val="2"/>
    </w:pPr>
    <w:rPr>
      <w:bCs/>
      <w:szCs w:val="26"/>
      <w:lang w:eastAsia="en-US"/>
    </w:rPr>
  </w:style>
  <w:style w:type="paragraph" w:styleId="Heading4">
    <w:name w:val="Heading 4"/>
    <w:basedOn w:val="Normal"/>
    <w:link w:val="Nadpis4Char"/>
    <w:uiPriority w:val="9"/>
    <w:unhideWhenUsed/>
    <w:qFormat/>
    <w:rsid w:val="00d2292a"/>
    <w:pPr>
      <w:keepNext/>
      <w:spacing w:before="240" w:after="60"/>
      <w:textAlignment w:val="baseline"/>
      <w:outlineLvl w:val="3"/>
    </w:pPr>
    <w:rPr>
      <w:b/>
      <w:bCs/>
      <w:sz w:val="28"/>
      <w:szCs w:val="28"/>
    </w:rPr>
  </w:style>
  <w:style w:type="paragraph" w:styleId="Heading5">
    <w:name w:val="Heading 5"/>
    <w:basedOn w:val="Normal"/>
    <w:link w:val="Nadpis5Char"/>
    <w:uiPriority w:val="9"/>
    <w:unhideWhenUsed/>
    <w:qFormat/>
    <w:rsid w:val="00d2292a"/>
    <w:pPr>
      <w:spacing w:before="240" w:after="60"/>
      <w:textAlignment w:val="baseline"/>
      <w:outlineLvl w:val="4"/>
    </w:pPr>
    <w:rPr>
      <w:b/>
      <w:bCs/>
      <w:i/>
      <w:iCs/>
      <w:sz w:val="26"/>
      <w:szCs w:val="26"/>
    </w:rPr>
  </w:style>
  <w:style w:type="paragraph" w:styleId="Heading6">
    <w:name w:val="Heading 6"/>
    <w:basedOn w:val="Normal"/>
    <w:link w:val="Nadpis6Char"/>
    <w:uiPriority w:val="9"/>
    <w:semiHidden/>
    <w:unhideWhenUsed/>
    <w:qFormat/>
    <w:rsid w:val="00d2292a"/>
    <w:pPr>
      <w:spacing w:before="240" w:after="60"/>
      <w:textAlignment w:val="baseline"/>
      <w:outlineLvl w:val="5"/>
    </w:pPr>
    <w:rPr>
      <w:b/>
      <w:bCs/>
    </w:rPr>
  </w:style>
  <w:style w:type="paragraph" w:styleId="Heading7">
    <w:name w:val="Heading 7"/>
    <w:basedOn w:val="Normal"/>
    <w:link w:val="Nadpis7Char"/>
    <w:uiPriority w:val="9"/>
    <w:semiHidden/>
    <w:unhideWhenUsed/>
    <w:qFormat/>
    <w:rsid w:val="00d2292a"/>
    <w:pPr>
      <w:spacing w:before="240" w:after="60"/>
      <w:textAlignment w:val="baseline"/>
      <w:outlineLvl w:val="6"/>
    </w:pPr>
    <w:rPr/>
  </w:style>
  <w:style w:type="paragraph" w:styleId="Heading8">
    <w:name w:val="Heading 8"/>
    <w:basedOn w:val="Normal"/>
    <w:link w:val="Nadpis8Char"/>
    <w:uiPriority w:val="9"/>
    <w:semiHidden/>
    <w:unhideWhenUsed/>
    <w:qFormat/>
    <w:rsid w:val="00d2292a"/>
    <w:pPr>
      <w:spacing w:before="240" w:after="60"/>
      <w:textAlignment w:val="baseline"/>
      <w:outlineLvl w:val="7"/>
    </w:pPr>
    <w:rPr>
      <w:i/>
      <w:iCs/>
    </w:rPr>
  </w:style>
  <w:style w:type="paragraph" w:styleId="Heading9">
    <w:name w:val="Heading 9"/>
    <w:basedOn w:val="Normal"/>
    <w:link w:val="Nadpis9Char"/>
    <w:uiPriority w:val="9"/>
    <w:semiHidden/>
    <w:unhideWhenUsed/>
    <w:qFormat/>
    <w:rsid w:val="00d2292a"/>
    <w:pPr>
      <w:spacing w:before="240" w:after="60"/>
      <w:textAlignment w:val="baseline"/>
      <w:outlineLvl w:val="8"/>
    </w:pPr>
    <w:rPr>
      <w:rFonts w:ascii="Cambria" w:hAnsi="Cambria"/>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d2292a"/>
    <w:rPr>
      <w:bCs/>
      <w:i/>
      <w:sz w:val="24"/>
      <w:szCs w:val="24"/>
    </w:rPr>
  </w:style>
  <w:style w:type="character" w:styleId="Nadpis2Char" w:customStyle="1">
    <w:name w:val="Nadpis 2 Char"/>
    <w:basedOn w:val="DefaultParagraphFont"/>
    <w:link w:val="Nadpis2"/>
    <w:uiPriority w:val="9"/>
    <w:qFormat/>
    <w:rsid w:val="00d2292a"/>
    <w:rPr>
      <w:rFonts w:ascii="Cambria" w:hAnsi="Cambria" w:eastAsia="Times New Roman"/>
      <w:b/>
      <w:bCs/>
      <w:i/>
      <w:iCs/>
      <w:sz w:val="28"/>
      <w:szCs w:val="28"/>
    </w:rPr>
  </w:style>
  <w:style w:type="character" w:styleId="Nadpis3Char" w:customStyle="1">
    <w:name w:val="Nadpis 3 Char"/>
    <w:basedOn w:val="DefaultParagraphFont"/>
    <w:link w:val="Nadpis3"/>
    <w:uiPriority w:val="9"/>
    <w:qFormat/>
    <w:rsid w:val="00d2292a"/>
    <w:rPr>
      <w:rFonts w:ascii="Times New Roman" w:hAnsi="Times New Roman" w:eastAsia="Times New Roman"/>
      <w:bCs/>
      <w:sz w:val="24"/>
      <w:szCs w:val="26"/>
      <w:lang w:eastAsia="en-US"/>
    </w:rPr>
  </w:style>
  <w:style w:type="character" w:styleId="Nadpis4Char" w:customStyle="1">
    <w:name w:val="Nadpis 4 Char"/>
    <w:basedOn w:val="DefaultParagraphFont"/>
    <w:link w:val="Nadpis4"/>
    <w:uiPriority w:val="9"/>
    <w:qFormat/>
    <w:rsid w:val="00d2292a"/>
    <w:rPr>
      <w:b/>
      <w:bCs/>
      <w:sz w:val="28"/>
      <w:szCs w:val="28"/>
    </w:rPr>
  </w:style>
  <w:style w:type="character" w:styleId="Nadpis5Char" w:customStyle="1">
    <w:name w:val="Nadpis 5 Char"/>
    <w:basedOn w:val="DefaultParagraphFont"/>
    <w:link w:val="Nadpis5"/>
    <w:uiPriority w:val="9"/>
    <w:qFormat/>
    <w:rsid w:val="00d2292a"/>
    <w:rPr>
      <w:b/>
      <w:bCs/>
      <w:i/>
      <w:iCs/>
      <w:sz w:val="26"/>
      <w:szCs w:val="26"/>
    </w:rPr>
  </w:style>
  <w:style w:type="character" w:styleId="Nadpis6Char" w:customStyle="1">
    <w:name w:val="Nadpis 6 Char"/>
    <w:basedOn w:val="DefaultParagraphFont"/>
    <w:link w:val="Nadpis6"/>
    <w:uiPriority w:val="9"/>
    <w:semiHidden/>
    <w:qFormat/>
    <w:rsid w:val="00d2292a"/>
    <w:rPr>
      <w:b/>
      <w:bCs/>
    </w:rPr>
  </w:style>
  <w:style w:type="character" w:styleId="Nadpis7Char" w:customStyle="1">
    <w:name w:val="Nadpis 7 Char"/>
    <w:basedOn w:val="DefaultParagraphFont"/>
    <w:link w:val="Nadpis7"/>
    <w:uiPriority w:val="9"/>
    <w:semiHidden/>
    <w:qFormat/>
    <w:rsid w:val="00d2292a"/>
    <w:rPr>
      <w:sz w:val="24"/>
      <w:szCs w:val="24"/>
    </w:rPr>
  </w:style>
  <w:style w:type="character" w:styleId="Nadpis8Char" w:customStyle="1">
    <w:name w:val="Nadpis 8 Char"/>
    <w:basedOn w:val="DefaultParagraphFont"/>
    <w:link w:val="Nadpis8"/>
    <w:uiPriority w:val="9"/>
    <w:semiHidden/>
    <w:qFormat/>
    <w:rsid w:val="00d2292a"/>
    <w:rPr>
      <w:i/>
      <w:iCs/>
      <w:sz w:val="24"/>
      <w:szCs w:val="24"/>
    </w:rPr>
  </w:style>
  <w:style w:type="character" w:styleId="Nadpis9Char" w:customStyle="1">
    <w:name w:val="Nadpis 9 Char"/>
    <w:basedOn w:val="DefaultParagraphFont"/>
    <w:link w:val="Nadpis9"/>
    <w:uiPriority w:val="9"/>
    <w:semiHidden/>
    <w:qFormat/>
    <w:rsid w:val="00d2292a"/>
    <w:rPr>
      <w:rFonts w:ascii="Cambria" w:hAnsi="Cambria" w:eastAsia="Times New Roman"/>
    </w:rPr>
  </w:style>
  <w:style w:type="character" w:styleId="NzevChar" w:customStyle="1">
    <w:name w:val="Název Char"/>
    <w:basedOn w:val="DefaultParagraphFont"/>
    <w:link w:val="Nzev"/>
    <w:uiPriority w:val="10"/>
    <w:qFormat/>
    <w:rsid w:val="00d2292a"/>
    <w:rPr>
      <w:b/>
      <w:i/>
      <w:color w:val="17365D"/>
      <w:spacing w:val="5"/>
      <w:sz w:val="32"/>
      <w:szCs w:val="52"/>
      <w:u w:val="single"/>
    </w:rPr>
  </w:style>
  <w:style w:type="character" w:styleId="PodtitulChar" w:customStyle="1">
    <w:name w:val="Podtitul Char"/>
    <w:basedOn w:val="DefaultParagraphFont"/>
    <w:link w:val="Podtitul"/>
    <w:uiPriority w:val="11"/>
    <w:qFormat/>
    <w:rsid w:val="00d2292a"/>
    <w:rPr>
      <w:rFonts w:ascii="Cambria" w:hAnsi="Cambria" w:eastAsia="Times New Roman" w:cs="Times New Roman"/>
      <w:i/>
      <w:iCs/>
      <w:color w:val="4F81BD"/>
      <w:spacing w:val="15"/>
      <w:sz w:val="24"/>
      <w:szCs w:val="24"/>
    </w:rPr>
  </w:style>
  <w:style w:type="character" w:styleId="Strong">
    <w:name w:val="Strong"/>
    <w:basedOn w:val="DefaultParagraphFont"/>
    <w:uiPriority w:val="22"/>
    <w:qFormat/>
    <w:rsid w:val="00d2292a"/>
    <w:rPr>
      <w:b/>
      <w:bCs/>
    </w:rPr>
  </w:style>
  <w:style w:type="character" w:styleId="Emphasis">
    <w:name w:val="Emphasis"/>
    <w:basedOn w:val="DefaultParagraphFont"/>
    <w:uiPriority w:val="20"/>
    <w:qFormat/>
    <w:rsid w:val="00d2292a"/>
    <w:rPr>
      <w:i/>
      <w:iCs/>
    </w:rPr>
  </w:style>
  <w:style w:type="character" w:styleId="CittChar" w:customStyle="1">
    <w:name w:val="Citát Char"/>
    <w:basedOn w:val="DefaultParagraphFont"/>
    <w:link w:val="Citt"/>
    <w:uiPriority w:val="29"/>
    <w:qFormat/>
    <w:rsid w:val="00d2292a"/>
    <w:rPr>
      <w:i/>
      <w:iCs/>
      <w:color w:val="000000"/>
      <w:sz w:val="26"/>
    </w:rPr>
  </w:style>
  <w:style w:type="character" w:styleId="VrazncittChar" w:customStyle="1">
    <w:name w:val="Výrazný citát Char"/>
    <w:basedOn w:val="DefaultParagraphFont"/>
    <w:link w:val="Vrazncitt"/>
    <w:uiPriority w:val="30"/>
    <w:qFormat/>
    <w:rsid w:val="00d2292a"/>
    <w:rPr>
      <w:b/>
      <w:bCs/>
      <w:i/>
      <w:iCs/>
      <w:color w:val="4F81BD"/>
      <w:sz w:val="26"/>
    </w:rPr>
  </w:style>
  <w:style w:type="character" w:styleId="SubtleEmphasis">
    <w:name w:val="Subtle Emphasis"/>
    <w:uiPriority w:val="19"/>
    <w:qFormat/>
    <w:rsid w:val="00d2292a"/>
    <w:rPr>
      <w:i/>
      <w:iCs/>
      <w:color w:val="808080"/>
    </w:rPr>
  </w:style>
  <w:style w:type="character" w:styleId="IntenseEmphasis">
    <w:name w:val="Intense Emphasis"/>
    <w:basedOn w:val="DefaultParagraphFont"/>
    <w:uiPriority w:val="21"/>
    <w:qFormat/>
    <w:rsid w:val="00d2292a"/>
    <w:rPr>
      <w:b/>
      <w:bCs/>
      <w:i/>
      <w:iCs/>
      <w:color w:val="4F81BD"/>
    </w:rPr>
  </w:style>
  <w:style w:type="character" w:styleId="SubtleReference">
    <w:name w:val="Subtle Reference"/>
    <w:basedOn w:val="DefaultParagraphFont"/>
    <w:uiPriority w:val="31"/>
    <w:qFormat/>
    <w:rsid w:val="00d2292a"/>
    <w:rPr>
      <w:smallCaps/>
      <w:color w:val="C0504D"/>
      <w:u w:val="single"/>
    </w:rPr>
  </w:style>
  <w:style w:type="character" w:styleId="IntenseReference">
    <w:name w:val="Intense Reference"/>
    <w:basedOn w:val="DefaultParagraphFont"/>
    <w:uiPriority w:val="32"/>
    <w:qFormat/>
    <w:rsid w:val="00d2292a"/>
    <w:rPr>
      <w:b/>
      <w:bCs/>
      <w:smallCaps/>
      <w:color w:val="C0504D"/>
      <w:spacing w:val="5"/>
      <w:u w:val="single"/>
    </w:rPr>
  </w:style>
  <w:style w:type="character" w:styleId="BookTitle">
    <w:name w:val="Book Title"/>
    <w:basedOn w:val="DefaultParagraphFont"/>
    <w:uiPriority w:val="33"/>
    <w:qFormat/>
    <w:rsid w:val="00d2292a"/>
    <w:rPr>
      <w:b/>
      <w:bCs/>
      <w:smallCaps/>
      <w:spacing w:val="5"/>
    </w:rPr>
  </w:style>
  <w:style w:type="character" w:styleId="InternetLink">
    <w:name w:val="Internet Link"/>
    <w:uiPriority w:val="99"/>
    <w:rsid w:val="00f93a18"/>
    <w:rPr>
      <w:color w:val="0000FF"/>
      <w:u w:val="single"/>
    </w:rPr>
  </w:style>
  <w:style w:type="character" w:styleId="ZhlavChar" w:customStyle="1">
    <w:name w:val="Záhlaví Char"/>
    <w:basedOn w:val="DefaultParagraphFont"/>
    <w:link w:val="Zhlav"/>
    <w:uiPriority w:val="99"/>
    <w:semiHidden/>
    <w:qFormat/>
    <w:rsid w:val="00234dff"/>
    <w:rPr>
      <w:rFonts w:ascii="Calibri" w:hAnsi="Calibri" w:eastAsia="" w:cs="" w:asciiTheme="minorHAnsi" w:cstheme="minorBidi" w:eastAsiaTheme="minorEastAsia" w:hAnsiTheme="minorHAnsi"/>
      <w:sz w:val="22"/>
      <w:szCs w:val="22"/>
    </w:rPr>
  </w:style>
  <w:style w:type="character" w:styleId="ZpatChar" w:customStyle="1">
    <w:name w:val="Zápatí Char"/>
    <w:basedOn w:val="DefaultParagraphFont"/>
    <w:link w:val="Zpat"/>
    <w:uiPriority w:val="99"/>
    <w:qFormat/>
    <w:rsid w:val="00234dff"/>
    <w:rPr>
      <w:rFonts w:ascii="Calibri" w:hAnsi="Calibri" w:eastAsia="" w:cs="" w:asciiTheme="minorHAnsi" w:cstheme="minorBidi" w:eastAsiaTheme="minorEastAsia" w:hAnsiTheme="minorHAnsi"/>
      <w:sz w:val="22"/>
      <w:szCs w:val="22"/>
    </w:rPr>
  </w:style>
  <w:style w:type="character" w:styleId="TextbublinyChar" w:customStyle="1">
    <w:name w:val="Text bubliny Char"/>
    <w:basedOn w:val="DefaultParagraphFont"/>
    <w:link w:val="Textbubliny"/>
    <w:uiPriority w:val="99"/>
    <w:semiHidden/>
    <w:qFormat/>
    <w:rsid w:val="00f35c60"/>
    <w:rPr>
      <w:rFonts w:ascii="Tahoma" w:hAnsi="Tahoma" w:eastAsia="" w:cs="Tahoma" w:eastAsiaTheme="minorEastAsia"/>
      <w:sz w:val="16"/>
      <w:szCs w:val="16"/>
    </w:rPr>
  </w:style>
  <w:style w:type="character" w:styleId="FollowedHyperlink">
    <w:name w:val="FollowedHyperlink"/>
    <w:basedOn w:val="DefaultParagraphFont"/>
    <w:uiPriority w:val="99"/>
    <w:semiHidden/>
    <w:unhideWhenUsed/>
    <w:qFormat/>
    <w:rsid w:val="00151e91"/>
    <w:rPr>
      <w:color w:val="800080" w:themeColor="followedHyperlink"/>
      <w:u w:val="single"/>
    </w:rPr>
  </w:style>
  <w:style w:type="character" w:styleId="TextpoznpodarouChar" w:customStyle="1">
    <w:name w:val="Text pozn. pod čarou Char"/>
    <w:basedOn w:val="DefaultParagraphFont"/>
    <w:link w:val="Textpoznpodarou"/>
    <w:uiPriority w:val="99"/>
    <w:semiHidden/>
    <w:qFormat/>
    <w:rsid w:val="00c338b4"/>
    <w:rPr/>
  </w:style>
  <w:style w:type="character" w:styleId="Footnotereference">
    <w:name w:val="footnote reference"/>
    <w:basedOn w:val="DefaultParagraphFont"/>
    <w:uiPriority w:val="99"/>
    <w:semiHidden/>
    <w:unhideWhenUsed/>
    <w:qFormat/>
    <w:rsid w:val="00c338b4"/>
    <w:rPr>
      <w:vertAlign w:val="superscript"/>
    </w:rPr>
  </w:style>
  <w:style w:type="character" w:styleId="TextodstavceChar" w:customStyle="1">
    <w:name w:val="Text odstavce Char"/>
    <w:link w:val="Textodstavce"/>
    <w:qFormat/>
    <w:rsid w:val="00720006"/>
    <w:rPr>
      <w:sz w:val="24"/>
    </w:rPr>
  </w:style>
  <w:style w:type="character" w:styleId="Annotationreference">
    <w:name w:val="annotation reference"/>
    <w:basedOn w:val="DefaultParagraphFont"/>
    <w:qFormat/>
    <w:rsid w:val="00306d18"/>
    <w:rPr>
      <w:sz w:val="16"/>
      <w:szCs w:val="16"/>
    </w:rPr>
  </w:style>
  <w:style w:type="character" w:styleId="TextkomenteChar" w:customStyle="1">
    <w:name w:val="Text komentáře Char"/>
    <w:basedOn w:val="DefaultParagraphFont"/>
    <w:link w:val="Textkomente"/>
    <w:qFormat/>
    <w:rsid w:val="00306d18"/>
    <w:rPr/>
  </w:style>
  <w:style w:type="character" w:styleId="TextlnkuChar" w:customStyle="1">
    <w:name w:val="Text článku Char"/>
    <w:link w:val="Textlnku"/>
    <w:qFormat/>
    <w:rsid w:val="00dd5e1a"/>
    <w:rPr>
      <w:sz w:val="24"/>
      <w:lang w:eastAsia="en-US"/>
    </w:rPr>
  </w:style>
  <w:style w:type="character" w:styleId="NovelizanbodChar" w:customStyle="1">
    <w:name w:val="Novelizační bod Char"/>
    <w:link w:val="Novelizanbod"/>
    <w:qFormat/>
    <w:locked/>
    <w:rsid w:val="00dd5e1a"/>
    <w:rPr>
      <w:rFonts w:eastAsia="Arial Unicode MS" w:cs="Mangal"/>
      <w:sz w:val="24"/>
      <w:szCs w:val="24"/>
      <w:lang w:eastAsia="zh-CN" w:bidi="hi-IN"/>
    </w:rPr>
  </w:style>
  <w:style w:type="character" w:styleId="ParagrafChar" w:customStyle="1">
    <w:name w:val="Paragraf Char"/>
    <w:link w:val="Paragraf"/>
    <w:qFormat/>
    <w:locked/>
    <w:rsid w:val="00dd5e1a"/>
    <w:rPr>
      <w:rFonts w:eastAsia="Arial Unicode MS" w:cs="Mangal"/>
      <w:sz w:val="24"/>
      <w:szCs w:val="24"/>
      <w:lang w:eastAsia="zh-CN" w:bidi="hi-IN"/>
    </w:rPr>
  </w:style>
  <w:style w:type="character" w:styleId="NadpislnkuChar" w:customStyle="1">
    <w:name w:val="Nadpis článku Char"/>
    <w:link w:val="Nadpislnku"/>
    <w:qFormat/>
    <w:locked/>
    <w:rsid w:val="00dd5e1a"/>
    <w:rPr>
      <w:b/>
      <w:sz w:val="24"/>
    </w:rPr>
  </w:style>
  <w:style w:type="character" w:styleId="TextpsmeneChar" w:customStyle="1">
    <w:name w:val="Text písmene Char"/>
    <w:link w:val="Textpsmene"/>
    <w:qFormat/>
    <w:locked/>
    <w:rsid w:val="00bd033c"/>
    <w:rPr>
      <w:rFonts w:eastAsia="Arial Unicode MS" w:cs="Mangal"/>
      <w:sz w:val="24"/>
      <w:szCs w:val="24"/>
      <w:lang w:eastAsia="zh-CN" w:bidi="hi-IN"/>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b/>
    </w:rPr>
  </w:style>
  <w:style w:type="character" w:styleId="ListLabel11">
    <w:name w:val="ListLabel 11"/>
    <w:qFormat/>
    <w:rPr>
      <w:rFonts w:eastAsia="" w:cs="Times New Roman"/>
      <w:sz w:val="20"/>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color w:val="00000A"/>
    </w:rPr>
  </w:style>
  <w:style w:type="character" w:styleId="ListLabel16">
    <w:name w:val="ListLabel 16"/>
    <w:qFormat/>
    <w:rPr>
      <w:rFonts w:cs="Times New Roman"/>
      <w:sz w:val="24"/>
      <w:szCs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eastAsia="Calibri" w:cs="Times New Roman"/>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u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New Roman"/>
      <w:b/>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Times New Roman"/>
      <w:sz w:val="24"/>
      <w:szCs w:val="24"/>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Times New Roman" w:cs="Times New Roman"/>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Arial Unicode MS" w:cs="Mangal"/>
    </w:rPr>
  </w:style>
  <w:style w:type="character" w:styleId="ListLabel57">
    <w:name w:val="ListLabel 57"/>
    <w:qFormat/>
    <w:rPr>
      <w:rFonts w:cs="Times New Roman"/>
      <w:sz w:val="24"/>
      <w:szCs w:val="24"/>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Times New Roman" w:cs="Times New Roman"/>
    </w:rPr>
  </w:style>
  <w:style w:type="character" w:styleId="ListLabel61">
    <w:name w:val="ListLabel 61"/>
    <w:qFormat/>
    <w:rPr>
      <w:rFonts w:cs="Courier New"/>
    </w:rPr>
  </w:style>
  <w:style w:type="character" w:styleId="ListLabel62">
    <w:name w:val="ListLabel 62"/>
    <w:qFormat/>
    <w:rPr>
      <w:rFonts w:cs="Times New Roman"/>
      <w:sz w:val="24"/>
      <w:szCs w:val="24"/>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Times New Roman"/>
    </w:rPr>
  </w:style>
  <w:style w:type="character" w:styleId="ListLabel66">
    <w:name w:val="ListLabel 6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autoRedefine/>
    <w:uiPriority w:val="39"/>
    <w:unhideWhenUsed/>
    <w:qFormat/>
    <w:rsid w:val="00d2292a"/>
    <w:pPr>
      <w:tabs>
        <w:tab w:val="right" w:pos="10308" w:leader="dot"/>
      </w:tabs>
      <w:spacing w:before="0" w:after="100"/>
      <w:textAlignment w:val="baseline"/>
    </w:pPr>
    <w:rPr>
      <w:sz w:val="28"/>
      <w:szCs w:val="28"/>
    </w:rPr>
  </w:style>
  <w:style w:type="paragraph" w:styleId="Contents2">
    <w:name w:val="TOC 2"/>
    <w:basedOn w:val="Normal"/>
    <w:autoRedefine/>
    <w:uiPriority w:val="39"/>
    <w:unhideWhenUsed/>
    <w:qFormat/>
    <w:rsid w:val="00d2292a"/>
    <w:pPr>
      <w:tabs>
        <w:tab w:val="right" w:pos="10308" w:leader="dot"/>
      </w:tabs>
      <w:spacing w:before="0" w:after="100"/>
      <w:ind w:left="220" w:hanging="0"/>
    </w:pPr>
    <w:rPr/>
  </w:style>
  <w:style w:type="paragraph" w:styleId="Contents3">
    <w:name w:val="TOC 3"/>
    <w:basedOn w:val="Normal"/>
    <w:autoRedefine/>
    <w:uiPriority w:val="39"/>
    <w:unhideWhenUsed/>
    <w:qFormat/>
    <w:rsid w:val="00d2292a"/>
    <w:pPr>
      <w:tabs>
        <w:tab w:val="right" w:pos="10308" w:leader="dot"/>
      </w:tabs>
      <w:spacing w:before="0" w:after="100"/>
      <w:textAlignment w:val="baseline"/>
    </w:pPr>
    <w:rPr>
      <w:b/>
      <w:i/>
    </w:rPr>
  </w:style>
  <w:style w:type="paragraph" w:styleId="Caption1">
    <w:name w:val="caption"/>
    <w:basedOn w:val="Normal"/>
    <w:uiPriority w:val="35"/>
    <w:unhideWhenUsed/>
    <w:qFormat/>
    <w:rsid w:val="00d2292a"/>
    <w:pPr/>
    <w:rPr>
      <w:rFonts w:eastAsia="Calibri" w:eastAsiaTheme="minorHAnsi"/>
      <w:i/>
      <w:iCs/>
      <w:color w:val="1F497D" w:themeColor="text2"/>
      <w:sz w:val="18"/>
      <w:szCs w:val="18"/>
      <w:lang w:eastAsia="en-US"/>
    </w:rPr>
  </w:style>
  <w:style w:type="paragraph" w:styleId="Title">
    <w:name w:val="Title"/>
    <w:basedOn w:val="Normal"/>
    <w:link w:val="NzevChar"/>
    <w:autoRedefine/>
    <w:uiPriority w:val="10"/>
    <w:qFormat/>
    <w:rsid w:val="00d2292a"/>
    <w:pPr>
      <w:pBdr>
        <w:bottom w:val="single" w:sz="8" w:space="4" w:color="4F81BD"/>
      </w:pBdr>
      <w:suppressAutoHyphens w:val="true"/>
      <w:spacing w:before="0" w:after="300"/>
      <w:contextualSpacing/>
      <w:textAlignment w:val="baseline"/>
    </w:pPr>
    <w:rPr>
      <w:b/>
      <w:i/>
      <w:color w:val="17365D"/>
      <w:spacing w:val="5"/>
      <w:sz w:val="32"/>
      <w:szCs w:val="52"/>
      <w:u w:val="single"/>
    </w:rPr>
  </w:style>
  <w:style w:type="paragraph" w:styleId="Subtitle">
    <w:name w:val="Subtitle"/>
    <w:basedOn w:val="Normal"/>
    <w:link w:val="PodtitulChar"/>
    <w:uiPriority w:val="11"/>
    <w:qFormat/>
    <w:rsid w:val="00d2292a"/>
    <w:pPr>
      <w:suppressAutoHyphens w:val="true"/>
      <w:spacing w:before="120" w:after="0"/>
      <w:jc w:val="both"/>
      <w:textAlignment w:val="baseline"/>
    </w:pPr>
    <w:rPr>
      <w:rFonts w:ascii="Cambria" w:hAnsi="Cambria"/>
      <w:i/>
      <w:iCs/>
      <w:color w:val="4F81BD"/>
      <w:spacing w:val="15"/>
    </w:rPr>
  </w:style>
  <w:style w:type="paragraph" w:styleId="NoSpacing">
    <w:name w:val="No Spacing"/>
    <w:autoRedefine/>
    <w:uiPriority w:val="1"/>
    <w:qFormat/>
    <w:rsid w:val="00d2292a"/>
    <w:pPr>
      <w:widowControl/>
      <w:suppressAutoHyphens w:val="true"/>
      <w:bidi w:val="0"/>
      <w:jc w:val="both"/>
      <w:textAlignment w:val="baseline"/>
    </w:pPr>
    <w:rPr>
      <w:rFonts w:ascii="Times New Roman" w:hAnsi="Times New Roman" w:eastAsia="Times New Roman" w:cs="Times New Roman"/>
      <w:b/>
      <w:i/>
      <w:color w:val="auto"/>
      <w:sz w:val="32"/>
      <w:szCs w:val="20"/>
      <w:lang w:val="cs-CZ" w:eastAsia="cs-CZ" w:bidi="ar-SA"/>
    </w:rPr>
  </w:style>
  <w:style w:type="paragraph" w:styleId="ListParagraph">
    <w:name w:val="List Paragraph"/>
    <w:basedOn w:val="Normal"/>
    <w:uiPriority w:val="34"/>
    <w:qFormat/>
    <w:rsid w:val="00d2292a"/>
    <w:pPr>
      <w:spacing w:before="0" w:after="0"/>
      <w:ind w:left="720" w:hanging="0"/>
      <w:contextualSpacing/>
      <w:textAlignment w:val="baseline"/>
    </w:pPr>
    <w:rPr/>
  </w:style>
  <w:style w:type="paragraph" w:styleId="Quote">
    <w:name w:val="Quote"/>
    <w:basedOn w:val="Normal"/>
    <w:link w:val="CittChar"/>
    <w:uiPriority w:val="29"/>
    <w:qFormat/>
    <w:rsid w:val="00d2292a"/>
    <w:pPr>
      <w:suppressAutoHyphens w:val="true"/>
      <w:spacing w:before="120" w:after="0"/>
      <w:jc w:val="both"/>
      <w:textAlignment w:val="baseline"/>
    </w:pPr>
    <w:rPr>
      <w:i/>
      <w:iCs/>
      <w:color w:val="000000"/>
      <w:sz w:val="26"/>
    </w:rPr>
  </w:style>
  <w:style w:type="paragraph" w:styleId="IntenseQuote">
    <w:name w:val="Intense Quote"/>
    <w:basedOn w:val="Normal"/>
    <w:link w:val="VrazncittChar"/>
    <w:uiPriority w:val="30"/>
    <w:qFormat/>
    <w:rsid w:val="00d2292a"/>
    <w:pPr>
      <w:pBdr>
        <w:bottom w:val="single" w:sz="4" w:space="4" w:color="4F81BD"/>
      </w:pBdr>
      <w:suppressAutoHyphens w:val="true"/>
      <w:spacing w:before="200" w:after="280"/>
      <w:ind w:left="936" w:right="936" w:hanging="0"/>
      <w:jc w:val="both"/>
      <w:textAlignment w:val="baseline"/>
    </w:pPr>
    <w:rPr>
      <w:b/>
      <w:bCs/>
      <w:i/>
      <w:iCs/>
      <w:color w:val="4F81BD"/>
      <w:sz w:val="26"/>
    </w:rPr>
  </w:style>
  <w:style w:type="paragraph" w:styleId="TOCHeading">
    <w:name w:val="TOC Heading"/>
    <w:basedOn w:val="Heading1"/>
    <w:uiPriority w:val="39"/>
    <w:unhideWhenUsed/>
    <w:qFormat/>
    <w:rsid w:val="00d2292a"/>
    <w:pPr>
      <w:keepLines/>
      <w:suppressAutoHyphens w:val="true"/>
      <w:spacing w:before="480" w:after="0"/>
    </w:pPr>
    <w:rPr>
      <w:color w:val="365F91"/>
      <w:szCs w:val="28"/>
    </w:rPr>
  </w:style>
  <w:style w:type="paragraph" w:styleId="Normal1" w:customStyle="1">
    <w:name w:val="[Normal]"/>
    <w:qFormat/>
    <w:rsid w:val="00f93a18"/>
    <w:pPr>
      <w:widowControl/>
      <w:bidi w:val="0"/>
      <w:jc w:val="left"/>
    </w:pPr>
    <w:rPr>
      <w:rFonts w:ascii="Arial" w:hAnsi="Arial" w:eastAsia="SimSun" w:cs="Arial"/>
      <w:color w:val="auto"/>
      <w:sz w:val="24"/>
      <w:szCs w:val="24"/>
      <w:lang w:eastAsia="zh-CN" w:val="cs-CZ" w:bidi="ar-SA"/>
    </w:rPr>
  </w:style>
  <w:style w:type="paragraph" w:styleId="NormalWeb">
    <w:name w:val="Normal (Web)"/>
    <w:basedOn w:val="Normal"/>
    <w:uiPriority w:val="99"/>
    <w:qFormat/>
    <w:rsid w:val="00f93a18"/>
    <w:pPr>
      <w:spacing w:beforeAutospacing="1" w:afterAutospacing="1"/>
    </w:pPr>
    <w:rPr>
      <w:rFonts w:eastAsia="SimSun"/>
      <w:lang w:eastAsia="zh-CN"/>
    </w:rPr>
  </w:style>
  <w:style w:type="paragraph" w:styleId="Header">
    <w:name w:val="Header"/>
    <w:basedOn w:val="Normal"/>
    <w:link w:val="ZhlavChar"/>
    <w:uiPriority w:val="99"/>
    <w:semiHidden/>
    <w:unhideWhenUsed/>
    <w:rsid w:val="00234dff"/>
    <w:pPr>
      <w:tabs>
        <w:tab w:val="center" w:pos="4536" w:leader="none"/>
        <w:tab w:val="right" w:pos="9072" w:leader="none"/>
      </w:tabs>
    </w:pPr>
    <w:rPr/>
  </w:style>
  <w:style w:type="paragraph" w:styleId="Footer">
    <w:name w:val="Footer"/>
    <w:basedOn w:val="Normal"/>
    <w:link w:val="ZpatChar"/>
    <w:uiPriority w:val="99"/>
    <w:unhideWhenUsed/>
    <w:rsid w:val="00234dff"/>
    <w:pPr>
      <w:tabs>
        <w:tab w:val="center" w:pos="4536" w:leader="none"/>
        <w:tab w:val="right" w:pos="9072" w:leader="none"/>
      </w:tabs>
    </w:pPr>
    <w:rPr/>
  </w:style>
  <w:style w:type="paragraph" w:styleId="BalloonText">
    <w:name w:val="Balloon Text"/>
    <w:basedOn w:val="Normal"/>
    <w:link w:val="TextbublinyChar"/>
    <w:uiPriority w:val="99"/>
    <w:semiHidden/>
    <w:unhideWhenUsed/>
    <w:qFormat/>
    <w:rsid w:val="00f35c60"/>
    <w:pPr/>
    <w:rPr>
      <w:rFonts w:ascii="Tahoma" w:hAnsi="Tahoma" w:cs="Tahoma"/>
      <w:sz w:val="16"/>
      <w:szCs w:val="16"/>
    </w:rPr>
  </w:style>
  <w:style w:type="paragraph" w:styleId="Footnotetext">
    <w:name w:val="footnote text"/>
    <w:basedOn w:val="Normal"/>
    <w:link w:val="TextpoznpodarouChar"/>
    <w:uiPriority w:val="99"/>
    <w:semiHidden/>
    <w:unhideWhenUsed/>
    <w:qFormat/>
    <w:rsid w:val="00c338b4"/>
    <w:pPr/>
    <w:rPr>
      <w:sz w:val="20"/>
      <w:szCs w:val="20"/>
    </w:rPr>
  </w:style>
  <w:style w:type="paragraph" w:styleId="Textodstavce" w:customStyle="1">
    <w:name w:val="Text odstavce"/>
    <w:basedOn w:val="Normal"/>
    <w:link w:val="TextodstavceChar"/>
    <w:qFormat/>
    <w:rsid w:val="00720006"/>
    <w:pPr>
      <w:tabs>
        <w:tab w:val="left" w:pos="851" w:leader="none"/>
      </w:tabs>
      <w:spacing w:before="120" w:after="120"/>
      <w:jc w:val="both"/>
      <w:outlineLvl w:val="6"/>
    </w:pPr>
    <w:rPr>
      <w:szCs w:val="20"/>
    </w:rPr>
  </w:style>
  <w:style w:type="paragraph" w:styleId="Annotationtext">
    <w:name w:val="annotation text"/>
    <w:basedOn w:val="Normal"/>
    <w:link w:val="TextkomenteChar"/>
    <w:qFormat/>
    <w:rsid w:val="00306d18"/>
    <w:pPr/>
    <w:rPr>
      <w:sz w:val="20"/>
      <w:szCs w:val="20"/>
    </w:rPr>
  </w:style>
  <w:style w:type="paragraph" w:styleId="Paragraf" w:customStyle="1">
    <w:name w:val="Paragraf"/>
    <w:basedOn w:val="Normal"/>
    <w:link w:val="ParagrafChar"/>
    <w:qFormat/>
    <w:rsid w:val="00dd5e1a"/>
    <w:pPr>
      <w:keepNext/>
      <w:widowControl w:val="false"/>
      <w:suppressAutoHyphens w:val="true"/>
      <w:spacing w:before="238" w:after="0"/>
      <w:jc w:val="center"/>
      <w:textAlignment w:val="baseline"/>
    </w:pPr>
    <w:rPr>
      <w:rFonts w:eastAsia="Arial Unicode MS" w:cs="Mangal"/>
      <w:lang w:eastAsia="zh-CN" w:bidi="hi-IN"/>
    </w:rPr>
  </w:style>
  <w:style w:type="paragraph" w:styleId="Novelizanbod" w:customStyle="1">
    <w:name w:val="Novelizační bod"/>
    <w:basedOn w:val="Normal"/>
    <w:link w:val="NovelizanbodChar"/>
    <w:qFormat/>
    <w:rsid w:val="00dd5e1a"/>
    <w:pPr>
      <w:keepNext/>
      <w:widowControl w:val="false"/>
      <w:suppressAutoHyphens w:val="true"/>
      <w:spacing w:before="482" w:after="119"/>
      <w:jc w:val="both"/>
      <w:textAlignment w:val="baseline"/>
    </w:pPr>
    <w:rPr>
      <w:rFonts w:eastAsia="Arial Unicode MS" w:cs="Mangal"/>
      <w:lang w:eastAsia="zh-CN" w:bidi="hi-IN"/>
    </w:rPr>
  </w:style>
  <w:style w:type="paragraph" w:styleId="Textlnku" w:customStyle="1">
    <w:name w:val="Text článku"/>
    <w:basedOn w:val="Normal"/>
    <w:link w:val="TextlnkuChar"/>
    <w:qFormat/>
    <w:rsid w:val="00dd5e1a"/>
    <w:pPr>
      <w:spacing w:before="240" w:after="0"/>
      <w:ind w:firstLine="425"/>
      <w:jc w:val="both"/>
      <w:outlineLvl w:val="5"/>
    </w:pPr>
    <w:rPr>
      <w:szCs w:val="20"/>
      <w:lang w:eastAsia="en-US"/>
    </w:rPr>
  </w:style>
  <w:style w:type="paragraph" w:styleId="Nadpislnku" w:customStyle="1">
    <w:name w:val="Nadpis článku"/>
    <w:basedOn w:val="Normal"/>
    <w:link w:val="NadpislnkuChar"/>
    <w:qFormat/>
    <w:rsid w:val="00dd5e1a"/>
    <w:pPr>
      <w:keepNext/>
      <w:keepLines/>
      <w:spacing w:before="240" w:after="0"/>
      <w:jc w:val="center"/>
      <w:outlineLvl w:val="5"/>
    </w:pPr>
    <w:rPr>
      <w:b/>
      <w:szCs w:val="20"/>
    </w:rPr>
  </w:style>
  <w:style w:type="paragraph" w:styleId="Nadpisparagrafu" w:customStyle="1">
    <w:name w:val="Nadpis paragrafu"/>
    <w:basedOn w:val="Paragraf"/>
    <w:qFormat/>
    <w:rsid w:val="00dd5e1a"/>
    <w:pPr>
      <w:keepLines/>
      <w:widowControl/>
      <w:suppressAutoHyphens w:val="false"/>
      <w:spacing w:before="240" w:after="0"/>
      <w:textAlignment w:val="auto"/>
      <w:outlineLvl w:val="5"/>
    </w:pPr>
    <w:rPr>
      <w:rFonts w:eastAsia="Times New Roman" w:cs="Times New Roman"/>
      <w:b/>
      <w:szCs w:val="20"/>
      <w:lang w:eastAsia="cs-CZ" w:bidi="ar-SA"/>
    </w:rPr>
  </w:style>
  <w:style w:type="paragraph" w:styleId="Textpsmene" w:customStyle="1">
    <w:name w:val="Text písmene"/>
    <w:basedOn w:val="Normal"/>
    <w:link w:val="TextpsmeneChar"/>
    <w:qFormat/>
    <w:rsid w:val="00bd033c"/>
    <w:pPr>
      <w:widowControl w:val="false"/>
      <w:suppressAutoHyphens w:val="true"/>
      <w:ind w:left="425" w:hanging="425"/>
      <w:jc w:val="both"/>
      <w:textAlignment w:val="baseline"/>
    </w:pPr>
    <w:rPr>
      <w:rFonts w:eastAsia="Arial Unicode MS" w:cs="Mangal"/>
      <w:lang w:eastAsia="zh-CN" w:bidi="hi-IN"/>
    </w:rPr>
  </w:style>
  <w:style w:type="paragraph" w:styleId="NADPISSTI" w:customStyle="1">
    <w:name w:val="NADPIS ČÁSTI"/>
    <w:basedOn w:val="Normal"/>
    <w:qFormat/>
    <w:rsid w:val="00910fe5"/>
    <w:pPr>
      <w:keepNext/>
      <w:keepLines/>
      <w:jc w:val="center"/>
      <w:outlineLvl w:val="1"/>
    </w:pPr>
    <w:rPr>
      <w:b/>
      <w:szCs w:val="20"/>
    </w:rPr>
  </w:style>
  <w:style w:type="paragraph" w:styleId="Psmeno" w:customStyle="1">
    <w:name w:val="&quot;Písmeno&quot;"/>
    <w:basedOn w:val="Normal"/>
    <w:qFormat/>
    <w:rsid w:val="00910fe5"/>
    <w:pPr>
      <w:keepNext/>
      <w:keepLines/>
      <w:ind w:left="425" w:hanging="425"/>
      <w:jc w:val="both"/>
    </w:pPr>
    <w:rPr>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SodrkamiWingdingsSymbolPed063cmPedsazen" w:customStyle="1">
    <w:name w:val="Styl S odrážkami Wingdings (Symbol) Před:  063 cm Předsazení: ..."/>
    <w:qFormat/>
    <w:rsid w:val="00720006"/>
  </w:style>
  <w:style w:type="numbering" w:styleId="Novelizanbod1" w:customStyle="1">
    <w:name w:val="Novelizační bod_1"/>
    <w:qFormat/>
    <w:rsid w:val="00dd5e1a"/>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59"/>
    <w:rsid w:val="002214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becuctuje.cz/" TargetMode="External"/><Relationship Id="rId3" Type="http://schemas.openxmlformats.org/officeDocument/2006/relationships/hyperlink" Target="mailto:iva@obecuctuje.cz" TargetMode="External"/><Relationship Id="rId4" Type="http://schemas.openxmlformats.org/officeDocument/2006/relationships/hyperlink" Target="http://www.obecuctuje.cz/" TargetMode="External"/><Relationship Id="rId5" Type="http://schemas.openxmlformats.org/officeDocument/2006/relationships/hyperlink" Target="http://www.obecuctuje.cz/" TargetMode="External"/><Relationship Id="rId6" Type="http://schemas.openxmlformats.org/officeDocument/2006/relationships/hyperlink" Target="mailto:iva@obecuctuje.cz"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mfcr.cz/cs/verejny-sektor/rozpoctove-ramce-statisticke-informace/verejny-sektor/sektor-vladnich-instituci/2016/seznam-vladnich-instituci-v-cr-2016-24749" TargetMode="External"/><Relationship Id="rId10" Type="http://schemas.openxmlformats.org/officeDocument/2006/relationships/hyperlink" Target="http://www.mfcr.cz/cs/aktualne/tiskove-zpravy/2017/mf-vytvorilo-pro-obce-kalkulacku-rozpoct-28166"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mfcr.cz/cs/aktualne/v-mediich/2017/obce-mohou-svym-obcanum-i-nadale-vyhodne-27242" TargetMode="External"/><Relationship Id="rId15" Type="http://schemas.openxmlformats.org/officeDocument/2006/relationships/hyperlink" Target="http://www.smocr.cz/cz/oblasti-cinnosti/financovani-obci/novy-zakon-o-spotrebitelskem-uveru-povinnosti-obci-anebo-jak-se-vyhnout-sankcim.aspx" TargetMode="External"/><Relationship Id="rId16" Type="http://schemas.openxmlformats.org/officeDocument/2006/relationships/hyperlink" Target="http://www.smocr.cz/cz/tiskovy-servis/tiskove-zpravy/uvery-ktere-poskytuji-obce-potrebuji-jasna-pravidla.aspx" TargetMode="External"/><Relationship Id="rId17" Type="http://schemas.openxmlformats.org/officeDocument/2006/relationships/hyperlink" Target="http://www.smocr.cz/cz/oblasti-cinnosti/financovani-obci/dle-mv-neni-poskytovani-pujcek-obcemi-na-zaklade-vyhlasky-mozne.aspx" TargetMode="External"/><Relationship Id="rId18" Type="http://schemas.openxmlformats.org/officeDocument/2006/relationships/hyperlink" Target="http://www.smocr.cz/cz/oblasti-cinnosti/financovani-obci/informace-z-jednani-s-cnb-k-poskytovani-pujcek-obci-svym-obcanum.aspx" TargetMode="External"/><Relationship Id="rId19" Type="http://schemas.openxmlformats.org/officeDocument/2006/relationships/hyperlink" Target="http://smocr.cz/cz/oblasti-cinnosti/financovani-obci/uvery-poskytovane-obcemi-a-novy-zakon-o-spotrebitelskem-uveru.aspx" TargetMode="External"/><Relationship Id="rId20" Type="http://schemas.openxmlformats.org/officeDocument/2006/relationships/hyperlink" Target="http://smocr.cz/cz/oblasti-cinnosti/financovani-obci/cnb-informace-o-zapujcnich-urokovych-sazbach-pro-naplneni-zakona-o-spotrebitelskem-uveru.aspx" TargetMode="External"/><Relationship Id="rId21" Type="http://schemas.openxmlformats.org/officeDocument/2006/relationships/image" Target="media/image6.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495E2E-ACB5-421C-9733-8CA42B5E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4277</TotalTime>
  <Application>LibreOffice/5.1.6.2$Linux_X86_64 LibreOffice_project/10m0$Build-2</Application>
  <Pages>1</Pages>
  <Words>15033</Words>
  <CharactersWithSpaces>88700</CharactersWithSpaces>
  <Paragraphs>207</Paragraphs>
  <Company>BDO Audit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2017-03-02T17:27:00Z</dcterms:created>
  <dc:creator>tocauer</dc:creator>
  <dc:description/>
  <dc:language>en-US</dc:language>
  <cp:lastModifiedBy>Martin 2017</cp:lastModifiedBy>
  <cp:lastPrinted>2017-04-04T21:20:00Z</cp:lastPrinted>
  <dcterms:modified xsi:type="dcterms:W3CDTF">2017-06-25T08:29:00Z</dcterms:modified>
  <cp:revision>1223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BDO Audit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