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FDB1" w14:textId="77777777" w:rsidR="00225436" w:rsidRPr="00225436" w:rsidRDefault="00225436" w:rsidP="00225436">
      <w:pPr>
        <w:rPr>
          <w:b/>
          <w:bCs/>
        </w:rPr>
      </w:pPr>
      <w:r w:rsidRPr="00225436">
        <w:rPr>
          <w:b/>
          <w:bCs/>
        </w:rPr>
        <w:t xml:space="preserve">What </w:t>
      </w:r>
      <w:proofErr w:type="spellStart"/>
      <w:r w:rsidRPr="00225436">
        <w:rPr>
          <w:b/>
          <w:bCs/>
        </w:rPr>
        <w:t>Žurek</w:t>
      </w:r>
      <w:proofErr w:type="spellEnd"/>
      <w:r w:rsidRPr="00225436">
        <w:rPr>
          <w:b/>
          <w:bCs/>
        </w:rPr>
        <w:t xml:space="preserve"> Delivers</w:t>
      </w:r>
    </w:p>
    <w:p w14:paraId="07295AD4" w14:textId="77777777" w:rsidR="00225436" w:rsidRPr="00225436" w:rsidRDefault="00225436" w:rsidP="00225436">
      <w:proofErr w:type="spellStart"/>
      <w:r w:rsidRPr="00225436">
        <w:t>Žurek's</w:t>
      </w:r>
      <w:proofErr w:type="spellEnd"/>
      <w:r w:rsidRPr="00225436">
        <w:t xml:space="preserve"> finding is a </w:t>
      </w:r>
      <w:r w:rsidRPr="00225436">
        <w:rPr>
          <w:b/>
          <w:bCs/>
        </w:rPr>
        <w:t>structural complement</w:t>
      </w:r>
      <w:r w:rsidRPr="00225436">
        <w:t xml:space="preserve"> to the Eucharistic rite analysis. Together they reveal an internal asymmetry within the </w:t>
      </w:r>
      <w:proofErr w:type="gramStart"/>
      <w:r w:rsidRPr="00225436">
        <w:t>Agenda</w:t>
      </w:r>
      <w:proofErr w:type="gramEnd"/>
      <w:r w:rsidRPr="00225436">
        <w:t xml:space="preserve"> </w:t>
      </w:r>
      <w:proofErr w:type="spellStart"/>
      <w:r w:rsidRPr="00225436">
        <w:t>Česká</w:t>
      </w:r>
      <w:proofErr w:type="spellEnd"/>
      <w:r w:rsidRPr="00225436">
        <w:t xml:space="preserve"> that's analytically powerful:</w:t>
      </w:r>
    </w:p>
    <w:p w14:paraId="588E1D3A" w14:textId="77777777" w:rsidR="00225436" w:rsidRPr="00225436" w:rsidRDefault="00225436" w:rsidP="00225436">
      <w:r w:rsidRPr="00225436">
        <w:rPr>
          <w:b/>
          <w:bCs/>
        </w:rPr>
        <w:t>The Eucharistic rite</w:t>
      </w:r>
      <w:r w:rsidRPr="00225436">
        <w:t xml:space="preserve"> (our analysis) → </w:t>
      </w:r>
      <w:r w:rsidRPr="00225436">
        <w:rPr>
          <w:b/>
          <w:bCs/>
        </w:rPr>
        <w:t>irenic, broad</w:t>
      </w:r>
      <w:r w:rsidRPr="00225436">
        <w:t xml:space="preserve"> register. Compatible with multiple confessional positions. Avoids polemical Lutheran distinctives.</w:t>
      </w:r>
    </w:p>
    <w:p w14:paraId="5F042C56" w14:textId="77777777" w:rsidR="00225436" w:rsidRPr="00225436" w:rsidRDefault="00225436" w:rsidP="00225436">
      <w:r w:rsidRPr="00225436">
        <w:rPr>
          <w:b/>
          <w:bCs/>
        </w:rPr>
        <w:t xml:space="preserve">The </w:t>
      </w:r>
      <w:proofErr w:type="spellStart"/>
      <w:r w:rsidRPr="00225436">
        <w:rPr>
          <w:b/>
          <w:bCs/>
        </w:rPr>
        <w:t>sanctoral</w:t>
      </w:r>
      <w:proofErr w:type="spellEnd"/>
      <w:r w:rsidRPr="00225436">
        <w:rPr>
          <w:b/>
          <w:bCs/>
        </w:rPr>
        <w:t>/calendar</w:t>
      </w:r>
      <w:r w:rsidRPr="00225436">
        <w:t xml:space="preserve"> (</w:t>
      </w:r>
      <w:proofErr w:type="spellStart"/>
      <w:r w:rsidRPr="00225436">
        <w:t>Žurek</w:t>
      </w:r>
      <w:proofErr w:type="spellEnd"/>
      <w:r w:rsidRPr="00225436">
        <w:t xml:space="preserve">) → </w:t>
      </w:r>
      <w:r w:rsidRPr="00225436">
        <w:rPr>
          <w:b/>
          <w:bCs/>
        </w:rPr>
        <w:t>sharply Lutheran</w:t>
      </w:r>
      <w:r w:rsidRPr="00225436">
        <w:t xml:space="preserve">. Reduced exclusively to scriptural figures. Eliminates the rich </w:t>
      </w:r>
      <w:proofErr w:type="spellStart"/>
      <w:r w:rsidRPr="00225436">
        <w:t>Utraquist</w:t>
      </w:r>
      <w:proofErr w:type="spellEnd"/>
      <w:r w:rsidRPr="00225436">
        <w:t xml:space="preserve"> calendar of saints.</w:t>
      </w:r>
    </w:p>
    <w:p w14:paraId="3E25B928" w14:textId="77777777" w:rsidR="00225436" w:rsidRPr="00225436" w:rsidRDefault="00225436" w:rsidP="00225436">
      <w:r w:rsidRPr="00225436">
        <w:rPr>
          <w:b/>
          <w:bCs/>
        </w:rPr>
        <w:t>And nobody followed the calendar.</w:t>
      </w:r>
      <w:r w:rsidRPr="00225436">
        <w:t xml:space="preserve"> Not a single gradual was composed on the </w:t>
      </w:r>
      <w:proofErr w:type="gramStart"/>
      <w:r w:rsidRPr="00225436">
        <w:t>Agenda</w:t>
      </w:r>
      <w:proofErr w:type="gramEnd"/>
      <w:r w:rsidRPr="00225436">
        <w:t xml:space="preserve"> </w:t>
      </w:r>
      <w:proofErr w:type="spellStart"/>
      <w:r w:rsidRPr="00225436">
        <w:t>Česká's</w:t>
      </w:r>
      <w:proofErr w:type="spellEnd"/>
      <w:r w:rsidRPr="00225436">
        <w:t xml:space="preserve"> requirements. The </w:t>
      </w:r>
      <w:proofErr w:type="spellStart"/>
      <w:r w:rsidRPr="00225436">
        <w:t>Utraquist</w:t>
      </w:r>
      <w:proofErr w:type="spellEnd"/>
      <w:r w:rsidRPr="00225436">
        <w:t xml:space="preserve"> worship communities continued celebrating their traditional saints (including Hus, Wenceslaus, Ludmila, Procopius) regardless of what the </w:t>
      </w:r>
      <w:proofErr w:type="gramStart"/>
      <w:r w:rsidRPr="00225436">
        <w:t>Agenda</w:t>
      </w:r>
      <w:proofErr w:type="gramEnd"/>
      <w:r w:rsidRPr="00225436">
        <w:t xml:space="preserve"> prescribed.</w:t>
      </w:r>
    </w:p>
    <w:p w14:paraId="483D0C2C" w14:textId="77777777" w:rsidR="00225436" w:rsidRPr="00225436" w:rsidRDefault="00225436" w:rsidP="00225436">
      <w:r w:rsidRPr="00225436">
        <w:t xml:space="preserve">This creates a fascinating interpretive picture for §4.4 and for the chapter's broader argument: the </w:t>
      </w:r>
      <w:proofErr w:type="gramStart"/>
      <w:r w:rsidRPr="00225436">
        <w:t>Agenda</w:t>
      </w:r>
      <w:proofErr w:type="gramEnd"/>
      <w:r w:rsidRPr="00225436">
        <w:t xml:space="preserve"> </w:t>
      </w:r>
      <w:proofErr w:type="spellStart"/>
      <w:r w:rsidRPr="00225436">
        <w:t>Česká</w:t>
      </w:r>
      <w:proofErr w:type="spellEnd"/>
      <w:r w:rsidRPr="00225436">
        <w:t xml:space="preserve"> was pushing a Lutheran </w:t>
      </w:r>
      <w:r w:rsidRPr="00225436">
        <w:rPr>
          <w:i/>
          <w:iCs/>
        </w:rPr>
        <w:t>sola Scriptura</w:t>
      </w:r>
      <w:r w:rsidRPr="00225436">
        <w:t xml:space="preserve"> agenda in the calendar while accommodating non-Lutheran sensibilities in the sacraments. Different domains of liturgical life were being </w:t>
      </w:r>
      <w:proofErr w:type="spellStart"/>
      <w:r w:rsidRPr="00225436">
        <w:t>confessionalised</w:t>
      </w:r>
      <w:proofErr w:type="spellEnd"/>
      <w:r w:rsidRPr="00225436">
        <w:t xml:space="preserve"> at different rates. The calendar was the most visible, most easily policed dimension of confessional identity — and it was precisely there that the Lutheran </w:t>
      </w:r>
      <w:proofErr w:type="spellStart"/>
      <w:r w:rsidRPr="00225436">
        <w:t>programme</w:t>
      </w:r>
      <w:proofErr w:type="spellEnd"/>
      <w:r w:rsidRPr="00225436">
        <w:t xml:space="preserve"> was rejected by the communities it was meant to serve.</w:t>
      </w:r>
    </w:p>
    <w:p w14:paraId="6908C940" w14:textId="77777777" w:rsidR="00225436" w:rsidRPr="00225436" w:rsidRDefault="00225436" w:rsidP="00225436">
      <w:r w:rsidRPr="00225436">
        <w:t xml:space="preserve">The implication for §5 is </w:t>
      </w:r>
      <w:proofErr w:type="spellStart"/>
      <w:r w:rsidRPr="00225436">
        <w:t>tantalising</w:t>
      </w:r>
      <w:proofErr w:type="spellEnd"/>
      <w:r w:rsidRPr="00225436">
        <w:t xml:space="preserve">: if the </w:t>
      </w:r>
      <w:proofErr w:type="gramStart"/>
      <w:r w:rsidRPr="00225436">
        <w:t>Agenda</w:t>
      </w:r>
      <w:proofErr w:type="gramEnd"/>
      <w:r w:rsidRPr="00225436">
        <w:t xml:space="preserve"> </w:t>
      </w:r>
      <w:proofErr w:type="spellStart"/>
      <w:r w:rsidRPr="00225436">
        <w:t>Česká</w:t>
      </w:r>
      <w:proofErr w:type="spellEnd"/>
      <w:r w:rsidRPr="00225436">
        <w:t xml:space="preserve"> </w:t>
      </w:r>
      <w:r w:rsidRPr="00225436">
        <w:rPr>
          <w:i/>
          <w:iCs/>
        </w:rPr>
        <w:t>failed</w:t>
      </w:r>
      <w:r w:rsidRPr="00225436">
        <w:t xml:space="preserve"> to </w:t>
      </w:r>
      <w:proofErr w:type="spellStart"/>
      <w:r w:rsidRPr="00225436">
        <w:t>Lutheranise</w:t>
      </w:r>
      <w:proofErr w:type="spellEnd"/>
      <w:r w:rsidRPr="00225436">
        <w:t xml:space="preserve"> worship practice through a liturgical order, then </w:t>
      </w:r>
      <w:proofErr w:type="spellStart"/>
      <w:r w:rsidRPr="00225436">
        <w:t>Tranovský's</w:t>
      </w:r>
      <w:proofErr w:type="spellEnd"/>
      <w:r w:rsidRPr="00225436">
        <w:t xml:space="preserve"> CS </w:t>
      </w:r>
      <w:r w:rsidRPr="00225436">
        <w:rPr>
          <w:i/>
          <w:iCs/>
        </w:rPr>
        <w:t>succeeded</w:t>
      </w:r>
      <w:r w:rsidRPr="00225436">
        <w:t xml:space="preserve"> through hymnody. The </w:t>
      </w:r>
      <w:proofErr w:type="spellStart"/>
      <w:r w:rsidRPr="00225436">
        <w:t>kancionál</w:t>
      </w:r>
      <w:proofErr w:type="spellEnd"/>
      <w:r w:rsidRPr="00225436">
        <w:t xml:space="preserve"> turned out to be a more effective vehicle for confessional transformation than the agenda. Hymns sung in homes and </w:t>
      </w:r>
      <w:proofErr w:type="spellStart"/>
      <w:r w:rsidRPr="00225436">
        <w:t>memorised</w:t>
      </w:r>
      <w:proofErr w:type="spellEnd"/>
      <w:r w:rsidRPr="00225436">
        <w:t xml:space="preserve"> by generations accomplished what a printed liturgical order could not impose.</w:t>
      </w:r>
    </w:p>
    <w:p w14:paraId="111D9137" w14:textId="77777777" w:rsidR="00225436" w:rsidRPr="00225436" w:rsidRDefault="00225436" w:rsidP="00225436">
      <w:pPr>
        <w:rPr>
          <w:b/>
          <w:bCs/>
        </w:rPr>
      </w:pPr>
      <w:r w:rsidRPr="00225436">
        <w:rPr>
          <w:b/>
          <w:bCs/>
        </w:rPr>
        <w:t xml:space="preserve">What </w:t>
      </w:r>
      <w:proofErr w:type="spellStart"/>
      <w:r w:rsidRPr="00225436">
        <w:rPr>
          <w:b/>
          <w:bCs/>
        </w:rPr>
        <w:t>Chalupský</w:t>
      </w:r>
      <w:proofErr w:type="spellEnd"/>
      <w:r w:rsidRPr="00225436">
        <w:rPr>
          <w:b/>
          <w:bCs/>
        </w:rPr>
        <w:t xml:space="preserve"> Adds</w:t>
      </w:r>
    </w:p>
    <w:p w14:paraId="3658B336" w14:textId="77777777" w:rsidR="00225436" w:rsidRPr="00225436" w:rsidRDefault="00225436" w:rsidP="00225436">
      <w:r w:rsidRPr="00225436">
        <w:t xml:space="preserve">More modest but methodologically useful. His comparison of the baptismal rite (Luther 1526 → Wittenberg 1540 → Agenda </w:t>
      </w:r>
      <w:proofErr w:type="spellStart"/>
      <w:r w:rsidRPr="00225436">
        <w:t>Česká</w:t>
      </w:r>
      <w:proofErr w:type="spellEnd"/>
      <w:r w:rsidRPr="00225436">
        <w:t xml:space="preserve"> 1581) confirms that the </w:t>
      </w:r>
      <w:proofErr w:type="gramStart"/>
      <w:r w:rsidRPr="00225436">
        <w:t>Agenda's</w:t>
      </w:r>
      <w:proofErr w:type="gramEnd"/>
      <w:r w:rsidRPr="00225436">
        <w:t xml:space="preserve"> editors exercised creative editorial freedom — they weren't slavish translators. The optional exorcism and the preservation of Czech liturgical elements (double baptismal question, Hus among minor feasts) show the same mediating posture visible in the Eucharistic rite.</w:t>
      </w:r>
    </w:p>
    <w:p w14:paraId="03DFFC5B" w14:textId="77777777" w:rsidR="00225436" w:rsidRPr="00225436" w:rsidRDefault="00225436" w:rsidP="00225436">
      <w:r w:rsidRPr="00225436">
        <w:t>He also flags Landová 2014 (</w:t>
      </w:r>
      <w:proofErr w:type="spellStart"/>
      <w:r w:rsidRPr="00225436">
        <w:rPr>
          <w:i/>
          <w:iCs/>
        </w:rPr>
        <w:t>Liturgie</w:t>
      </w:r>
      <w:proofErr w:type="spellEnd"/>
      <w:r w:rsidRPr="00225436">
        <w:rPr>
          <w:i/>
          <w:iCs/>
        </w:rPr>
        <w:t xml:space="preserve"> </w:t>
      </w:r>
      <w:proofErr w:type="spellStart"/>
      <w:r w:rsidRPr="00225436">
        <w:rPr>
          <w:i/>
          <w:iCs/>
        </w:rPr>
        <w:t>Jednoty</w:t>
      </w:r>
      <w:proofErr w:type="spellEnd"/>
      <w:r w:rsidRPr="00225436">
        <w:rPr>
          <w:i/>
          <w:iCs/>
        </w:rPr>
        <w:t xml:space="preserve"> </w:t>
      </w:r>
      <w:proofErr w:type="spellStart"/>
      <w:r w:rsidRPr="00225436">
        <w:rPr>
          <w:i/>
          <w:iCs/>
        </w:rPr>
        <w:t>bratrské</w:t>
      </w:r>
      <w:proofErr w:type="spellEnd"/>
      <w:r w:rsidRPr="00225436">
        <w:t xml:space="preserve">) — which is likely our best shot at finding the Unity of Brethren communion rite we need for the §4.1 comparison. Added to the </w:t>
      </w:r>
      <w:proofErr w:type="spellStart"/>
      <w:r w:rsidRPr="00225436">
        <w:t>Source_Index</w:t>
      </w:r>
      <w:proofErr w:type="spellEnd"/>
      <w:r w:rsidRPr="00225436">
        <w:t>.</w:t>
      </w:r>
    </w:p>
    <w:p w14:paraId="68ABAC5A" w14:textId="77777777" w:rsidR="00015F25" w:rsidRDefault="00015F25"/>
    <w:sectPr w:rsidR="00015F25" w:rsidSect="00F94CC6">
      <w:pgSz w:w="11906" w:h="16838" w:code="9"/>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436"/>
    <w:rsid w:val="00015F25"/>
    <w:rsid w:val="00115DA9"/>
    <w:rsid w:val="001B3C6C"/>
    <w:rsid w:val="00225436"/>
    <w:rsid w:val="00796566"/>
    <w:rsid w:val="007B362D"/>
    <w:rsid w:val="00D70E86"/>
    <w:rsid w:val="00ED0AA8"/>
    <w:rsid w:val="00F94CC6"/>
    <w:rsid w:val="00F97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2902F"/>
  <w15:chartTrackingRefBased/>
  <w15:docId w15:val="{801DC8D2-62F7-4AE1-BAC0-C2C2DF07C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436"/>
    <w:rPr>
      <w:rFonts w:eastAsiaTheme="majorEastAsia" w:cstheme="majorBidi"/>
      <w:color w:val="272727" w:themeColor="text1" w:themeTint="D8"/>
    </w:rPr>
  </w:style>
  <w:style w:type="paragraph" w:styleId="Title">
    <w:name w:val="Title"/>
    <w:basedOn w:val="Normal"/>
    <w:next w:val="Normal"/>
    <w:link w:val="TitleChar"/>
    <w:uiPriority w:val="10"/>
    <w:qFormat/>
    <w:rsid w:val="00225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436"/>
    <w:pPr>
      <w:spacing w:before="160"/>
      <w:jc w:val="center"/>
    </w:pPr>
    <w:rPr>
      <w:i/>
      <w:iCs/>
      <w:color w:val="404040" w:themeColor="text1" w:themeTint="BF"/>
    </w:rPr>
  </w:style>
  <w:style w:type="character" w:customStyle="1" w:styleId="QuoteChar">
    <w:name w:val="Quote Char"/>
    <w:basedOn w:val="DefaultParagraphFont"/>
    <w:link w:val="Quote"/>
    <w:uiPriority w:val="29"/>
    <w:rsid w:val="00225436"/>
    <w:rPr>
      <w:i/>
      <w:iCs/>
      <w:color w:val="404040" w:themeColor="text1" w:themeTint="BF"/>
    </w:rPr>
  </w:style>
  <w:style w:type="paragraph" w:styleId="ListParagraph">
    <w:name w:val="List Paragraph"/>
    <w:basedOn w:val="Normal"/>
    <w:uiPriority w:val="34"/>
    <w:qFormat/>
    <w:rsid w:val="00225436"/>
    <w:pPr>
      <w:ind w:left="720"/>
      <w:contextualSpacing/>
    </w:pPr>
  </w:style>
  <w:style w:type="character" w:styleId="IntenseEmphasis">
    <w:name w:val="Intense Emphasis"/>
    <w:basedOn w:val="DefaultParagraphFont"/>
    <w:uiPriority w:val="21"/>
    <w:qFormat/>
    <w:rsid w:val="00225436"/>
    <w:rPr>
      <w:i/>
      <w:iCs/>
      <w:color w:val="0F4761" w:themeColor="accent1" w:themeShade="BF"/>
    </w:rPr>
  </w:style>
  <w:style w:type="paragraph" w:styleId="IntenseQuote">
    <w:name w:val="Intense Quote"/>
    <w:basedOn w:val="Normal"/>
    <w:next w:val="Normal"/>
    <w:link w:val="IntenseQuoteChar"/>
    <w:uiPriority w:val="30"/>
    <w:qFormat/>
    <w:rsid w:val="00225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436"/>
    <w:rPr>
      <w:i/>
      <w:iCs/>
      <w:color w:val="0F4761" w:themeColor="accent1" w:themeShade="BF"/>
    </w:rPr>
  </w:style>
  <w:style w:type="character" w:styleId="IntenseReference">
    <w:name w:val="Intense Reference"/>
    <w:basedOn w:val="DefaultParagraphFont"/>
    <w:uiPriority w:val="32"/>
    <w:qFormat/>
    <w:rsid w:val="002254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1</cp:revision>
  <dcterms:created xsi:type="dcterms:W3CDTF">2026-03-24T16:24:00Z</dcterms:created>
  <dcterms:modified xsi:type="dcterms:W3CDTF">2026-03-24T16:25:00Z</dcterms:modified>
</cp:coreProperties>
</file>