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236E" w14:textId="77777777" w:rsidR="002071ED" w:rsidRPr="002071ED" w:rsidRDefault="002071ED" w:rsidP="002071ED">
      <w:r w:rsidRPr="002071ED">
        <w:t>The analysis is written to Sources/Analysis_Eucharistic_Rite_AgCeska.md — roughly 250 lines of close theological reading. Here's what matters.</w:t>
      </w:r>
    </w:p>
    <w:p w14:paraId="3D0817BD" w14:textId="77777777" w:rsidR="002071ED" w:rsidRPr="002071ED" w:rsidRDefault="002071ED" w:rsidP="002071ED">
      <w:pPr>
        <w:rPr>
          <w:b/>
          <w:bCs/>
        </w:rPr>
      </w:pPr>
      <w:r w:rsidRPr="002071ED">
        <w:rPr>
          <w:b/>
          <w:bCs/>
        </w:rPr>
        <w:t>The headline finding</w:t>
      </w:r>
    </w:p>
    <w:p w14:paraId="7A839356" w14:textId="77777777" w:rsidR="002071ED" w:rsidRPr="002071ED" w:rsidRDefault="002071ED" w:rsidP="002071ED">
      <w:r w:rsidRPr="002071ED">
        <w:t xml:space="preserve">The </w:t>
      </w:r>
      <w:proofErr w:type="gramStart"/>
      <w:r w:rsidRPr="002071ED">
        <w:t>Agenda</w:t>
      </w:r>
      <w:proofErr w:type="gramEnd"/>
      <w:r w:rsidRPr="002071ED">
        <w:t xml:space="preserve"> </w:t>
      </w:r>
      <w:proofErr w:type="spellStart"/>
      <w:r w:rsidRPr="002071ED">
        <w:t>Česká's</w:t>
      </w:r>
      <w:proofErr w:type="spellEnd"/>
      <w:r w:rsidRPr="002071ED">
        <w:t xml:space="preserve"> communion rite is </w:t>
      </w:r>
      <w:r w:rsidRPr="002071ED">
        <w:rPr>
          <w:b/>
          <w:bCs/>
        </w:rPr>
        <w:t>identifiably Lutheran in form</w:t>
      </w:r>
      <w:r w:rsidRPr="002071ED">
        <w:t xml:space="preserve"> but </w:t>
      </w:r>
      <w:r w:rsidRPr="002071ED">
        <w:rPr>
          <w:b/>
          <w:bCs/>
        </w:rPr>
        <w:t>theologically open in content</w:t>
      </w:r>
      <w:r w:rsidRPr="002071ED">
        <w:t xml:space="preserve">. It avoids every polemically distinctive Lutheran Eucharistic commitment while remaining structurally compatible with all of them. The gap between what the Formula of Concord VII </w:t>
      </w:r>
      <w:r w:rsidRPr="002071ED">
        <w:rPr>
          <w:i/>
          <w:iCs/>
        </w:rPr>
        <w:t>demands</w:t>
      </w:r>
      <w:r w:rsidRPr="002071ED">
        <w:t xml:space="preserve"> and what this liturgical text </w:t>
      </w:r>
      <w:r w:rsidRPr="002071ED">
        <w:rPr>
          <w:i/>
          <w:iCs/>
        </w:rPr>
        <w:t>provides</w:t>
      </w:r>
      <w:r w:rsidRPr="002071ED">
        <w:t xml:space="preserve"> is the measure of the distance between </w:t>
      </w:r>
      <w:r w:rsidRPr="002071ED">
        <w:rPr>
          <w:i/>
          <w:iCs/>
        </w:rPr>
        <w:t xml:space="preserve">lex </w:t>
      </w:r>
      <w:proofErr w:type="spellStart"/>
      <w:r w:rsidRPr="002071ED">
        <w:rPr>
          <w:i/>
          <w:iCs/>
        </w:rPr>
        <w:t>credendi</w:t>
      </w:r>
      <w:proofErr w:type="spellEnd"/>
      <w:r w:rsidRPr="002071ED">
        <w:t xml:space="preserve"> and </w:t>
      </w:r>
      <w:r w:rsidRPr="002071ED">
        <w:rPr>
          <w:i/>
          <w:iCs/>
        </w:rPr>
        <w:t xml:space="preserve">lex </w:t>
      </w:r>
      <w:proofErr w:type="spellStart"/>
      <w:r w:rsidRPr="002071ED">
        <w:rPr>
          <w:i/>
          <w:iCs/>
        </w:rPr>
        <w:t>orandi</w:t>
      </w:r>
      <w:proofErr w:type="spellEnd"/>
      <w:r w:rsidRPr="002071ED">
        <w:t xml:space="preserve"> in late-16th-century Central European Lutheranism.</w:t>
      </w:r>
    </w:p>
    <w:p w14:paraId="24B836BE" w14:textId="77777777" w:rsidR="002071ED" w:rsidRPr="002071ED" w:rsidRDefault="002071ED" w:rsidP="002071ED">
      <w:pPr>
        <w:rPr>
          <w:b/>
          <w:bCs/>
        </w:rPr>
      </w:pPr>
      <w:r w:rsidRPr="002071ED">
        <w:rPr>
          <w:b/>
          <w:bCs/>
        </w:rPr>
        <w:t>Five specific observations</w:t>
      </w:r>
    </w:p>
    <w:p w14:paraId="4A18CB19" w14:textId="77777777" w:rsidR="002071ED" w:rsidRPr="002071ED" w:rsidRDefault="002071ED" w:rsidP="002071ED">
      <w:r w:rsidRPr="002071ED">
        <w:rPr>
          <w:b/>
          <w:bCs/>
        </w:rPr>
        <w:t>1. The "proof and testimony" gloss.</w:t>
      </w:r>
      <w:r w:rsidRPr="002071ED">
        <w:t xml:space="preserve"> The admonition quotes "this is my body" and then glosses it: the body is given "k </w:t>
      </w:r>
      <w:proofErr w:type="spellStart"/>
      <w:r w:rsidRPr="002071ED">
        <w:t>gistotnému</w:t>
      </w:r>
      <w:proofErr w:type="spellEnd"/>
      <w:r w:rsidRPr="002071ED">
        <w:t xml:space="preserve"> </w:t>
      </w:r>
      <w:proofErr w:type="spellStart"/>
      <w:r w:rsidRPr="002071ED">
        <w:t>dokázanij</w:t>
      </w:r>
      <w:proofErr w:type="spellEnd"/>
      <w:r w:rsidRPr="002071ED">
        <w:t xml:space="preserve"> a </w:t>
      </w:r>
      <w:proofErr w:type="spellStart"/>
      <w:r w:rsidRPr="002071ED">
        <w:t>swědomij</w:t>
      </w:r>
      <w:proofErr w:type="spellEnd"/>
      <w:r w:rsidRPr="002071ED">
        <w:t xml:space="preserve">" — "for certain proof and testimony" of Christ's salvific work. This interprets the sacrament in </w:t>
      </w:r>
      <w:r w:rsidRPr="002071ED">
        <w:rPr>
          <w:i/>
          <w:iCs/>
        </w:rPr>
        <w:t>functional</w:t>
      </w:r>
      <w:r w:rsidRPr="002071ED">
        <w:t xml:space="preserve"> terms (what it does: assures, strengthens faith) rather than </w:t>
      </w:r>
      <w:r w:rsidRPr="002071ED">
        <w:rPr>
          <w:i/>
          <w:iCs/>
        </w:rPr>
        <w:t>ontological</w:t>
      </w:r>
      <w:r w:rsidRPr="002071ED">
        <w:t xml:space="preserve"> terms (what the bread </w:t>
      </w:r>
      <w:r w:rsidRPr="002071ED">
        <w:rPr>
          <w:i/>
          <w:iCs/>
        </w:rPr>
        <w:t>is</w:t>
      </w:r>
      <w:r w:rsidRPr="002071ED">
        <w:t xml:space="preserve">: body). A Lutheran, a Calvinist, and a mature Unity theologian could all assent to this formulation — which is precisely the point. </w:t>
      </w:r>
      <w:proofErr w:type="gramStart"/>
      <w:r w:rsidRPr="002071ED">
        <w:t>The liturgy</w:t>
      </w:r>
      <w:proofErr w:type="gramEnd"/>
      <w:r w:rsidRPr="002071ED">
        <w:t xml:space="preserve"> doesn't arbitrate the doctrinal dispute.</w:t>
      </w:r>
    </w:p>
    <w:p w14:paraId="34346123" w14:textId="77777777" w:rsidR="002071ED" w:rsidRPr="002071ED" w:rsidRDefault="002071ED" w:rsidP="002071ED">
      <w:r w:rsidRPr="002071ED">
        <w:rPr>
          <w:b/>
          <w:bCs/>
        </w:rPr>
        <w:t>2. No FC VII distinctives.</w:t>
      </w:r>
      <w:r w:rsidRPr="002071ED">
        <w:t xml:space="preserve"> No "in, with, and under." No </w:t>
      </w:r>
      <w:proofErr w:type="spellStart"/>
      <w:r w:rsidRPr="002071ED">
        <w:rPr>
          <w:i/>
          <w:iCs/>
        </w:rPr>
        <w:t>manducatio</w:t>
      </w:r>
      <w:proofErr w:type="spellEnd"/>
      <w:r w:rsidRPr="002071ED">
        <w:rPr>
          <w:i/>
          <w:iCs/>
        </w:rPr>
        <w:t xml:space="preserve"> </w:t>
      </w:r>
      <w:proofErr w:type="spellStart"/>
      <w:r w:rsidRPr="002071ED">
        <w:rPr>
          <w:i/>
          <w:iCs/>
        </w:rPr>
        <w:t>impiorum</w:t>
      </w:r>
      <w:proofErr w:type="spellEnd"/>
      <w:r w:rsidRPr="002071ED">
        <w:t xml:space="preserve">. No insistence that the body is present regardless of the communicant's faith. The rite warns against "unworthy reception" but defines unworthiness as </w:t>
      </w:r>
      <w:r w:rsidRPr="002071ED">
        <w:rPr>
          <w:i/>
          <w:iCs/>
        </w:rPr>
        <w:t>absence of faith</w:t>
      </w:r>
      <w:r w:rsidRPr="002071ED">
        <w:t xml:space="preserve">, not as receiving a metaphysically real body without faith. FC VII's distinctive contribution to Eucharistic theology — that even the unbelieving </w:t>
      </w:r>
      <w:proofErr w:type="gramStart"/>
      <w:r w:rsidRPr="002071ED">
        <w:t>receive</w:t>
      </w:r>
      <w:proofErr w:type="gramEnd"/>
      <w:r w:rsidRPr="002071ED">
        <w:t xml:space="preserve"> Christ's true body, to their condemnation — is simply not here.</w:t>
      </w:r>
    </w:p>
    <w:p w14:paraId="587F5A7F" w14:textId="77777777" w:rsidR="002071ED" w:rsidRPr="002071ED" w:rsidRDefault="002071ED" w:rsidP="002071ED">
      <w:r w:rsidRPr="002071ED">
        <w:rPr>
          <w:b/>
          <w:bCs/>
        </w:rPr>
        <w:t>3. Compatible with the Unity's "spiritual presence."</w:t>
      </w:r>
      <w:r w:rsidRPr="002071ED">
        <w:t xml:space="preserve"> The testimonial-functional language of the admonition is remarkably close to the mature Unity of Brethren position after Lukáš Pražský's sacramental turn. The emphasis on faith as the condition of fruitful reception, the description of the sacrament as strengthening faith and love, the absence of metaphysical presence-claims — all this would have been acceptable to a Unity pastor. It is curious, however, that this compatibility goes unremarked in the </w:t>
      </w:r>
      <w:proofErr w:type="gramStart"/>
      <w:r w:rsidRPr="002071ED">
        <w:t>Agenda's</w:t>
      </w:r>
      <w:proofErr w:type="gramEnd"/>
      <w:r w:rsidRPr="002071ED">
        <w:t xml:space="preserve"> own preface, which claims alignment with the Augsburg Confession alone.</w:t>
      </w:r>
    </w:p>
    <w:p w14:paraId="28BFB1B9" w14:textId="77777777" w:rsidR="002071ED" w:rsidRPr="002071ED" w:rsidRDefault="002071ED" w:rsidP="002071ED">
      <w:r w:rsidRPr="002071ED">
        <w:rPr>
          <w:b/>
          <w:bCs/>
        </w:rPr>
        <w:t>4. The spectrum within the codex.</w:t>
      </w:r>
      <w:r w:rsidRPr="002071ED">
        <w:t xml:space="preserve"> Benka shows that the </w:t>
      </w:r>
      <w:proofErr w:type="spellStart"/>
      <w:r w:rsidRPr="002071ED">
        <w:t>Bystrická</w:t>
      </w:r>
      <w:proofErr w:type="spellEnd"/>
      <w:r w:rsidRPr="002071ED">
        <w:t xml:space="preserve"> agenda (1585), bound with the same print, </w:t>
      </w:r>
      <w:r w:rsidRPr="002071ED">
        <w:rPr>
          <w:i/>
          <w:iCs/>
        </w:rPr>
        <w:t>hardens</w:t>
      </w:r>
      <w:r w:rsidRPr="002071ED">
        <w:t xml:space="preserve"> the Eucharistic language toward explicit </w:t>
      </w:r>
      <w:proofErr w:type="spellStart"/>
      <w:r w:rsidRPr="002071ED">
        <w:rPr>
          <w:i/>
          <w:iCs/>
        </w:rPr>
        <w:t>manducatio</w:t>
      </w:r>
      <w:proofErr w:type="spellEnd"/>
      <w:r w:rsidRPr="002071ED">
        <w:rPr>
          <w:i/>
          <w:iCs/>
        </w:rPr>
        <w:t xml:space="preserve"> </w:t>
      </w:r>
      <w:proofErr w:type="spellStart"/>
      <w:r w:rsidRPr="002071ED">
        <w:rPr>
          <w:i/>
          <w:iCs/>
        </w:rPr>
        <w:t>impiorum</w:t>
      </w:r>
      <w:proofErr w:type="spellEnd"/>
      <w:r w:rsidRPr="002071ED">
        <w:t xml:space="preserve">. </w:t>
      </w:r>
      <w:proofErr w:type="gramStart"/>
      <w:r w:rsidRPr="002071ED">
        <w:t>So</w:t>
      </w:r>
      <w:proofErr w:type="gramEnd"/>
      <w:r w:rsidRPr="002071ED">
        <w:t xml:space="preserve"> we have a documented gradient: the printed Czech template (1581) is broad/irenic; the handwritten Slovak supplement (1585) is confessionally sharper. This is </w:t>
      </w:r>
      <w:proofErr w:type="spellStart"/>
      <w:r w:rsidRPr="002071ED">
        <w:t>confessionalisation</w:t>
      </w:r>
      <w:proofErr w:type="spellEnd"/>
      <w:r w:rsidRPr="002071ED">
        <w:t xml:space="preserve"> happening at the liturgical level, visible within a single physical book.</w:t>
      </w:r>
    </w:p>
    <w:p w14:paraId="5D11DC26" w14:textId="77777777" w:rsidR="002071ED" w:rsidRPr="002071ED" w:rsidRDefault="002071ED" w:rsidP="002071ED">
      <w:r w:rsidRPr="002071ED">
        <w:rPr>
          <w:b/>
          <w:bCs/>
        </w:rPr>
        <w:t>5. The Thanksgiving prayer as the strongest presence-language.</w:t>
      </w:r>
      <w:r w:rsidRPr="002071ED">
        <w:t xml:space="preserve"> The most explicit statement in the entire </w:t>
      </w:r>
      <w:proofErr w:type="gramStart"/>
      <w:r w:rsidRPr="002071ED">
        <w:t>rite — "</w:t>
      </w:r>
      <w:proofErr w:type="gramEnd"/>
      <w:r w:rsidRPr="002071ED">
        <w:t xml:space="preserve">in which we eat his Holy Body and drink his Holy </w:t>
      </w:r>
      <w:proofErr w:type="gramStart"/>
      <w:r w:rsidRPr="002071ED">
        <w:t xml:space="preserve">Blood" </w:t>
      </w:r>
      <w:r w:rsidRPr="002071ED">
        <w:lastRenderedPageBreak/>
        <w:t>—</w:t>
      </w:r>
      <w:proofErr w:type="gramEnd"/>
      <w:r w:rsidRPr="002071ED">
        <w:t xml:space="preserve"> occurs in the </w:t>
      </w:r>
      <w:r w:rsidRPr="002071ED">
        <w:rPr>
          <w:i/>
          <w:iCs/>
        </w:rPr>
        <w:t>second</w:t>
      </w:r>
      <w:r w:rsidRPr="002071ED">
        <w:t xml:space="preserve"> thanksgiving prayer (an alternative form, not the primary). Even here, the body/blood are located "in" the sacramental action (</w:t>
      </w:r>
      <w:r w:rsidRPr="002071ED">
        <w:rPr>
          <w:i/>
          <w:iCs/>
        </w:rPr>
        <w:t xml:space="preserve">w </w:t>
      </w:r>
      <w:proofErr w:type="spellStart"/>
      <w:r w:rsidRPr="002071ED">
        <w:rPr>
          <w:i/>
          <w:iCs/>
        </w:rPr>
        <w:t>nijžto</w:t>
      </w:r>
      <w:proofErr w:type="spellEnd"/>
      <w:r w:rsidRPr="002071ED">
        <w:t xml:space="preserve">), not identified </w:t>
      </w:r>
      <w:r w:rsidRPr="002071ED">
        <w:rPr>
          <w:i/>
          <w:iCs/>
        </w:rPr>
        <w:t>with</w:t>
      </w:r>
      <w:r w:rsidRPr="002071ED">
        <w:t xml:space="preserve"> the bread and wine. This is consistent with real presence but does not require it.</w:t>
      </w:r>
    </w:p>
    <w:p w14:paraId="113784C2" w14:textId="77777777" w:rsidR="002071ED" w:rsidRPr="002071ED" w:rsidRDefault="002071ED" w:rsidP="002071ED">
      <w:pPr>
        <w:rPr>
          <w:b/>
          <w:bCs/>
        </w:rPr>
      </w:pPr>
      <w:r w:rsidRPr="002071ED">
        <w:rPr>
          <w:b/>
          <w:bCs/>
        </w:rPr>
        <w:t>What this means for the chapter's architecture</w:t>
      </w:r>
    </w:p>
    <w:p w14:paraId="19ECCFFC" w14:textId="77777777" w:rsidR="002071ED" w:rsidRPr="002071ED" w:rsidRDefault="002071ED" w:rsidP="002071ED">
      <w:r w:rsidRPr="002071ED">
        <w:t>The §4.1 argument can now be built on a three-layer structure:</w:t>
      </w:r>
    </w:p>
    <w:p w14:paraId="2CF3B14B" w14:textId="77777777" w:rsidR="002071ED" w:rsidRPr="002071ED" w:rsidRDefault="002071ED" w:rsidP="002071ED">
      <w:pPr>
        <w:numPr>
          <w:ilvl w:val="0"/>
          <w:numId w:val="1"/>
        </w:numPr>
      </w:pPr>
      <w:r w:rsidRPr="002071ED">
        <w:rPr>
          <w:b/>
          <w:bCs/>
        </w:rPr>
        <w:t>Layer 1 (</w:t>
      </w:r>
      <w:r w:rsidRPr="002071ED">
        <w:rPr>
          <w:b/>
          <w:bCs/>
          <w:i/>
          <w:iCs/>
        </w:rPr>
        <w:t xml:space="preserve">lex </w:t>
      </w:r>
      <w:proofErr w:type="spellStart"/>
      <w:r w:rsidRPr="002071ED">
        <w:rPr>
          <w:b/>
          <w:bCs/>
          <w:i/>
          <w:iCs/>
        </w:rPr>
        <w:t>credendi</w:t>
      </w:r>
      <w:proofErr w:type="spellEnd"/>
      <w:r w:rsidRPr="002071ED">
        <w:rPr>
          <w:b/>
          <w:bCs/>
        </w:rPr>
        <w:t>):</w:t>
      </w:r>
      <w:r w:rsidRPr="002071ED">
        <w:t xml:space="preserve"> The confessional documents draw hard doctrinal lines on the Eucharist. FC VII, </w:t>
      </w:r>
      <w:proofErr w:type="spellStart"/>
      <w:r w:rsidRPr="002071ED">
        <w:t>Confessio</w:t>
      </w:r>
      <w:proofErr w:type="spellEnd"/>
      <w:r w:rsidRPr="002071ED">
        <w:t xml:space="preserve"> Fidei 1535, the Four Articles — these create the OFFICIAL picture of sharp confessional difference.</w:t>
      </w:r>
    </w:p>
    <w:p w14:paraId="1BE54D4F" w14:textId="77777777" w:rsidR="002071ED" w:rsidRPr="002071ED" w:rsidRDefault="002071ED" w:rsidP="002071ED">
      <w:pPr>
        <w:numPr>
          <w:ilvl w:val="0"/>
          <w:numId w:val="1"/>
        </w:numPr>
      </w:pPr>
      <w:r w:rsidRPr="002071ED">
        <w:rPr>
          <w:b/>
          <w:bCs/>
        </w:rPr>
        <w:t>Layer 2 (</w:t>
      </w:r>
      <w:r w:rsidRPr="002071ED">
        <w:rPr>
          <w:b/>
          <w:bCs/>
          <w:i/>
          <w:iCs/>
        </w:rPr>
        <w:t xml:space="preserve">lex </w:t>
      </w:r>
      <w:proofErr w:type="spellStart"/>
      <w:r w:rsidRPr="002071ED">
        <w:rPr>
          <w:b/>
          <w:bCs/>
          <w:i/>
          <w:iCs/>
        </w:rPr>
        <w:t>orandi</w:t>
      </w:r>
      <w:proofErr w:type="spellEnd"/>
      <w:r w:rsidRPr="002071ED">
        <w:rPr>
          <w:b/>
          <w:bCs/>
        </w:rPr>
        <w:t>):</w:t>
      </w:r>
      <w:r w:rsidRPr="002071ED">
        <w:t xml:space="preserve"> The Agenda </w:t>
      </w:r>
      <w:proofErr w:type="spellStart"/>
      <w:r w:rsidRPr="002071ED">
        <w:t>Česká</w:t>
      </w:r>
      <w:proofErr w:type="spellEnd"/>
      <w:r w:rsidRPr="002071ED">
        <w:t xml:space="preserve"> 1581 shows that actual liturgical practice was more accommodating. The communion rite could be celebrated by clergy who held different Eucharistic theologies. The liturgy operated below the threshold of confessional polemic.</w:t>
      </w:r>
    </w:p>
    <w:p w14:paraId="46D398FB" w14:textId="77777777" w:rsidR="002071ED" w:rsidRPr="002071ED" w:rsidRDefault="002071ED" w:rsidP="002071ED">
      <w:pPr>
        <w:numPr>
          <w:ilvl w:val="0"/>
          <w:numId w:val="1"/>
        </w:numPr>
      </w:pPr>
      <w:r w:rsidRPr="002071ED">
        <w:rPr>
          <w:b/>
          <w:bCs/>
        </w:rPr>
        <w:t>Layer 3 (</w:t>
      </w:r>
      <w:proofErr w:type="spellStart"/>
      <w:r w:rsidRPr="002071ED">
        <w:rPr>
          <w:b/>
          <w:bCs/>
        </w:rPr>
        <w:t>confessionalisation</w:t>
      </w:r>
      <w:proofErr w:type="spellEnd"/>
      <w:r w:rsidRPr="002071ED">
        <w:rPr>
          <w:b/>
          <w:bCs/>
        </w:rPr>
        <w:t xml:space="preserve"> gradient):</w:t>
      </w:r>
      <w:r w:rsidRPr="002071ED">
        <w:t xml:space="preserve"> The trajectory from Agenda </w:t>
      </w:r>
      <w:proofErr w:type="spellStart"/>
      <w:r w:rsidRPr="002071ED">
        <w:t>Česká</w:t>
      </w:r>
      <w:proofErr w:type="spellEnd"/>
      <w:r w:rsidRPr="002071ED">
        <w:t xml:space="preserve"> (1581) → </w:t>
      </w:r>
      <w:proofErr w:type="spellStart"/>
      <w:r w:rsidRPr="002071ED">
        <w:t>Bystrická</w:t>
      </w:r>
      <w:proofErr w:type="spellEnd"/>
      <w:r w:rsidRPr="002071ED">
        <w:t xml:space="preserve"> agenda (1585) → Cithara Sanctorum (1636) shows the progressive </w:t>
      </w:r>
      <w:r w:rsidRPr="002071ED">
        <w:rPr>
          <w:i/>
          <w:iCs/>
        </w:rPr>
        <w:t>closing</w:t>
      </w:r>
      <w:r w:rsidRPr="002071ED">
        <w:t xml:space="preserve"> of this liturgical space. Each step in the chain makes the Lutheran identity more explicit. </w:t>
      </w:r>
      <w:proofErr w:type="spellStart"/>
      <w:r w:rsidRPr="002071ED">
        <w:t>Tranovský's</w:t>
      </w:r>
      <w:proofErr w:type="spellEnd"/>
      <w:r w:rsidRPr="002071ED">
        <w:t xml:space="preserve"> editorial filtering of Eucharistic hymns (Grešová-</w:t>
      </w:r>
      <w:proofErr w:type="spellStart"/>
      <w:r w:rsidRPr="002071ED">
        <w:t>Sekelská's</w:t>
      </w:r>
      <w:proofErr w:type="spellEnd"/>
      <w:r w:rsidRPr="002071ED">
        <w:t xml:space="preserve"> "confessionally sensitive rubrics") is the final stage of a process that began in the manuscript margins of the </w:t>
      </w:r>
      <w:proofErr w:type="spellStart"/>
      <w:r w:rsidRPr="002071ED">
        <w:t>Bystrická</w:t>
      </w:r>
      <w:proofErr w:type="spellEnd"/>
      <w:r w:rsidRPr="002071ED">
        <w:t xml:space="preserve"> agenda.</w:t>
      </w:r>
    </w:p>
    <w:p w14:paraId="3EA0A163" w14:textId="77777777" w:rsidR="002071ED" w:rsidRPr="002071ED" w:rsidRDefault="002071ED" w:rsidP="002071ED">
      <w:pPr>
        <w:rPr>
          <w:b/>
          <w:bCs/>
        </w:rPr>
      </w:pPr>
      <w:r w:rsidRPr="002071ED">
        <w:rPr>
          <w:b/>
          <w:bCs/>
        </w:rPr>
        <w:t>What we still need</w:t>
      </w:r>
    </w:p>
    <w:p w14:paraId="335C2264" w14:textId="77777777" w:rsidR="002071ED" w:rsidRPr="002071ED" w:rsidRDefault="002071ED" w:rsidP="002071ED">
      <w:r w:rsidRPr="002071ED">
        <w:t xml:space="preserve">The analysis flags five concrete next-steps in its final section: (1) FC VII text for side-by-side comparison, (2) </w:t>
      </w:r>
      <w:proofErr w:type="spellStart"/>
      <w:r w:rsidRPr="002071ED">
        <w:t>Confessio</w:t>
      </w:r>
      <w:proofErr w:type="spellEnd"/>
      <w:r w:rsidRPr="002071ED">
        <w:t xml:space="preserve"> Fidei 1535 Eucharistic articles, (3) </w:t>
      </w:r>
      <w:proofErr w:type="spellStart"/>
      <w:r w:rsidRPr="002071ED">
        <w:t>Confessio</w:t>
      </w:r>
      <w:proofErr w:type="spellEnd"/>
      <w:r w:rsidRPr="002071ED">
        <w:t xml:space="preserve"> Bohemica 1575 Eucharistic articles, (4) the CS "O </w:t>
      </w:r>
      <w:proofErr w:type="spellStart"/>
      <w:r w:rsidRPr="002071ED">
        <w:t>Wečeří</w:t>
      </w:r>
      <w:proofErr w:type="spellEnd"/>
      <w:r w:rsidRPr="002071ED">
        <w:t xml:space="preserve"> </w:t>
      </w:r>
      <w:proofErr w:type="spellStart"/>
      <w:r w:rsidRPr="002071ED">
        <w:t>Páně</w:t>
      </w:r>
      <w:proofErr w:type="spellEnd"/>
      <w:r w:rsidRPr="002071ED">
        <w:t>" hymns, and (5) a comparable Unity communion rite. These are now the priority acquisitions for the next phase of work.</w:t>
      </w:r>
    </w:p>
    <w:p w14:paraId="6937BC1B" w14:textId="77777777" w:rsidR="00015F25" w:rsidRDefault="00015F25"/>
    <w:sectPr w:rsidR="00015F25" w:rsidSect="00F94CC6">
      <w:pgSz w:w="11906" w:h="16838" w:code="9"/>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16FFE"/>
    <w:multiLevelType w:val="multilevel"/>
    <w:tmpl w:val="517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39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ED"/>
    <w:rsid w:val="00015F25"/>
    <w:rsid w:val="00115DA9"/>
    <w:rsid w:val="001B3C6C"/>
    <w:rsid w:val="002071ED"/>
    <w:rsid w:val="00796566"/>
    <w:rsid w:val="007B362D"/>
    <w:rsid w:val="00D70E86"/>
    <w:rsid w:val="00ED0AA8"/>
    <w:rsid w:val="00F94CC6"/>
    <w:rsid w:val="00F9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C04E"/>
  <w15:chartTrackingRefBased/>
  <w15:docId w15:val="{E1F3F426-400A-4AF4-BDE4-89A6D6C7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1ED"/>
    <w:rPr>
      <w:rFonts w:eastAsiaTheme="majorEastAsia" w:cstheme="majorBidi"/>
      <w:color w:val="272727" w:themeColor="text1" w:themeTint="D8"/>
    </w:rPr>
  </w:style>
  <w:style w:type="paragraph" w:styleId="Title">
    <w:name w:val="Title"/>
    <w:basedOn w:val="Normal"/>
    <w:next w:val="Normal"/>
    <w:link w:val="TitleChar"/>
    <w:uiPriority w:val="10"/>
    <w:qFormat/>
    <w:rsid w:val="00207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1ED"/>
    <w:pPr>
      <w:spacing w:before="160"/>
      <w:jc w:val="center"/>
    </w:pPr>
    <w:rPr>
      <w:i/>
      <w:iCs/>
      <w:color w:val="404040" w:themeColor="text1" w:themeTint="BF"/>
    </w:rPr>
  </w:style>
  <w:style w:type="character" w:customStyle="1" w:styleId="QuoteChar">
    <w:name w:val="Quote Char"/>
    <w:basedOn w:val="DefaultParagraphFont"/>
    <w:link w:val="Quote"/>
    <w:uiPriority w:val="29"/>
    <w:rsid w:val="002071ED"/>
    <w:rPr>
      <w:i/>
      <w:iCs/>
      <w:color w:val="404040" w:themeColor="text1" w:themeTint="BF"/>
    </w:rPr>
  </w:style>
  <w:style w:type="paragraph" w:styleId="ListParagraph">
    <w:name w:val="List Paragraph"/>
    <w:basedOn w:val="Normal"/>
    <w:uiPriority w:val="34"/>
    <w:qFormat/>
    <w:rsid w:val="002071ED"/>
    <w:pPr>
      <w:ind w:left="720"/>
      <w:contextualSpacing/>
    </w:pPr>
  </w:style>
  <w:style w:type="character" w:styleId="IntenseEmphasis">
    <w:name w:val="Intense Emphasis"/>
    <w:basedOn w:val="DefaultParagraphFont"/>
    <w:uiPriority w:val="21"/>
    <w:qFormat/>
    <w:rsid w:val="002071ED"/>
    <w:rPr>
      <w:i/>
      <w:iCs/>
      <w:color w:val="0F4761" w:themeColor="accent1" w:themeShade="BF"/>
    </w:rPr>
  </w:style>
  <w:style w:type="paragraph" w:styleId="IntenseQuote">
    <w:name w:val="Intense Quote"/>
    <w:basedOn w:val="Normal"/>
    <w:next w:val="Normal"/>
    <w:link w:val="IntenseQuoteChar"/>
    <w:uiPriority w:val="30"/>
    <w:qFormat/>
    <w:rsid w:val="00207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1ED"/>
    <w:rPr>
      <w:i/>
      <w:iCs/>
      <w:color w:val="0F4761" w:themeColor="accent1" w:themeShade="BF"/>
    </w:rPr>
  </w:style>
  <w:style w:type="character" w:styleId="IntenseReference">
    <w:name w:val="Intense Reference"/>
    <w:basedOn w:val="DefaultParagraphFont"/>
    <w:uiPriority w:val="32"/>
    <w:qFormat/>
    <w:rsid w:val="00207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673</Words>
  <Characters>3838</Characters>
  <Application>Microsoft Office Word</Application>
  <DocSecurity>0</DocSecurity>
  <Lines>31</Lines>
  <Paragraphs>9</Paragraphs>
  <ScaleCrop>false</ScaleCrop>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1</cp:revision>
  <dcterms:created xsi:type="dcterms:W3CDTF">2026-03-24T15:58:00Z</dcterms:created>
  <dcterms:modified xsi:type="dcterms:W3CDTF">2026-03-24T16:00:00Z</dcterms:modified>
</cp:coreProperties>
</file>