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C0D0F" w14:textId="77777777" w:rsidR="008E396D" w:rsidRPr="008E396D" w:rsidRDefault="008E396D" w:rsidP="008E396D">
      <w:pPr>
        <w:rPr>
          <w:b/>
          <w:bCs/>
        </w:rPr>
      </w:pPr>
      <w:proofErr w:type="spellStart"/>
      <w:r w:rsidRPr="008E396D">
        <w:rPr>
          <w:b/>
          <w:bCs/>
        </w:rPr>
        <w:t>Grešová-Sekelská</w:t>
      </w:r>
      <w:proofErr w:type="spellEnd"/>
      <w:r w:rsidRPr="008E396D">
        <w:rPr>
          <w:b/>
          <w:bCs/>
        </w:rPr>
        <w:t xml:space="preserve">, </w:t>
      </w:r>
      <w:proofErr w:type="spellStart"/>
      <w:r w:rsidRPr="008E396D">
        <w:rPr>
          <w:b/>
          <w:bCs/>
          <w:i/>
          <w:iCs/>
        </w:rPr>
        <w:t>Príspevok</w:t>
      </w:r>
      <w:proofErr w:type="spellEnd"/>
      <w:r w:rsidRPr="008E396D">
        <w:rPr>
          <w:b/>
          <w:bCs/>
        </w:rPr>
        <w:t xml:space="preserve"> (2021) — What It Delivers</w:t>
      </w:r>
    </w:p>
    <w:p w14:paraId="3A8DB18C" w14:textId="77777777" w:rsidR="008E396D" w:rsidRPr="008E396D" w:rsidRDefault="008E396D" w:rsidP="008E396D">
      <w:r w:rsidRPr="008E396D">
        <w:t xml:space="preserve">This is a peer-reviewed article in </w:t>
      </w:r>
      <w:proofErr w:type="spellStart"/>
      <w:r w:rsidRPr="008E396D">
        <w:rPr>
          <w:i/>
          <w:iCs/>
        </w:rPr>
        <w:t>Clavibus</w:t>
      </w:r>
      <w:proofErr w:type="spellEnd"/>
      <w:r w:rsidRPr="008E396D">
        <w:rPr>
          <w:i/>
          <w:iCs/>
        </w:rPr>
        <w:t xml:space="preserve"> </w:t>
      </w:r>
      <w:proofErr w:type="spellStart"/>
      <w:r w:rsidRPr="008E396D">
        <w:rPr>
          <w:i/>
          <w:iCs/>
        </w:rPr>
        <w:t>unitis</w:t>
      </w:r>
      <w:proofErr w:type="spellEnd"/>
      <w:r w:rsidRPr="008E396D">
        <w:t xml:space="preserve"> presenting the core findings of her 2020 dissertation. It's current, methodologically rigorous, and provides three things your chapter needs:</w:t>
      </w:r>
    </w:p>
    <w:p w14:paraId="68E10B11" w14:textId="77777777" w:rsidR="008E396D" w:rsidRPr="008E396D" w:rsidRDefault="008E396D" w:rsidP="008E396D">
      <w:r w:rsidRPr="008E396D">
        <w:rPr>
          <w:b/>
          <w:bCs/>
        </w:rPr>
        <w:t>1. The 49% figure.</w:t>
      </w:r>
      <w:r w:rsidRPr="008E396D">
        <w:t xml:space="preserve"> Of the older Czech-language repertoire in the CS, 49% comes from </w:t>
      </w:r>
      <w:proofErr w:type="spellStart"/>
      <w:r w:rsidRPr="008E396D">
        <w:t>Utraquist</w:t>
      </w:r>
      <w:proofErr w:type="spellEnd"/>
      <w:r w:rsidRPr="008E396D">
        <w:t xml:space="preserve"> sources. That's your quantitative anchor for the </w:t>
      </w:r>
      <w:proofErr w:type="spellStart"/>
      <w:r w:rsidRPr="008E396D">
        <w:t>Lutheranisation</w:t>
      </w:r>
      <w:proofErr w:type="spellEnd"/>
      <w:r w:rsidRPr="008E396D">
        <w:t xml:space="preserve"> thesis — </w:t>
      </w:r>
      <w:proofErr w:type="spellStart"/>
      <w:r w:rsidRPr="008E396D">
        <w:t>Tranovský</w:t>
      </w:r>
      <w:proofErr w:type="spellEnd"/>
      <w:r w:rsidRPr="008E396D">
        <w:t xml:space="preserve"> was working with material that was nearly half </w:t>
      </w:r>
      <w:proofErr w:type="spellStart"/>
      <w:r w:rsidRPr="008E396D">
        <w:t>Utraquist</w:t>
      </w:r>
      <w:proofErr w:type="spellEnd"/>
      <w:r w:rsidRPr="008E396D">
        <w:t xml:space="preserve"> in origin and subjecting it to Lutheran confessional filtering.</w:t>
      </w:r>
    </w:p>
    <w:p w14:paraId="1C7288C2" w14:textId="77777777" w:rsidR="008E396D" w:rsidRPr="008E396D" w:rsidRDefault="008E396D" w:rsidP="008E396D">
      <w:r w:rsidRPr="008E396D">
        <w:rPr>
          <w:b/>
          <w:bCs/>
        </w:rPr>
        <w:t>2. The neutral-vs-sensitive rubric distinction.</w:t>
      </w:r>
      <w:r w:rsidRPr="008E396D">
        <w:t xml:space="preserve"> </w:t>
      </w:r>
      <w:proofErr w:type="spellStart"/>
      <w:r w:rsidRPr="008E396D">
        <w:t>Grešová-Sekelská</w:t>
      </w:r>
      <w:proofErr w:type="spellEnd"/>
      <w:r w:rsidRPr="008E396D">
        <w:t xml:space="preserve"> observes that </w:t>
      </w:r>
      <w:proofErr w:type="spellStart"/>
      <w:r w:rsidRPr="008E396D">
        <w:t>Tranovský</w:t>
      </w:r>
      <w:proofErr w:type="spellEnd"/>
      <w:r w:rsidRPr="008E396D">
        <w:t xml:space="preserve"> operated with two different editorial strategies: for confessionally neutral topics (Advent, Lenten, table prayers), he drew freely from older Czech sources with minimal intervention. For confessionally sensitive rubrics — and she names the Lord's Supper hymns ("O </w:t>
      </w:r>
      <w:proofErr w:type="spellStart"/>
      <w:r w:rsidRPr="008E396D">
        <w:t>Wečeří</w:t>
      </w:r>
      <w:proofErr w:type="spellEnd"/>
      <w:r w:rsidRPr="008E396D">
        <w:t xml:space="preserve"> </w:t>
      </w:r>
      <w:proofErr w:type="spellStart"/>
      <w:r w:rsidRPr="008E396D">
        <w:t>Páně</w:t>
      </w:r>
      <w:proofErr w:type="spellEnd"/>
      <w:r w:rsidRPr="008E396D">
        <w:t xml:space="preserve">") and the articles of faith specifically — </w:t>
      </w:r>
      <w:proofErr w:type="spellStart"/>
      <w:r w:rsidRPr="008E396D">
        <w:t>Tranovský</w:t>
      </w:r>
      <w:proofErr w:type="spellEnd"/>
      <w:r w:rsidRPr="008E396D">
        <w:t xml:space="preserve"> either composed the hymns himself or drew almost exclusively from Lutheran sources. This is the structural mechanism of </w:t>
      </w:r>
      <w:proofErr w:type="spellStart"/>
      <w:r w:rsidRPr="008E396D">
        <w:t>Lutheranisation</w:t>
      </w:r>
      <w:proofErr w:type="spellEnd"/>
      <w:r w:rsidRPr="008E396D">
        <w:t>, documented from the inside.</w:t>
      </w:r>
    </w:p>
    <w:p w14:paraId="70F53E6F" w14:textId="77777777" w:rsidR="008E396D" w:rsidRPr="008E396D" w:rsidRDefault="008E396D" w:rsidP="008E396D">
      <w:r w:rsidRPr="008E396D">
        <w:rPr>
          <w:b/>
          <w:bCs/>
        </w:rPr>
        <w:t xml:space="preserve">3. The </w:t>
      </w:r>
      <w:r w:rsidRPr="008E396D">
        <w:rPr>
          <w:b/>
          <w:bCs/>
          <w:i/>
          <w:iCs/>
        </w:rPr>
        <w:t>Ay Panna</w:t>
      </w:r>
      <w:r w:rsidRPr="008E396D">
        <w:rPr>
          <w:b/>
          <w:bCs/>
        </w:rPr>
        <w:t xml:space="preserve"> example.</w:t>
      </w:r>
      <w:r w:rsidRPr="008E396D">
        <w:t xml:space="preserve"> A concrete, verifiable case: the hymn </w:t>
      </w:r>
      <w:proofErr w:type="spellStart"/>
      <w:r w:rsidRPr="008E396D">
        <w:rPr>
          <w:i/>
          <w:iCs/>
        </w:rPr>
        <w:t>Zdrava</w:t>
      </w:r>
      <w:proofErr w:type="spellEnd"/>
      <w:r w:rsidRPr="008E396D">
        <w:rPr>
          <w:i/>
          <w:iCs/>
        </w:rPr>
        <w:t xml:space="preserve"> </w:t>
      </w:r>
      <w:proofErr w:type="spellStart"/>
      <w:r w:rsidRPr="008E396D">
        <w:rPr>
          <w:i/>
          <w:iCs/>
        </w:rPr>
        <w:t>genž</w:t>
      </w:r>
      <w:proofErr w:type="spellEnd"/>
      <w:r w:rsidRPr="008E396D">
        <w:rPr>
          <w:i/>
          <w:iCs/>
        </w:rPr>
        <w:t xml:space="preserve"> </w:t>
      </w:r>
      <w:proofErr w:type="spellStart"/>
      <w:r w:rsidRPr="008E396D">
        <w:rPr>
          <w:i/>
          <w:iCs/>
        </w:rPr>
        <w:t>sy</w:t>
      </w:r>
      <w:proofErr w:type="spellEnd"/>
      <w:r w:rsidRPr="008E396D">
        <w:rPr>
          <w:i/>
          <w:iCs/>
        </w:rPr>
        <w:t xml:space="preserve"> </w:t>
      </w:r>
      <w:proofErr w:type="spellStart"/>
      <w:r w:rsidRPr="008E396D">
        <w:rPr>
          <w:i/>
          <w:iCs/>
        </w:rPr>
        <w:t>pozdrawena</w:t>
      </w:r>
      <w:proofErr w:type="spellEnd"/>
      <w:r w:rsidRPr="008E396D">
        <w:t xml:space="preserve"> (from the </w:t>
      </w:r>
      <w:proofErr w:type="spellStart"/>
      <w:r w:rsidRPr="008E396D">
        <w:t>Kolínský</w:t>
      </w:r>
      <w:proofErr w:type="spellEnd"/>
      <w:r w:rsidRPr="008E396D">
        <w:t xml:space="preserve"> </w:t>
      </w:r>
      <w:proofErr w:type="spellStart"/>
      <w:r w:rsidRPr="008E396D">
        <w:t>kancionál</w:t>
      </w:r>
      <w:proofErr w:type="spellEnd"/>
      <w:r w:rsidRPr="008E396D">
        <w:t xml:space="preserve">, 1517) was altered to </w:t>
      </w:r>
      <w:r w:rsidRPr="008E396D">
        <w:rPr>
          <w:i/>
          <w:iCs/>
        </w:rPr>
        <w:t xml:space="preserve">Ay Panna gest </w:t>
      </w:r>
      <w:proofErr w:type="spellStart"/>
      <w:r w:rsidRPr="008E396D">
        <w:rPr>
          <w:i/>
          <w:iCs/>
        </w:rPr>
        <w:t>pozdravená</w:t>
      </w:r>
      <w:proofErr w:type="spellEnd"/>
      <w:r w:rsidRPr="008E396D">
        <w:t xml:space="preserve"> specifically to eliminate Marian/Catholic resonances. The altered text first appears in the CS — it's </w:t>
      </w:r>
      <w:proofErr w:type="spellStart"/>
      <w:r w:rsidRPr="008E396D">
        <w:t>Tranovský's</w:t>
      </w:r>
      <w:proofErr w:type="spellEnd"/>
      <w:r w:rsidRPr="008E396D">
        <w:t xml:space="preserve"> intervention. This gives you a worked example for §5 that shows the editorial mechanism in action.</w:t>
      </w:r>
    </w:p>
    <w:p w14:paraId="0B691EDD" w14:textId="77777777" w:rsidR="008E396D" w:rsidRPr="008E396D" w:rsidRDefault="008E396D" w:rsidP="008E396D">
      <w:r w:rsidRPr="008E396D">
        <w:rPr>
          <w:b/>
          <w:bCs/>
        </w:rPr>
        <w:t>What this means strategically:</w:t>
      </w:r>
      <w:r w:rsidRPr="008E396D">
        <w:t xml:space="preserve"> You can now build the §5 argument on </w:t>
      </w:r>
      <w:proofErr w:type="spellStart"/>
      <w:r w:rsidRPr="008E396D">
        <w:t>Grešová-Sekelská's</w:t>
      </w:r>
      <w:proofErr w:type="spellEnd"/>
      <w:r w:rsidRPr="008E396D">
        <w:t xml:space="preserve"> data rather than Vajda's framework. She provides the quantitative and structural evidence; your chapter provides the dogmatic-theological interpretation that she (as a musicologist) doesn't attempt. The convergence point is the Lord's Supper rubric — she identifies it as confessionally sensitive territory, you </w:t>
      </w:r>
      <w:proofErr w:type="spellStart"/>
      <w:r w:rsidRPr="008E396D">
        <w:t>analyse</w:t>
      </w:r>
      <w:proofErr w:type="spellEnd"/>
      <w:r w:rsidRPr="008E396D">
        <w:t xml:space="preserve"> </w:t>
      </w:r>
      <w:r w:rsidRPr="008E396D">
        <w:rPr>
          <w:i/>
          <w:iCs/>
        </w:rPr>
        <w:t>what</w:t>
      </w:r>
      <w:r w:rsidRPr="008E396D">
        <w:t xml:space="preserve"> the theological content reveals.</w:t>
      </w:r>
    </w:p>
    <w:p w14:paraId="3F6A2899" w14:textId="77777777" w:rsidR="00015F25" w:rsidRDefault="00015F25"/>
    <w:sectPr w:rsidR="00015F25" w:rsidSect="00F94CC6">
      <w:pgSz w:w="11906" w:h="16838" w:code="9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96D"/>
    <w:rsid w:val="00015F25"/>
    <w:rsid w:val="00115DA9"/>
    <w:rsid w:val="001B3C6C"/>
    <w:rsid w:val="00796566"/>
    <w:rsid w:val="007B362D"/>
    <w:rsid w:val="008E396D"/>
    <w:rsid w:val="00D70E86"/>
    <w:rsid w:val="00ED0AA8"/>
    <w:rsid w:val="00F94CC6"/>
    <w:rsid w:val="00F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4101"/>
  <w15:chartTrackingRefBased/>
  <w15:docId w15:val="{263470B9-C26B-4D13-9871-C4A2E43AE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9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9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9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9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9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9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9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9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9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9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9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1</cp:revision>
  <dcterms:created xsi:type="dcterms:W3CDTF">2026-03-24T16:02:00Z</dcterms:created>
  <dcterms:modified xsi:type="dcterms:W3CDTF">2026-03-24T16:03:00Z</dcterms:modified>
</cp:coreProperties>
</file>