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09FF2"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 xml:space="preserve">The Cithara Sanctorum (1636) Bound In: Intra-Codex Confessional Stratification in the Bratislava </w:t>
      </w:r>
      <w:proofErr w:type="spellStart"/>
      <w:r w:rsidRPr="003436C2">
        <w:rPr>
          <w:rFonts w:ascii="Times New Roman" w:hAnsi="Times New Roman" w:cs="Times New Roman"/>
          <w:b/>
          <w:bCs/>
        </w:rPr>
        <w:t>Lyceal</w:t>
      </w:r>
      <w:proofErr w:type="spellEnd"/>
      <w:r w:rsidRPr="003436C2">
        <w:rPr>
          <w:rFonts w:ascii="Times New Roman" w:hAnsi="Times New Roman" w:cs="Times New Roman"/>
          <w:b/>
          <w:bCs/>
        </w:rPr>
        <w:t xml:space="preserve"> Library Exemplar of </w:t>
      </w:r>
      <w:r w:rsidRPr="003436C2">
        <w:rPr>
          <w:rFonts w:ascii="Times New Roman" w:hAnsi="Times New Roman" w:cs="Times New Roman"/>
          <w:b/>
          <w:bCs/>
          <w:i/>
          <w:iCs/>
        </w:rPr>
        <w:t xml:space="preserve">Agenda </w:t>
      </w:r>
      <w:proofErr w:type="spellStart"/>
      <w:r w:rsidRPr="003436C2">
        <w:rPr>
          <w:rFonts w:ascii="Times New Roman" w:hAnsi="Times New Roman" w:cs="Times New Roman"/>
          <w:b/>
          <w:bCs/>
          <w:i/>
          <w:iCs/>
        </w:rPr>
        <w:t>Česká</w:t>
      </w:r>
      <w:proofErr w:type="spellEnd"/>
      <w:r w:rsidRPr="003436C2">
        <w:rPr>
          <w:rFonts w:ascii="Times New Roman" w:hAnsi="Times New Roman" w:cs="Times New Roman"/>
          <w:b/>
          <w:bCs/>
        </w:rPr>
        <w:t> 1581 + </w:t>
      </w:r>
      <w:proofErr w:type="spellStart"/>
      <w:r w:rsidRPr="003436C2">
        <w:rPr>
          <w:rFonts w:ascii="Times New Roman" w:hAnsi="Times New Roman" w:cs="Times New Roman"/>
          <w:b/>
          <w:bCs/>
          <w:i/>
          <w:iCs/>
        </w:rPr>
        <w:t>Bystrická</w:t>
      </w:r>
      <w:proofErr w:type="spellEnd"/>
      <w:r w:rsidRPr="003436C2">
        <w:rPr>
          <w:rFonts w:ascii="Times New Roman" w:hAnsi="Times New Roman" w:cs="Times New Roman"/>
          <w:b/>
          <w:bCs/>
          <w:i/>
          <w:iCs/>
        </w:rPr>
        <w:t xml:space="preserve"> agenda</w:t>
      </w:r>
      <w:r w:rsidRPr="003436C2">
        <w:rPr>
          <w:rFonts w:ascii="Times New Roman" w:hAnsi="Times New Roman" w:cs="Times New Roman"/>
          <w:b/>
          <w:bCs/>
        </w:rPr>
        <w:t> 1585</w:t>
      </w:r>
    </w:p>
    <w:p w14:paraId="765DD401" w14:textId="77777777" w:rsidR="00875153" w:rsidRDefault="003436C2" w:rsidP="00875153">
      <w:pPr>
        <w:rPr>
          <w:rFonts w:ascii="Times New Roman" w:hAnsi="Times New Roman" w:cs="Times New Roman"/>
          <w:b/>
          <w:bCs/>
        </w:rPr>
      </w:pPr>
      <w:r w:rsidRPr="003436C2">
        <w:rPr>
          <w:rFonts w:ascii="Times New Roman" w:hAnsi="Times New Roman" w:cs="Times New Roman"/>
        </w:rPr>
        <w:t xml:space="preserve">Michal </w:t>
      </w:r>
      <w:proofErr w:type="gramStart"/>
      <w:r w:rsidRPr="003436C2">
        <w:rPr>
          <w:rFonts w:ascii="Times New Roman" w:hAnsi="Times New Roman" w:cs="Times New Roman"/>
        </w:rPr>
        <w:t>Valčo </w:t>
      </w:r>
      <w:r w:rsidR="00182074" w:rsidRPr="003436C2">
        <w:rPr>
          <w:rFonts w:ascii="Times New Roman" w:hAnsi="Times New Roman" w:cs="Times New Roman"/>
        </w:rPr>
        <w:t xml:space="preserve"> </w:t>
      </w:r>
      <w:r w:rsidRPr="003436C2">
        <w:rPr>
          <w:rFonts w:ascii="Times New Roman" w:hAnsi="Times New Roman" w:cs="Times New Roman"/>
        </w:rPr>
        <w:t>APVV</w:t>
      </w:r>
      <w:proofErr w:type="gramEnd"/>
      <w:r w:rsidRPr="003436C2">
        <w:rPr>
          <w:rFonts w:ascii="Times New Roman" w:hAnsi="Times New Roman" w:cs="Times New Roman"/>
        </w:rPr>
        <w:t>-24-0484 (TEPALIT)</w:t>
      </w:r>
      <w:hyperlink r:id="rId5" w:anchor="fn1" w:history="1">
        <w:r w:rsidRPr="003436C2">
          <w:rPr>
            <w:rStyle w:val="Hyperlink"/>
            <w:rFonts w:ascii="Times New Roman" w:hAnsi="Times New Roman" w:cs="Times New Roman"/>
            <w:color w:val="auto"/>
            <w:vertAlign w:val="superscript"/>
          </w:rPr>
          <w:t>[1]</w:t>
        </w:r>
      </w:hyperlink>
      <w:r w:rsidRPr="003436C2">
        <w:rPr>
          <w:rFonts w:ascii="Times New Roman" w:hAnsi="Times New Roman" w:cs="Times New Roman"/>
        </w:rPr>
        <w:t> </w:t>
      </w:r>
    </w:p>
    <w:p w14:paraId="3B3F048D" w14:textId="77777777" w:rsidR="00875153" w:rsidRDefault="00875153" w:rsidP="00875153">
      <w:pPr>
        <w:rPr>
          <w:rFonts w:ascii="Times New Roman" w:hAnsi="Times New Roman" w:cs="Times New Roman"/>
          <w:b/>
          <w:bCs/>
        </w:rPr>
      </w:pPr>
    </w:p>
    <w:p w14:paraId="31D982A3" w14:textId="44102A99" w:rsidR="003436C2" w:rsidRPr="003436C2" w:rsidRDefault="003436C2" w:rsidP="00875153">
      <w:pPr>
        <w:rPr>
          <w:rFonts w:ascii="Times New Roman" w:hAnsi="Times New Roman" w:cs="Times New Roman"/>
          <w:b/>
          <w:bCs/>
        </w:rPr>
      </w:pPr>
      <w:r w:rsidRPr="003436C2">
        <w:rPr>
          <w:rFonts w:ascii="Times New Roman" w:hAnsi="Times New Roman" w:cs="Times New Roman"/>
          <w:b/>
          <w:bCs/>
        </w:rPr>
        <w:t>Abstract</w:t>
      </w:r>
    </w:p>
    <w:p w14:paraId="007564E3" w14:textId="77777777" w:rsidR="003436C2" w:rsidRPr="003436C2" w:rsidRDefault="003436C2" w:rsidP="003436C2">
      <w:pPr>
        <w:rPr>
          <w:rFonts w:ascii="Times New Roman" w:hAnsi="Times New Roman" w:cs="Times New Roman"/>
        </w:rPr>
      </w:pPr>
      <w:r w:rsidRPr="003436C2">
        <w:rPr>
          <w:rFonts w:ascii="Times New Roman" w:hAnsi="Times New Roman" w:cs="Times New Roman"/>
          <w:i/>
          <w:iCs/>
        </w:rPr>
        <w:t>Recent scholarship on the Slovak Lutheran</w:t>
      </w:r>
      <w:r w:rsidRPr="003436C2">
        <w:rPr>
          <w:rFonts w:ascii="Times New Roman" w:hAnsi="Times New Roman" w:cs="Times New Roman"/>
        </w:rPr>
        <w:t> Cithara Sanctorum </w:t>
      </w:r>
      <w:r w:rsidRPr="003436C2">
        <w:rPr>
          <w:rFonts w:ascii="Times New Roman" w:hAnsi="Times New Roman" w:cs="Times New Roman"/>
          <w:i/>
          <w:iCs/>
        </w:rPr>
        <w:t>(1636) refines the standard "</w:t>
      </w:r>
      <w:proofErr w:type="spellStart"/>
      <w:r w:rsidRPr="003436C2">
        <w:rPr>
          <w:rFonts w:ascii="Times New Roman" w:hAnsi="Times New Roman" w:cs="Times New Roman"/>
          <w:i/>
          <w:iCs/>
        </w:rPr>
        <w:t>Lutheranisation</w:t>
      </w:r>
      <w:proofErr w:type="spellEnd"/>
      <w:r w:rsidRPr="003436C2">
        <w:rPr>
          <w:rFonts w:ascii="Times New Roman" w:hAnsi="Times New Roman" w:cs="Times New Roman"/>
          <w:i/>
          <w:iCs/>
        </w:rPr>
        <w:t xml:space="preserve">" account of </w:t>
      </w:r>
      <w:proofErr w:type="spellStart"/>
      <w:r w:rsidRPr="003436C2">
        <w:rPr>
          <w:rFonts w:ascii="Times New Roman" w:hAnsi="Times New Roman" w:cs="Times New Roman"/>
          <w:i/>
          <w:iCs/>
        </w:rPr>
        <w:t>Tranovský's</w:t>
      </w:r>
      <w:proofErr w:type="spellEnd"/>
      <w:r w:rsidRPr="003436C2">
        <w:rPr>
          <w:rFonts w:ascii="Times New Roman" w:hAnsi="Times New Roman" w:cs="Times New Roman"/>
          <w:i/>
          <w:iCs/>
        </w:rPr>
        <w:t xml:space="preserve"> hymnal by quantifying the source mix and mapping his differential editorial strategy. This paper offers a complementary finding at smaller scale. The Bratislava </w:t>
      </w:r>
      <w:proofErr w:type="spellStart"/>
      <w:r w:rsidRPr="003436C2">
        <w:rPr>
          <w:rFonts w:ascii="Times New Roman" w:hAnsi="Times New Roman" w:cs="Times New Roman"/>
          <w:i/>
          <w:iCs/>
        </w:rPr>
        <w:t>Lyceal</w:t>
      </w:r>
      <w:proofErr w:type="spellEnd"/>
      <w:r w:rsidRPr="003436C2">
        <w:rPr>
          <w:rFonts w:ascii="Times New Roman" w:hAnsi="Times New Roman" w:cs="Times New Roman"/>
          <w:i/>
          <w:iCs/>
        </w:rPr>
        <w:t xml:space="preserve"> Library exemplar of</w:t>
      </w:r>
      <w:r w:rsidRPr="003436C2">
        <w:rPr>
          <w:rFonts w:ascii="Times New Roman" w:hAnsi="Times New Roman" w:cs="Times New Roman"/>
        </w:rPr>
        <w:t xml:space="preserve"> Agenda </w:t>
      </w:r>
      <w:proofErr w:type="spellStart"/>
      <w:r w:rsidRPr="003436C2">
        <w:rPr>
          <w:rFonts w:ascii="Times New Roman" w:hAnsi="Times New Roman" w:cs="Times New Roman"/>
        </w:rPr>
        <w:t>Česká</w:t>
      </w:r>
      <w:proofErr w:type="spellEnd"/>
      <w:r w:rsidRPr="003436C2">
        <w:rPr>
          <w:rFonts w:ascii="Times New Roman" w:hAnsi="Times New Roman" w:cs="Times New Roman"/>
        </w:rPr>
        <w:t> </w:t>
      </w:r>
      <w:r w:rsidRPr="003436C2">
        <w:rPr>
          <w:rFonts w:ascii="Times New Roman" w:hAnsi="Times New Roman" w:cs="Times New Roman"/>
          <w:i/>
          <w:iCs/>
        </w:rPr>
        <w:t>1581 +</w:t>
      </w:r>
      <w:r w:rsidRPr="003436C2">
        <w:rPr>
          <w:rFonts w:ascii="Times New Roman" w:hAnsi="Times New Roman" w:cs="Times New Roman"/>
        </w:rPr>
        <w:t> </w:t>
      </w:r>
      <w:proofErr w:type="spellStart"/>
      <w:r w:rsidRPr="003436C2">
        <w:rPr>
          <w:rFonts w:ascii="Times New Roman" w:hAnsi="Times New Roman" w:cs="Times New Roman"/>
        </w:rPr>
        <w:t>Bystrická</w:t>
      </w:r>
      <w:proofErr w:type="spellEnd"/>
      <w:r w:rsidRPr="003436C2">
        <w:rPr>
          <w:rFonts w:ascii="Times New Roman" w:hAnsi="Times New Roman" w:cs="Times New Roman"/>
        </w:rPr>
        <w:t xml:space="preserve"> agenda </w:t>
      </w:r>
      <w:r w:rsidRPr="003436C2">
        <w:rPr>
          <w:rFonts w:ascii="Times New Roman" w:hAnsi="Times New Roman" w:cs="Times New Roman"/>
          <w:i/>
          <w:iCs/>
        </w:rPr>
        <w:t>1585 — preserved bound together in a single physical codex and edited critically for the first time by Peter Benka in 2024 — exhibits a confessional stratification within the Lutheran orbit itself. The printed Czech</w:t>
      </w:r>
      <w:r w:rsidRPr="003436C2">
        <w:rPr>
          <w:rFonts w:ascii="Times New Roman" w:hAnsi="Times New Roman" w:cs="Times New Roman"/>
        </w:rPr>
        <w:t xml:space="preserve"> Agenda </w:t>
      </w:r>
      <w:proofErr w:type="spellStart"/>
      <w:r w:rsidRPr="003436C2">
        <w:rPr>
          <w:rFonts w:ascii="Times New Roman" w:hAnsi="Times New Roman" w:cs="Times New Roman"/>
        </w:rPr>
        <w:t>Česká</w:t>
      </w:r>
      <w:proofErr w:type="spellEnd"/>
      <w:r w:rsidRPr="003436C2">
        <w:rPr>
          <w:rFonts w:ascii="Times New Roman" w:hAnsi="Times New Roman" w:cs="Times New Roman"/>
        </w:rPr>
        <w:t> </w:t>
      </w:r>
      <w:r w:rsidRPr="003436C2">
        <w:rPr>
          <w:rFonts w:ascii="Times New Roman" w:hAnsi="Times New Roman" w:cs="Times New Roman"/>
          <w:i/>
          <w:iCs/>
        </w:rPr>
        <w:t>uses a moderate Eucharistic register —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krev</w:t>
      </w:r>
      <w:proofErr w:type="spellEnd"/>
      <w:r w:rsidRPr="003436C2">
        <w:rPr>
          <w:rFonts w:ascii="Times New Roman" w:hAnsi="Times New Roman" w:cs="Times New Roman"/>
          <w:i/>
          <w:iCs/>
        </w:rPr>
        <w:t>" without the qualifying "</w:t>
      </w:r>
      <w:proofErr w:type="spellStart"/>
      <w:r w:rsidRPr="003436C2">
        <w:rPr>
          <w:rFonts w:ascii="Times New Roman" w:hAnsi="Times New Roman" w:cs="Times New Roman"/>
          <w:i/>
          <w:iCs/>
        </w:rPr>
        <w:t>pravý</w:t>
      </w:r>
      <w:proofErr w:type="spellEnd"/>
      <w:r w:rsidRPr="003436C2">
        <w:rPr>
          <w:rFonts w:ascii="Times New Roman" w:hAnsi="Times New Roman" w:cs="Times New Roman"/>
          <w:i/>
          <w:iCs/>
        </w:rPr>
        <w:t>" or "</w:t>
      </w:r>
      <w:proofErr w:type="spellStart"/>
      <w:r w:rsidRPr="003436C2">
        <w:rPr>
          <w:rFonts w:ascii="Times New Roman" w:hAnsi="Times New Roman" w:cs="Times New Roman"/>
          <w:i/>
          <w:iCs/>
        </w:rPr>
        <w:t>substanciálny</w:t>
      </w:r>
      <w:proofErr w:type="spellEnd"/>
      <w:r w:rsidRPr="003436C2">
        <w:rPr>
          <w:rFonts w:ascii="Times New Roman" w:hAnsi="Times New Roman" w:cs="Times New Roman"/>
          <w:i/>
          <w:iCs/>
        </w:rPr>
        <w:t xml:space="preserve">" adjectives that </w:t>
      </w:r>
      <w:proofErr w:type="spellStart"/>
      <w:r w:rsidRPr="003436C2">
        <w:rPr>
          <w:rFonts w:ascii="Times New Roman" w:hAnsi="Times New Roman" w:cs="Times New Roman"/>
          <w:i/>
          <w:iCs/>
        </w:rPr>
        <w:t>characterised</w:t>
      </w:r>
      <w:proofErr w:type="spellEnd"/>
      <w:r w:rsidRPr="003436C2">
        <w:rPr>
          <w:rFonts w:ascii="Times New Roman" w:hAnsi="Times New Roman" w:cs="Times New Roman"/>
          <w:i/>
          <w:iCs/>
        </w:rPr>
        <w:t xml:space="preserve"> polemically sharpened Lutheran discourse, and grounds worthy reception in faith in the words of institution. The manuscript Slovak supplement, written four years later, sharpens the same theology with explicit Lutheran</w:t>
      </w:r>
      <w:r w:rsidRPr="003436C2">
        <w:rPr>
          <w:rFonts w:ascii="Times New Roman" w:hAnsi="Times New Roman" w:cs="Times New Roman"/>
        </w:rPr>
        <w:t> </w:t>
      </w:r>
      <w:proofErr w:type="spellStart"/>
      <w:r w:rsidRPr="003436C2">
        <w:rPr>
          <w:rFonts w:ascii="Times New Roman" w:hAnsi="Times New Roman" w:cs="Times New Roman"/>
        </w:rPr>
        <w:t>manducatio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impiorum</w:t>
      </w:r>
      <w:proofErr w:type="spellEnd"/>
      <w:r w:rsidRPr="003436C2">
        <w:rPr>
          <w:rFonts w:ascii="Times New Roman" w:hAnsi="Times New Roman" w:cs="Times New Roman"/>
        </w:rPr>
        <w:t xml:space="preserve">*: the unworthy receive the body and blood "ne k </w:t>
      </w:r>
      <w:proofErr w:type="spellStart"/>
      <w:r w:rsidRPr="003436C2">
        <w:rPr>
          <w:rFonts w:ascii="Times New Roman" w:hAnsi="Times New Roman" w:cs="Times New Roman"/>
        </w:rPr>
        <w:t>spasenij</w:t>
      </w:r>
      <w:proofErr w:type="spellEnd"/>
      <w:r w:rsidRPr="003436C2">
        <w:rPr>
          <w:rFonts w:ascii="Times New Roman" w:hAnsi="Times New Roman" w:cs="Times New Roman"/>
        </w:rPr>
        <w:t xml:space="preserve">, ale k </w:t>
      </w:r>
      <w:proofErr w:type="spellStart"/>
      <w:r w:rsidRPr="003436C2">
        <w:rPr>
          <w:rFonts w:ascii="Times New Roman" w:hAnsi="Times New Roman" w:cs="Times New Roman"/>
        </w:rPr>
        <w:t>zatraczenij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wěčnemu</w:t>
      </w:r>
      <w:proofErr w:type="spellEnd"/>
      <w:r w:rsidRPr="003436C2">
        <w:rPr>
          <w:rFonts w:ascii="Times New Roman" w:hAnsi="Times New Roman" w:cs="Times New Roman"/>
        </w:rPr>
        <w:t xml:space="preserve">". The intensification operates not at the cross-confessional boundary but within the Lutheran orbit itself, from a moderate Czech printed register with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residue towards a sharper Upper-Hungarian Lutheran manuscript register. The implication for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is that confessional sharpening is a phenomenon of register shift, observable at the granularity of a single physical codex, not exclusively a phenomenon of cross-confessional </w:t>
      </w:r>
      <w:proofErr w:type="gramStart"/>
      <w:r w:rsidRPr="003436C2">
        <w:rPr>
          <w:rFonts w:ascii="Times New Roman" w:hAnsi="Times New Roman" w:cs="Times New Roman"/>
        </w:rPr>
        <w:t>transfer.*</w:t>
      </w:r>
      <w:proofErr w:type="gramEnd"/>
    </w:p>
    <w:p w14:paraId="32ABF863"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Keywords:</w:t>
      </w:r>
      <w:r w:rsidRPr="003436C2">
        <w:rPr>
          <w:rFonts w:ascii="Times New Roman" w:hAnsi="Times New Roman" w:cs="Times New Roman"/>
        </w:rPr>
        <w:t> </w:t>
      </w:r>
      <w:r w:rsidRPr="003436C2">
        <w:rPr>
          <w:rFonts w:ascii="Times New Roman" w:hAnsi="Times New Roman" w:cs="Times New Roman"/>
          <w:i/>
          <w:iCs/>
        </w:rPr>
        <w:t>Cithara Sanctorum</w:t>
      </w:r>
      <w:r w:rsidRPr="003436C2">
        <w:rPr>
          <w:rFonts w:ascii="Times New Roman" w:hAnsi="Times New Roman" w:cs="Times New Roman"/>
        </w:rPr>
        <w:t xml:space="preserve">,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Bystrická</w:t>
      </w:r>
      <w:proofErr w:type="spellEnd"/>
      <w:r w:rsidRPr="003436C2">
        <w:rPr>
          <w:rFonts w:ascii="Times New Roman" w:hAnsi="Times New Roman" w:cs="Times New Roman"/>
        </w:rPr>
        <w:t xml:space="preserve"> agenda,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i/>
          <w:iCs/>
        </w:rPr>
        <w:t xml:space="preserve"> lex </w:t>
      </w:r>
      <w:proofErr w:type="spellStart"/>
      <w:r w:rsidRPr="003436C2">
        <w:rPr>
          <w:rFonts w:ascii="Times New Roman" w:hAnsi="Times New Roman" w:cs="Times New Roman"/>
          <w:i/>
          <w:iCs/>
        </w:rPr>
        <w:t>credendi</w:t>
      </w:r>
      <w:proofErr w:type="spellEnd"/>
      <w:r w:rsidRPr="003436C2">
        <w:rPr>
          <w:rFonts w:ascii="Times New Roman" w:hAnsi="Times New Roman" w:cs="Times New Roman"/>
        </w:rPr>
        <w:t xml:space="preserve">, Reformation hymnology, intra-codex stratification, </w:t>
      </w:r>
      <w:proofErr w:type="spellStart"/>
      <w:r w:rsidRPr="003436C2">
        <w:rPr>
          <w:rFonts w:ascii="Times New Roman" w:hAnsi="Times New Roman" w:cs="Times New Roman"/>
        </w:rPr>
        <w:t>confessionalisation</w:t>
      </w:r>
      <w:proofErr w:type="spellEnd"/>
      <w:r w:rsidRPr="003436C2">
        <w:rPr>
          <w:rFonts w:ascii="Times New Roman" w:hAnsi="Times New Roman" w:cs="Times New Roman"/>
        </w:rPr>
        <w:t>.</w:t>
      </w:r>
    </w:p>
    <w:p w14:paraId="0A64AFFB" w14:textId="77777777" w:rsidR="003436C2" w:rsidRPr="003436C2" w:rsidRDefault="00000000" w:rsidP="003436C2">
      <w:pPr>
        <w:rPr>
          <w:rFonts w:ascii="Times New Roman" w:hAnsi="Times New Roman" w:cs="Times New Roman"/>
        </w:rPr>
      </w:pPr>
      <w:r>
        <w:rPr>
          <w:rFonts w:ascii="Times New Roman" w:hAnsi="Times New Roman" w:cs="Times New Roman"/>
        </w:rPr>
        <w:pict w14:anchorId="7F657915">
          <v:rect id="_x0000_i1026" style="width:0;height:3pt" o:hralign="center" o:hrstd="t" o:hr="t" fillcolor="#a0a0a0" stroked="f"/>
        </w:pict>
      </w:r>
    </w:p>
    <w:p w14:paraId="53BFF022"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Introduction</w:t>
      </w:r>
    </w:p>
    <w:p w14:paraId="056C368A"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standard account of Juraj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w:t>
      </w:r>
      <w:r w:rsidRPr="003436C2">
        <w:rPr>
          <w:rFonts w:ascii="Times New Roman" w:hAnsi="Times New Roman" w:cs="Times New Roman"/>
          <w:i/>
          <w:iCs/>
        </w:rPr>
        <w:t>Cithara Sanctorum</w:t>
      </w:r>
      <w:r w:rsidRPr="003436C2">
        <w:rPr>
          <w:rFonts w:ascii="Times New Roman" w:hAnsi="Times New Roman" w:cs="Times New Roman"/>
        </w:rPr>
        <w:t> (</w:t>
      </w:r>
      <w:proofErr w:type="spellStart"/>
      <w:r w:rsidRPr="003436C2">
        <w:rPr>
          <w:rFonts w:ascii="Times New Roman" w:hAnsi="Times New Roman" w:cs="Times New Roman"/>
        </w:rPr>
        <w:t>Levoča</w:t>
      </w:r>
      <w:proofErr w:type="spellEnd"/>
      <w:r w:rsidRPr="003436C2">
        <w:rPr>
          <w:rFonts w:ascii="Times New Roman" w:hAnsi="Times New Roman" w:cs="Times New Roman"/>
        </w:rPr>
        <w:t xml:space="preserve">, 1636) — the foundational Slovak Lutheran hymnal of the early modern period and the principal vehicle through which Czech-Reformation hymnody entered Slovak Lutheran worship for the next three centuries — treats it as the receptor of a confessional sharpening that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performed on the materials he absorbed.</w:t>
      </w:r>
      <w:hyperlink r:id="rId6" w:anchor="fn2" w:history="1">
        <w:r w:rsidRPr="003436C2">
          <w:rPr>
            <w:rStyle w:val="Hyperlink"/>
            <w:rFonts w:ascii="Times New Roman" w:hAnsi="Times New Roman" w:cs="Times New Roman"/>
            <w:color w:val="auto"/>
            <w:vertAlign w:val="superscript"/>
          </w:rPr>
          <w:t>[2]</w:t>
        </w:r>
      </w:hyperlink>
      <w:r w:rsidRPr="003436C2">
        <w:rPr>
          <w:rFonts w:ascii="Times New Roman" w:hAnsi="Times New Roman" w:cs="Times New Roman"/>
        </w:rPr>
        <w:t xml:space="preserve"> The Czech and Moravian sources from which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drew were heterogeneous in their confessional provenance: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kancionáls</w:t>
      </w:r>
      <w:proofErr w:type="spellEnd"/>
      <w:r w:rsidRPr="003436C2">
        <w:rPr>
          <w:rFonts w:ascii="Times New Roman" w:hAnsi="Times New Roman" w:cs="Times New Roman"/>
        </w:rPr>
        <w:t xml:space="preserve">, Brethren hymnody from the </w:t>
      </w:r>
      <w:proofErr w:type="spellStart"/>
      <w:r w:rsidRPr="003436C2">
        <w:rPr>
          <w:rFonts w:ascii="Times New Roman" w:hAnsi="Times New Roman" w:cs="Times New Roman"/>
        </w:rPr>
        <w:t>Šamotulský</w:t>
      </w:r>
      <w:proofErr w:type="spellEnd"/>
      <w:r w:rsidRPr="003436C2">
        <w:rPr>
          <w:rFonts w:ascii="Times New Roman" w:hAnsi="Times New Roman" w:cs="Times New Roman"/>
        </w:rPr>
        <w:t xml:space="preserve"> and </w:t>
      </w:r>
      <w:proofErr w:type="spellStart"/>
      <w:r w:rsidRPr="003436C2">
        <w:rPr>
          <w:rFonts w:ascii="Times New Roman" w:hAnsi="Times New Roman" w:cs="Times New Roman"/>
        </w:rPr>
        <w:t>Ivančický</w:t>
      </w:r>
      <w:proofErr w:type="spellEnd"/>
      <w:r w:rsidRPr="003436C2">
        <w:rPr>
          <w:rFonts w:ascii="Times New Roman" w:hAnsi="Times New Roman" w:cs="Times New Roman"/>
        </w:rPr>
        <w:t xml:space="preserve"> editions, and Lutheran translations made within the Czech-speaking lands during the previous century.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work was the work of integration. He selected, modified, sometimes silently corrected, and on occasion replaced what he found, </w:t>
      </w:r>
      <w:proofErr w:type="gramStart"/>
      <w:r w:rsidRPr="003436C2">
        <w:rPr>
          <w:rFonts w:ascii="Times New Roman" w:hAnsi="Times New Roman" w:cs="Times New Roman"/>
        </w:rPr>
        <w:t>in order to</w:t>
      </w:r>
      <w:proofErr w:type="gramEnd"/>
      <w:r w:rsidRPr="003436C2">
        <w:rPr>
          <w:rFonts w:ascii="Times New Roman" w:hAnsi="Times New Roman" w:cs="Times New Roman"/>
        </w:rPr>
        <w:t xml:space="preserve"> produce a single hymnological corpus that could serve a confessionally Lutheran community on the eastern frontier of the Habsburg lands. Recent scholarship has refined this picture in important ways: Adriana Grešová-</w:t>
      </w:r>
      <w:proofErr w:type="spellStart"/>
      <w:r w:rsidRPr="003436C2">
        <w:rPr>
          <w:rFonts w:ascii="Times New Roman" w:hAnsi="Times New Roman" w:cs="Times New Roman"/>
        </w:rPr>
        <w:t>Sekelská</w:t>
      </w:r>
      <w:proofErr w:type="spellEnd"/>
      <w:r w:rsidRPr="003436C2">
        <w:rPr>
          <w:rFonts w:ascii="Times New Roman" w:hAnsi="Times New Roman" w:cs="Times New Roman"/>
        </w:rPr>
        <w:t xml:space="preserve"> has quantified the older Czech repertoire absorbed into the </w:t>
      </w:r>
      <w:r w:rsidRPr="003436C2">
        <w:rPr>
          <w:rFonts w:ascii="Times New Roman" w:hAnsi="Times New Roman" w:cs="Times New Roman"/>
          <w:i/>
          <w:iCs/>
        </w:rPr>
        <w:t>Cithara Sanctorum</w:t>
      </w:r>
      <w:r w:rsidRPr="003436C2">
        <w:rPr>
          <w:rFonts w:ascii="Times New Roman" w:hAnsi="Times New Roman" w:cs="Times New Roman"/>
        </w:rPr>
        <w:t xml:space="preserve"> and </w:t>
      </w:r>
      <w:r w:rsidRPr="003436C2">
        <w:rPr>
          <w:rFonts w:ascii="Times New Roman" w:hAnsi="Times New Roman" w:cs="Times New Roman"/>
        </w:rPr>
        <w:lastRenderedPageBreak/>
        <w:t xml:space="preserve">shown that approximately half of it is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in origin, a far larger proportion than the older hymnological tradition — which tended to assume Brethren primacy — had </w:t>
      </w:r>
      <w:proofErr w:type="spellStart"/>
      <w:r w:rsidRPr="003436C2">
        <w:rPr>
          <w:rFonts w:ascii="Times New Roman" w:hAnsi="Times New Roman" w:cs="Times New Roman"/>
        </w:rPr>
        <w:t>recognised</w:t>
      </w:r>
      <w:proofErr w:type="spellEnd"/>
      <w:r w:rsidRPr="003436C2">
        <w:rPr>
          <w:rFonts w:ascii="Times New Roman" w:hAnsi="Times New Roman" w:cs="Times New Roman"/>
        </w:rPr>
        <w:t>.</w:t>
      </w:r>
      <w:hyperlink r:id="rId7" w:anchor="fn3" w:history="1">
        <w:r w:rsidRPr="003436C2">
          <w:rPr>
            <w:rStyle w:val="Hyperlink"/>
            <w:rFonts w:ascii="Times New Roman" w:hAnsi="Times New Roman" w:cs="Times New Roman"/>
            <w:color w:val="auto"/>
            <w:vertAlign w:val="superscript"/>
          </w:rPr>
          <w:t>[3]</w:t>
        </w:r>
      </w:hyperlink>
      <w:r w:rsidRPr="003436C2">
        <w:rPr>
          <w:rFonts w:ascii="Times New Roman" w:hAnsi="Times New Roman" w:cs="Times New Roman"/>
        </w:rPr>
        <w:t xml:space="preserve"> She has also mapped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differential editorial strategy: he was hands-off in confessionally neutral rubrics (the doxologies, the morning and evening hymns, the catechetical settings), and heavily interventionist in the Eucharistic, Marian, and ecclesiological sections, where the cross-confessional source material carried theological weight that an Augsburg-Lutheran compiler had to handle with care.</w:t>
      </w:r>
      <w:hyperlink r:id="rId8" w:anchor="fn4" w:history="1">
        <w:r w:rsidRPr="003436C2">
          <w:rPr>
            <w:rStyle w:val="Hyperlink"/>
            <w:rFonts w:ascii="Times New Roman" w:hAnsi="Times New Roman" w:cs="Times New Roman"/>
            <w:color w:val="auto"/>
            <w:vertAlign w:val="superscript"/>
          </w:rPr>
          <w:t>[4]</w:t>
        </w:r>
      </w:hyperlink>
      <w:r w:rsidRPr="003436C2">
        <w:rPr>
          <w:rFonts w:ascii="Times New Roman" w:hAnsi="Times New Roman" w:cs="Times New Roman"/>
        </w:rPr>
        <w:t> Peter Benka's critical edition (2024) of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together with 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1585, published as volume X of the </w:t>
      </w:r>
      <w:proofErr w:type="spellStart"/>
      <w:r w:rsidRPr="003436C2">
        <w:rPr>
          <w:rFonts w:ascii="Times New Roman" w:hAnsi="Times New Roman" w:cs="Times New Roman"/>
          <w:i/>
          <w:iCs/>
        </w:rPr>
        <w:t>Monumenta</w:t>
      </w:r>
      <w:proofErr w:type="spellEnd"/>
      <w:r w:rsidRPr="003436C2">
        <w:rPr>
          <w:rFonts w:ascii="Times New Roman" w:hAnsi="Times New Roman" w:cs="Times New Roman"/>
          <w:i/>
          <w:iCs/>
        </w:rPr>
        <w:t xml:space="preserve"> Linguae </w:t>
      </w:r>
      <w:proofErr w:type="spellStart"/>
      <w:r w:rsidRPr="003436C2">
        <w:rPr>
          <w:rFonts w:ascii="Times New Roman" w:hAnsi="Times New Roman" w:cs="Times New Roman"/>
          <w:i/>
          <w:iCs/>
        </w:rPr>
        <w:t>Slovacae</w:t>
      </w:r>
      <w:proofErr w:type="spellEnd"/>
      <w:r w:rsidRPr="003436C2">
        <w:rPr>
          <w:rFonts w:ascii="Times New Roman" w:hAnsi="Times New Roman" w:cs="Times New Roman"/>
        </w:rPr>
        <w:t> series, has for the first time given scholars a fully edited witness to the liturgical environment in which the Slovak Lutheran reception of Czech-Reformation worship took place.</w:t>
      </w:r>
      <w:hyperlink r:id="rId9" w:anchor="fn5" w:history="1">
        <w:r w:rsidRPr="003436C2">
          <w:rPr>
            <w:rStyle w:val="Hyperlink"/>
            <w:rFonts w:ascii="Times New Roman" w:hAnsi="Times New Roman" w:cs="Times New Roman"/>
            <w:color w:val="auto"/>
            <w:vertAlign w:val="superscript"/>
          </w:rPr>
          <w:t>[5]</w:t>
        </w:r>
      </w:hyperlink>
    </w:p>
    <w:p w14:paraId="2374F066"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These three contributions — Vajda's foundational survey, </w:t>
      </w:r>
      <w:proofErr w:type="spellStart"/>
      <w:r w:rsidRPr="003436C2">
        <w:rPr>
          <w:rFonts w:ascii="Times New Roman" w:hAnsi="Times New Roman" w:cs="Times New Roman"/>
        </w:rPr>
        <w:t>Grešová-Sekelská's</w:t>
      </w:r>
      <w:proofErr w:type="spellEnd"/>
      <w:r w:rsidRPr="003436C2">
        <w:rPr>
          <w:rFonts w:ascii="Times New Roman" w:hAnsi="Times New Roman" w:cs="Times New Roman"/>
        </w:rPr>
        <w:t xml:space="preserve"> quantification of the source mix and her mapping of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differential, and Benka's critical edition of the immediate liturgical context — have each kept the focus on cross-confessional transfer. The interesting confessional movement, on this account, occurs </w:t>
      </w:r>
      <w:proofErr w:type="gramStart"/>
      <w:r w:rsidRPr="003436C2">
        <w:rPr>
          <w:rFonts w:ascii="Times New Roman" w:hAnsi="Times New Roman" w:cs="Times New Roman"/>
        </w:rPr>
        <w:t>at the moment</w:t>
      </w:r>
      <w:proofErr w:type="gramEnd"/>
      <w:r w:rsidRPr="003436C2">
        <w:rPr>
          <w:rFonts w:ascii="Times New Roman" w:hAnsi="Times New Roman" w:cs="Times New Roman"/>
        </w:rPr>
        <w:t xml:space="preserve"> when material </w:t>
      </w:r>
      <w:r w:rsidRPr="003436C2">
        <w:rPr>
          <w:rFonts w:ascii="Times New Roman" w:hAnsi="Times New Roman" w:cs="Times New Roman"/>
          <w:i/>
          <w:iCs/>
        </w:rPr>
        <w:t>crosses</w:t>
      </w:r>
      <w:r w:rsidRPr="003436C2">
        <w:rPr>
          <w:rFonts w:ascii="Times New Roman" w:hAnsi="Times New Roman" w:cs="Times New Roman"/>
        </w:rPr>
        <w:t xml:space="preserve"> between confessional traditions: from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or Brethren source into Slovak Lutheran reception, where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performs the work of theological filtering. The </w:t>
      </w:r>
      <w:r w:rsidRPr="003436C2">
        <w:rPr>
          <w:rFonts w:ascii="Times New Roman" w:hAnsi="Times New Roman" w:cs="Times New Roman"/>
          <w:i/>
          <w:iCs/>
        </w:rPr>
        <w:t>Cithara Sanctorum</w:t>
      </w:r>
      <w:r w:rsidRPr="003436C2">
        <w:rPr>
          <w:rFonts w:ascii="Times New Roman" w:hAnsi="Times New Roman" w:cs="Times New Roman"/>
        </w:rPr>
        <w:t> is the destination; the cross-confessional transfer is the event; the filtering is the action.</w:t>
      </w:r>
    </w:p>
    <w:p w14:paraId="58374F99"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This paper offers a complementary finding at smaller scale. 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 administered today by the Central Library of the Slovak Academy of Sciences — preserves the printed Czech agenda bound together with its manuscript Slovak supplement,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of 1585, in a single physical codex. Benka's critical edition is the first scholarly work to have published both witnesses together, with full apparatus, in their codicological co-presence as the early users had bound them. Read against each other — and not, as is more usual, in isolation — the two witnesses exhibit a confessional stratification </w:t>
      </w:r>
      <w:r w:rsidRPr="003436C2">
        <w:rPr>
          <w:rFonts w:ascii="Times New Roman" w:hAnsi="Times New Roman" w:cs="Times New Roman"/>
          <w:i/>
          <w:iCs/>
        </w:rPr>
        <w:t>within the Lutheran orbit itself</w:t>
      </w:r>
      <w:r w:rsidRPr="003436C2">
        <w:rPr>
          <w:rFonts w:ascii="Times New Roman" w:hAnsi="Times New Roman" w:cs="Times New Roman"/>
        </w:rPr>
        <w:t>. The printed Czech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operates in a moderate Czech-Lutheran register: it uses identificatory language for the Eucharistic elements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krev</w:t>
      </w:r>
      <w:proofErr w:type="spellEnd"/>
      <w:r w:rsidRPr="003436C2">
        <w:rPr>
          <w:rFonts w:ascii="Times New Roman" w:hAnsi="Times New Roman" w:cs="Times New Roman"/>
        </w:rPr>
        <w:t>") but without the qualifying adjectives ("</w:t>
      </w:r>
      <w:proofErr w:type="spellStart"/>
      <w:r w:rsidRPr="003436C2">
        <w:rPr>
          <w:rFonts w:ascii="Times New Roman" w:hAnsi="Times New Roman" w:cs="Times New Roman"/>
        </w:rPr>
        <w:t>pravý</w:t>
      </w:r>
      <w:proofErr w:type="spellEnd"/>
      <w:r w:rsidRPr="003436C2">
        <w:rPr>
          <w:rFonts w:ascii="Times New Roman" w:hAnsi="Times New Roman" w:cs="Times New Roman"/>
        </w:rPr>
        <w:t>", "</w:t>
      </w:r>
      <w:proofErr w:type="spellStart"/>
      <w:r w:rsidRPr="003436C2">
        <w:rPr>
          <w:rFonts w:ascii="Times New Roman" w:hAnsi="Times New Roman" w:cs="Times New Roman"/>
        </w:rPr>
        <w:t>substanciálny</w:t>
      </w:r>
      <w:proofErr w:type="spellEnd"/>
      <w:r w:rsidRPr="003436C2">
        <w:rPr>
          <w:rFonts w:ascii="Times New Roman" w:hAnsi="Times New Roman" w:cs="Times New Roman"/>
        </w:rPr>
        <w:t xml:space="preserve">") that </w:t>
      </w:r>
      <w:proofErr w:type="spellStart"/>
      <w:r w:rsidRPr="003436C2">
        <w:rPr>
          <w:rFonts w:ascii="Times New Roman" w:hAnsi="Times New Roman" w:cs="Times New Roman"/>
        </w:rPr>
        <w:t>characterised</w:t>
      </w:r>
      <w:proofErr w:type="spellEnd"/>
      <w:r w:rsidRPr="003436C2">
        <w:rPr>
          <w:rFonts w:ascii="Times New Roman" w:hAnsi="Times New Roman" w:cs="Times New Roman"/>
        </w:rPr>
        <w:t xml:space="preserve"> polemically sharpened Lutheran anti-Reformed discourse in the wake of the Formula of Concord (1577); it grounds worthy reception in faith in the words of institution rather than in any specifically articulated metaphysical doctrine of the mode of presence; and it is silent on the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 the teaching that the unworthy also truly receive Christ's body and blood, to their condemnation, which the Formula of Concord had just made the boundary marker between Lutheran and Reformed Eucharistic theology. The manuscript Slovak supplement, written approximately four years later by an unknown hand for local use in the mining-town environment of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and its surroundings, sharpens the same theology in precisely the dimensions where the printed agenda had remained moderate.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introduces 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language: communicants receive the body and blood of the Son of God, the worthy "k </w:t>
      </w:r>
      <w:proofErr w:type="spellStart"/>
      <w:r w:rsidRPr="003436C2">
        <w:rPr>
          <w:rFonts w:ascii="Times New Roman" w:hAnsi="Times New Roman" w:cs="Times New Roman"/>
        </w:rPr>
        <w:t>spasenij</w:t>
      </w:r>
      <w:proofErr w:type="spellEnd"/>
      <w:r w:rsidRPr="003436C2">
        <w:rPr>
          <w:rFonts w:ascii="Times New Roman" w:hAnsi="Times New Roman" w:cs="Times New Roman"/>
        </w:rPr>
        <w:t xml:space="preserve">" (for salvation), the unworthy "ne k </w:t>
      </w:r>
      <w:proofErr w:type="spellStart"/>
      <w:r w:rsidRPr="003436C2">
        <w:rPr>
          <w:rFonts w:ascii="Times New Roman" w:hAnsi="Times New Roman" w:cs="Times New Roman"/>
        </w:rPr>
        <w:t>spasenij</w:t>
      </w:r>
      <w:proofErr w:type="spellEnd"/>
      <w:r w:rsidRPr="003436C2">
        <w:rPr>
          <w:rFonts w:ascii="Times New Roman" w:hAnsi="Times New Roman" w:cs="Times New Roman"/>
        </w:rPr>
        <w:t xml:space="preserve">, ale k </w:t>
      </w:r>
      <w:proofErr w:type="spellStart"/>
      <w:r w:rsidRPr="003436C2">
        <w:rPr>
          <w:rFonts w:ascii="Times New Roman" w:hAnsi="Times New Roman" w:cs="Times New Roman"/>
        </w:rPr>
        <w:t>zatraczenij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wěčnemu</w:t>
      </w:r>
      <w:proofErr w:type="spellEnd"/>
      <w:r w:rsidRPr="003436C2">
        <w:rPr>
          <w:rFonts w:ascii="Times New Roman" w:hAnsi="Times New Roman" w:cs="Times New Roman"/>
        </w:rPr>
        <w:t>" (not for salvation, but for eternal damnation).</w:t>
      </w:r>
      <w:hyperlink r:id="rId10" w:anchor="fn6" w:history="1">
        <w:r w:rsidRPr="003436C2">
          <w:rPr>
            <w:rStyle w:val="Hyperlink"/>
            <w:rFonts w:ascii="Times New Roman" w:hAnsi="Times New Roman" w:cs="Times New Roman"/>
            <w:color w:val="auto"/>
            <w:vertAlign w:val="superscript"/>
          </w:rPr>
          <w:t>[6]</w:t>
        </w:r>
      </w:hyperlink>
    </w:p>
    <w:p w14:paraId="5CF5728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The intensification operates not at the cross-confessional boundary — both witnesses are Lutheran-aligned,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preface declares Augsburg Confession alignment explicitly — but within the Lutheran orbit itself. From a moderate Czech printed register, with traces of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residue carried over into the Czech translation of the source German agendas, to a sharper Upper-Hungarian Lutheran manuscript register four years later. From a printed text intended for broad Czech-language pastoral use to a hand-written supplement intended for local use in the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mining-town milieu. From a 1581 register to a 1585 register, across the years in which the Formula of Concord (1577) was disseminating across the Lutheran territories and the anti-crypto-Calvinist policing of contemporary Lutheran clergy was intensifying.</w:t>
      </w:r>
    </w:p>
    <w:p w14:paraId="4F38807C"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implication for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this paper argues, is that confessional sharpening is not exclusively a phenomenon of cross-confessional transfer (Brethren or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source → Slovak Lutheran </w:t>
      </w:r>
      <w:r w:rsidRPr="003436C2">
        <w:rPr>
          <w:rFonts w:ascii="Times New Roman" w:hAnsi="Times New Roman" w:cs="Times New Roman"/>
          <w:i/>
          <w:iCs/>
        </w:rPr>
        <w:t>Cithara Sanctorum</w:t>
      </w:r>
      <w:r w:rsidRPr="003436C2">
        <w:rPr>
          <w:rFonts w:ascii="Times New Roman" w:hAnsi="Times New Roman" w:cs="Times New Roman"/>
        </w:rPr>
        <w:t xml:space="preserve"> via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hand) but also a phenomenon of intra-confessional register shift, observable at the granularity of a single physical codex bound together by its early users. The </w:t>
      </w:r>
      <w:r w:rsidRPr="003436C2">
        <w:rPr>
          <w:rFonts w:ascii="Times New Roman" w:hAnsi="Times New Roman" w:cs="Times New Roman"/>
          <w:i/>
          <w:iCs/>
        </w:rPr>
        <w:t>Cithara Sanctorum</w:t>
      </w:r>
      <w:r w:rsidRPr="003436C2">
        <w:rPr>
          <w:rFonts w:ascii="Times New Roman" w:hAnsi="Times New Roman" w:cs="Times New Roman"/>
        </w:rPr>
        <w:t xml:space="preserve">'s editorial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in 1636 sits in continuity with the manuscript supplementation that had already been intensifying the Czech printed Lutheran register a half-century earlier in the same broader Slovak Lutheran liturgical landscape. Read as a continuum, the AC 1581 → BA 1585 → CS 1636 trajectory traces a single direction of confessional consolidation. What changes across the three texts is not so much the doctrinal </w:t>
      </w:r>
      <w:proofErr w:type="gramStart"/>
      <w:r w:rsidRPr="003436C2">
        <w:rPr>
          <w:rFonts w:ascii="Times New Roman" w:hAnsi="Times New Roman" w:cs="Times New Roman"/>
        </w:rPr>
        <w:t>substance — all</w:t>
      </w:r>
      <w:proofErr w:type="gramEnd"/>
      <w:r w:rsidRPr="003436C2">
        <w:rPr>
          <w:rFonts w:ascii="Times New Roman" w:hAnsi="Times New Roman" w:cs="Times New Roman"/>
        </w:rPr>
        <w:t xml:space="preserve"> three are Lutheran-aligned by the standards of their authors and their intended users — as the polemical sharpness with which the doctrinal substance is articulated.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in the milieu out of which the </w:t>
      </w:r>
      <w:r w:rsidRPr="003436C2">
        <w:rPr>
          <w:rFonts w:ascii="Times New Roman" w:hAnsi="Times New Roman" w:cs="Times New Roman"/>
          <w:i/>
          <w:iCs/>
        </w:rPr>
        <w:t>Cithara Sanctorum</w:t>
      </w:r>
      <w:r w:rsidRPr="003436C2">
        <w:rPr>
          <w:rFonts w:ascii="Times New Roman" w:hAnsi="Times New Roman" w:cs="Times New Roman"/>
        </w:rPr>
        <w:t> eventually emerged, was not a static record of confession but an active site of confessional work.</w:t>
      </w:r>
    </w:p>
    <w:p w14:paraId="45A5F92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paper proceeds as follows. §2 introduces the codex and its scholarly framing: 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the editorial situation as Benka has reconstructed it, and the historical context of the mining-town Reformation in which both witnesses were used. §§3 and 4 read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respectively, focusing on their Eucharistic articulations and drawing on Benka's verbatim quotations and analytical observations. §5 reads the stratification theologically, locating it within the Formula-of-Concord period's disciplinary expectations of confessional precision. §6 returns to the broader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and registers a brief but consequential observation about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Bohemica</w:t>
      </w:r>
      <w:r w:rsidRPr="003436C2">
        <w:rPr>
          <w:rFonts w:ascii="Times New Roman" w:hAnsi="Times New Roman" w:cs="Times New Roman"/>
        </w:rPr>
        <w:t> of 1575, the trans-confessional document whose own register has been similarly misread in a parallel direction. §7 concludes.</w:t>
      </w:r>
    </w:p>
    <w:p w14:paraId="0B541A6C"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The codex and its scholarly framing</w:t>
      </w:r>
    </w:p>
    <w:p w14:paraId="34865F20"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 the </w:t>
      </w:r>
      <w:proofErr w:type="spellStart"/>
      <w:r w:rsidRPr="003436C2">
        <w:rPr>
          <w:rFonts w:ascii="Times New Roman" w:hAnsi="Times New Roman" w:cs="Times New Roman"/>
          <w:i/>
          <w:iCs/>
        </w:rPr>
        <w:t>Lyceálna</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knižnica</w:t>
      </w:r>
      <w:proofErr w:type="spellEnd"/>
      <w:r w:rsidRPr="003436C2">
        <w:rPr>
          <w:rFonts w:ascii="Times New Roman" w:hAnsi="Times New Roman" w:cs="Times New Roman"/>
        </w:rPr>
        <w:t> in the historic Lutheran lyceum of the city, today administered by the Central Library of the Slovak Academy of Sciences (</w:t>
      </w:r>
      <w:proofErr w:type="spellStart"/>
      <w:r w:rsidRPr="003436C2">
        <w:rPr>
          <w:rFonts w:ascii="Times New Roman" w:hAnsi="Times New Roman" w:cs="Times New Roman"/>
        </w:rPr>
        <w:t>Ústredná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knižnica</w:t>
      </w:r>
      <w:proofErr w:type="spellEnd"/>
      <w:r w:rsidRPr="003436C2">
        <w:rPr>
          <w:rFonts w:ascii="Times New Roman" w:hAnsi="Times New Roman" w:cs="Times New Roman"/>
        </w:rPr>
        <w:t xml:space="preserve"> SAV) — preserves a copy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of 1581 bound together with a manuscript supplement,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of 1585. The print and the manuscript are not </w:t>
      </w:r>
      <w:proofErr w:type="spellStart"/>
      <w:r w:rsidRPr="003436C2">
        <w:rPr>
          <w:rFonts w:ascii="Times New Roman" w:hAnsi="Times New Roman" w:cs="Times New Roman"/>
        </w:rPr>
        <w:t>codicologically</w:t>
      </w:r>
      <w:proofErr w:type="spellEnd"/>
      <w:r w:rsidRPr="003436C2">
        <w:rPr>
          <w:rFonts w:ascii="Times New Roman" w:hAnsi="Times New Roman" w:cs="Times New Roman"/>
        </w:rPr>
        <w:t xml:space="preserve"> twins: they were produced separately, four years apart, and brought together by the early users of the codex who </w:t>
      </w:r>
      <w:proofErr w:type="spellStart"/>
      <w:r w:rsidRPr="003436C2">
        <w:rPr>
          <w:rFonts w:ascii="Times New Roman" w:hAnsi="Times New Roman" w:cs="Times New Roman"/>
        </w:rPr>
        <w:t>recognised</w:t>
      </w:r>
      <w:proofErr w:type="spellEnd"/>
      <w:r w:rsidRPr="003436C2">
        <w:rPr>
          <w:rFonts w:ascii="Times New Roman" w:hAnsi="Times New Roman" w:cs="Times New Roman"/>
        </w:rPr>
        <w:t xml:space="preserve"> them as belonging to a single liturgical use. The print itself is a translation into Czech of liturgical orders compiled from German </w:t>
      </w:r>
      <w:r w:rsidRPr="003436C2">
        <w:rPr>
          <w:rFonts w:ascii="Times New Roman" w:hAnsi="Times New Roman" w:cs="Times New Roman"/>
        </w:rPr>
        <w:lastRenderedPageBreak/>
        <w:t xml:space="preserve">Lutheran agendas — primarily Wittenberg, Brandenburg, and Württemberg — assembled for the use of clergy who had been ordained in Wittenberg but who served Czech-speaking populations in territories that had passed through the religious experience of the Hussite revolution and its long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aftermath.</w:t>
      </w:r>
      <w:hyperlink r:id="rId11" w:anchor="fn7" w:history="1">
        <w:r w:rsidRPr="003436C2">
          <w:rPr>
            <w:rStyle w:val="Hyperlink"/>
            <w:rFonts w:ascii="Times New Roman" w:hAnsi="Times New Roman" w:cs="Times New Roman"/>
            <w:color w:val="auto"/>
            <w:vertAlign w:val="superscript"/>
          </w:rPr>
          <w:t>[7]</w:t>
        </w:r>
      </w:hyperlink>
      <w:r w:rsidRPr="003436C2">
        <w:rPr>
          <w:rFonts w:ascii="Times New Roman" w:hAnsi="Times New Roman" w:cs="Times New Roman"/>
        </w:rPr>
        <w:t> The preface to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declares its alignment with the Augsburg Confession and the three ecumenical creeds (</w:t>
      </w:r>
      <w:proofErr w:type="spellStart"/>
      <w:r w:rsidRPr="003436C2">
        <w:rPr>
          <w:rFonts w:ascii="Times New Roman" w:hAnsi="Times New Roman" w:cs="Times New Roman"/>
        </w:rPr>
        <w:t>Apostolicum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Nicenum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Athanasianum</w:t>
      </w:r>
      <w:proofErr w:type="spellEnd"/>
      <w:r w:rsidRPr="003436C2">
        <w:rPr>
          <w:rFonts w:ascii="Times New Roman" w:hAnsi="Times New Roman" w:cs="Times New Roman"/>
        </w:rPr>
        <w:t xml:space="preserve">) explicitly; it claims doctrinal unity ("not even the smallest article", in Benka's reading of the preface) among the clergy whose pastoral practice it was to </w:t>
      </w:r>
      <w:proofErr w:type="spellStart"/>
      <w:r w:rsidRPr="003436C2">
        <w:rPr>
          <w:rFonts w:ascii="Times New Roman" w:hAnsi="Times New Roman" w:cs="Times New Roman"/>
        </w:rPr>
        <w:t>standardise</w:t>
      </w:r>
      <w:proofErr w:type="spellEnd"/>
      <w:r w:rsidRPr="003436C2">
        <w:rPr>
          <w:rFonts w:ascii="Times New Roman" w:hAnsi="Times New Roman" w:cs="Times New Roman"/>
        </w:rPr>
        <w:t>, while acknowledging that ceremonial diversity was the practical problem the agenda sought to resolve.</w:t>
      </w:r>
      <w:hyperlink r:id="rId12" w:anchor="fn8" w:history="1">
        <w:r w:rsidRPr="003436C2">
          <w:rPr>
            <w:rStyle w:val="Hyperlink"/>
            <w:rFonts w:ascii="Times New Roman" w:hAnsi="Times New Roman" w:cs="Times New Roman"/>
            <w:color w:val="auto"/>
            <w:vertAlign w:val="superscript"/>
          </w:rPr>
          <w:t>[8]</w:t>
        </w:r>
      </w:hyperlink>
      <w:r w:rsidRPr="003436C2">
        <w:rPr>
          <w:rFonts w:ascii="Times New Roman" w:hAnsi="Times New Roman" w:cs="Times New Roman"/>
        </w:rPr>
        <w:t xml:space="preserve"> The print was therefore not a neutral instrument: it was a confessionally identified Lutheran liturgical order, expressed in Czech, for the use of a clergy whose institutional formation was Wittenberg-ordained and whose pastoral remit included a population whose religious memory still carried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sensibilities.</w:t>
      </w:r>
    </w:p>
    <w:p w14:paraId="21FC29D1"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is something else. It is a supplement, not a substitute. Its scribe — anonymous, but evidently working within the same Lutheran liturgical-pastoral world as the printed agenda's compilers — assumes the printed agenda and writes alongside it, supplying material for confession and Eucharistic preparation, marriage, and funerals.</w:t>
      </w:r>
      <w:hyperlink r:id="rId13" w:anchor="fn9" w:history="1">
        <w:r w:rsidRPr="003436C2">
          <w:rPr>
            <w:rStyle w:val="Hyperlink"/>
            <w:rFonts w:ascii="Times New Roman" w:hAnsi="Times New Roman" w:cs="Times New Roman"/>
            <w:color w:val="auto"/>
            <w:vertAlign w:val="superscript"/>
          </w:rPr>
          <w:t>[9]</w:t>
        </w:r>
      </w:hyperlink>
      <w:r w:rsidRPr="003436C2">
        <w:rPr>
          <w:rFonts w:ascii="Times New Roman" w:hAnsi="Times New Roman" w:cs="Times New Roman"/>
        </w:rPr>
        <w:t> It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was being explicitly listed as a marker for the identification of hidden Calvinists within otherwise Lutheran-aligned clergy.</w:t>
      </w:r>
      <w:hyperlink r:id="rId14" w:anchor="fn10" w:history="1">
        <w:r w:rsidRPr="003436C2">
          <w:rPr>
            <w:rStyle w:val="Hyperlink"/>
            <w:rFonts w:ascii="Times New Roman" w:hAnsi="Times New Roman" w:cs="Times New Roman"/>
            <w:color w:val="auto"/>
            <w:vertAlign w:val="superscript"/>
          </w:rPr>
          <w:t>[10]</w:t>
        </w:r>
      </w:hyperlink>
      <w:r w:rsidRPr="003436C2">
        <w:rPr>
          <w:rFonts w:ascii="Times New Roman" w:hAnsi="Times New Roman" w:cs="Times New Roman"/>
        </w:rPr>
        <w:t> The supplement was made in this disciplinary atmosphere; it is a local document responding to a regional theological climate.</w:t>
      </w:r>
    </w:p>
    <w:p w14:paraId="61DCEC9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What matters for this paper is that the early users of the Bratislava codex bound the print and the manuscript together. The act of binding is the codicological encoding of a theological judgement: that these two witnesses belonged to one another, that they served a single liturgical practice, that the supplement was meant to be read alongside, and not against, the printed agenda. Read in isolation — as both witnesses were ordinarily read in earlier </w:t>
      </w:r>
      <w:proofErr w:type="gramStart"/>
      <w:r w:rsidRPr="003436C2">
        <w:rPr>
          <w:rFonts w:ascii="Times New Roman" w:hAnsi="Times New Roman" w:cs="Times New Roman"/>
        </w:rPr>
        <w:t>scholarship</w:t>
      </w:r>
      <w:proofErr w:type="gramEnd"/>
      <w:r w:rsidRPr="003436C2">
        <w:rPr>
          <w:rFonts w:ascii="Times New Roman" w:hAnsi="Times New Roman" w:cs="Times New Roman"/>
        </w:rPr>
        <w:t>, when they had been catalogued separately and consulted for separate purposes — the print's moderate register and the manuscript's sharper register would each have been taken as freestanding documents of their respective confessional moments. Read together, as the binding records the early users' practice of reading them, they become something else: a witness to a confessional movement </w:t>
      </w:r>
      <w:r w:rsidRPr="003436C2">
        <w:rPr>
          <w:rFonts w:ascii="Times New Roman" w:hAnsi="Times New Roman" w:cs="Times New Roman"/>
          <w:i/>
          <w:iCs/>
        </w:rPr>
        <w:t>within</w:t>
      </w:r>
      <w:r w:rsidRPr="003436C2">
        <w:rPr>
          <w:rFonts w:ascii="Times New Roman" w:hAnsi="Times New Roman" w:cs="Times New Roman"/>
        </w:rPr>
        <w:t> a single liturgical use, across the four years that separate the print from the manuscript supplement.</w:t>
      </w:r>
    </w:p>
    <w:p w14:paraId="736C9F56"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historical context of the mining-town Reformation in which both witnesses were used must be sketched briefly. The seven Upper-Hungarian mining towns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Štiavnica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Kremnica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Ľubietová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Pukanec</w:t>
      </w:r>
      <w:proofErr w:type="spellEnd"/>
      <w:r w:rsidRPr="003436C2">
        <w:rPr>
          <w:rFonts w:ascii="Times New Roman" w:hAnsi="Times New Roman" w:cs="Times New Roman"/>
        </w:rPr>
        <w:t xml:space="preserve">, Nová </w:t>
      </w:r>
      <w:proofErr w:type="spellStart"/>
      <w:r w:rsidRPr="003436C2">
        <w:rPr>
          <w:rFonts w:ascii="Times New Roman" w:hAnsi="Times New Roman" w:cs="Times New Roman"/>
        </w:rPr>
        <w:t>Baňa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Belá</w:t>
      </w:r>
      <w:proofErr w:type="spellEnd"/>
      <w:r w:rsidRPr="003436C2">
        <w:rPr>
          <w:rFonts w:ascii="Times New Roman" w:hAnsi="Times New Roman" w:cs="Times New Roman"/>
        </w:rPr>
        <w:t xml:space="preserve">) had embraced the Lutheran Reformation in stages from the 1520s onwards, in a process whose pace and form was conditioned by the towns' privileged legal status, their German-speaking patriciate, and their wealth from copper and silver extraction. By the late 1550s the towns were under </w:t>
      </w:r>
      <w:r w:rsidRPr="003436C2">
        <w:rPr>
          <w:rFonts w:ascii="Times New Roman" w:hAnsi="Times New Roman" w:cs="Times New Roman"/>
        </w:rPr>
        <w:lastRenderedPageBreak/>
        <w:t>direct royal pressure to give an account of their religious practice; in 1559 they composed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Heptapolitana</w:t>
      </w:r>
      <w:proofErr w:type="spellEnd"/>
      <w:r w:rsidRPr="003436C2">
        <w:rPr>
          <w:rFonts w:ascii="Times New Roman" w:hAnsi="Times New Roman" w:cs="Times New Roman"/>
        </w:rPr>
        <w:t>, the seven-towns confession, modelled on the Pentapolitana (1549) of the five eastern royal cities and aligned with the Augsburg Confession.</w:t>
      </w:r>
      <w:hyperlink r:id="rId15" w:anchor="fn11" w:history="1">
        <w:r w:rsidRPr="003436C2">
          <w:rPr>
            <w:rStyle w:val="Hyperlink"/>
            <w:rFonts w:ascii="Times New Roman" w:hAnsi="Times New Roman" w:cs="Times New Roman"/>
            <w:color w:val="auto"/>
            <w:vertAlign w:val="superscript"/>
          </w:rPr>
          <w:t>[11]</w:t>
        </w:r>
      </w:hyperlink>
      <w:r w:rsidRPr="003436C2">
        <w:rPr>
          <w:rFonts w:ascii="Times New Roman" w:hAnsi="Times New Roman" w:cs="Times New Roman"/>
        </w:rPr>
        <w:t> By the 1570s and 1580s, when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was printed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was composed, the mining towns' Lutheran identity was institutionally settled, but the confessional disciplinary atmosphere had intensified considerably. The 1548 Pressburg Diet, contrary to a long-standing protestant historiographical assumption, had not tolerated the Augsburg Confession; as Zoltán Csepregi has argued, the diet's measures were aimed at </w:t>
      </w:r>
      <w:proofErr w:type="spellStart"/>
      <w:r w:rsidRPr="003436C2">
        <w:rPr>
          <w:rFonts w:ascii="Times New Roman" w:hAnsi="Times New Roman" w:cs="Times New Roman"/>
          <w:i/>
          <w:iCs/>
        </w:rPr>
        <w:t>reformatio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catholica</w:t>
      </w:r>
      <w:proofErr w:type="spellEnd"/>
      <w:r w:rsidRPr="003436C2">
        <w:rPr>
          <w:rFonts w:ascii="Times New Roman" w:hAnsi="Times New Roman" w:cs="Times New Roman"/>
        </w:rPr>
        <w:t>, the restoration of Catholic worship, with anabaptists and "</w:t>
      </w:r>
      <w:proofErr w:type="spellStart"/>
      <w:r w:rsidRPr="003436C2">
        <w:rPr>
          <w:rFonts w:ascii="Times New Roman" w:hAnsi="Times New Roman" w:cs="Times New Roman"/>
        </w:rPr>
        <w:t>sacramentarians</w:t>
      </w:r>
      <w:proofErr w:type="spellEnd"/>
      <w:r w:rsidRPr="003436C2">
        <w:rPr>
          <w:rFonts w:ascii="Times New Roman" w:hAnsi="Times New Roman" w:cs="Times New Roman"/>
        </w:rPr>
        <w:t>" explicitly named as heretics to be expelled and Lutheran clergy left to defend their orthodoxy under sustained pressure.</w:t>
      </w:r>
      <w:hyperlink r:id="rId16" w:anchor="fn12" w:history="1">
        <w:r w:rsidRPr="003436C2">
          <w:rPr>
            <w:rStyle w:val="Hyperlink"/>
            <w:rFonts w:ascii="Times New Roman" w:hAnsi="Times New Roman" w:cs="Times New Roman"/>
            <w:color w:val="auto"/>
            <w:vertAlign w:val="superscript"/>
          </w:rPr>
          <w:t>[12]</w:t>
        </w:r>
      </w:hyperlink>
      <w:r w:rsidRPr="003436C2">
        <w:rPr>
          <w:rFonts w:ascii="Times New Roman" w:hAnsi="Times New Roman" w:cs="Times New Roman"/>
        </w:rPr>
        <w:t> The 1558 mining-town synod and subsequent agreements pursued ceremonial uniformity while preserving "Christian freedom" in adiaphora. The 1580 regulations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own treatment of the relationship between confession and Eucharist link private confession to worthy reception of the Lord's Supper, which in this disciplinary atmosphere served the double confessional function of distinguishing Lutheran practice from both Catholic obligatory confession and Reformed elimination of private confession.</w:t>
      </w:r>
      <w:hyperlink r:id="rId17" w:anchor="fn13" w:history="1">
        <w:r w:rsidRPr="003436C2">
          <w:rPr>
            <w:rStyle w:val="Hyperlink"/>
            <w:rFonts w:ascii="Times New Roman" w:hAnsi="Times New Roman" w:cs="Times New Roman"/>
            <w:color w:val="auto"/>
            <w:vertAlign w:val="superscript"/>
          </w:rPr>
          <w:t>[13]</w:t>
        </w:r>
      </w:hyperlink>
    </w:p>
    <w:p w14:paraId="2929A19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codex is therefore not a neutral physical object. It is a witness — and, in Benka's edition, a finally readable witness — to a moment in the consolidation of Lutheran confessional identity in the Upper-Hungarian mining-town milieu, where a Czech-language printed agenda translated from German Lutheran sources met a Slovak-language manuscript supplement composed locally four years later under intensifying disciplinary pressure. The print and the supplement together form a single liturgical use, bound by their early users into a single codex; read against each other, they exhibit a confessional movement that is invisible if either is read alone. The chapters that follow examine that movement in the dimension where it is most clearly visible: the rite of the Lord's Supper.</w:t>
      </w:r>
    </w:p>
    <w:p w14:paraId="3D285DA4" w14:textId="77777777" w:rsidR="003436C2" w:rsidRPr="003436C2" w:rsidRDefault="00000000" w:rsidP="003436C2">
      <w:pPr>
        <w:rPr>
          <w:rFonts w:ascii="Times New Roman" w:hAnsi="Times New Roman" w:cs="Times New Roman"/>
        </w:rPr>
      </w:pPr>
      <w:r>
        <w:rPr>
          <w:rFonts w:ascii="Times New Roman" w:hAnsi="Times New Roman" w:cs="Times New Roman"/>
        </w:rPr>
        <w:pict w14:anchorId="72E320F9">
          <v:rect id="_x0000_i1027" style="width:0;height:3pt" o:hralign="center" o:hrstd="t" o:hr="t" fillcolor="#a0a0a0" stroked="f"/>
        </w:pict>
      </w:r>
    </w:p>
    <w:p w14:paraId="509D433B"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The printed Czech register: </w:t>
      </w:r>
      <w:r w:rsidRPr="003436C2">
        <w:rPr>
          <w:rFonts w:ascii="Times New Roman" w:hAnsi="Times New Roman" w:cs="Times New Roman"/>
          <w:b/>
          <w:bCs/>
          <w:i/>
          <w:iCs/>
        </w:rPr>
        <w:t xml:space="preserve">Agenda </w:t>
      </w:r>
      <w:proofErr w:type="spellStart"/>
      <w:r w:rsidRPr="003436C2">
        <w:rPr>
          <w:rFonts w:ascii="Times New Roman" w:hAnsi="Times New Roman" w:cs="Times New Roman"/>
          <w:b/>
          <w:bCs/>
          <w:i/>
          <w:iCs/>
        </w:rPr>
        <w:t>Česká</w:t>
      </w:r>
      <w:proofErr w:type="spellEnd"/>
      <w:r w:rsidRPr="003436C2">
        <w:rPr>
          <w:rFonts w:ascii="Times New Roman" w:hAnsi="Times New Roman" w:cs="Times New Roman"/>
          <w:b/>
          <w:bCs/>
        </w:rPr>
        <w:t> 1581</w:t>
      </w:r>
    </w:p>
    <w:p w14:paraId="3C29026E"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Eucharistic rite of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occupies pp. 131 – 150 of Benka's edition; it is titled "</w:t>
      </w:r>
      <w:proofErr w:type="spellStart"/>
      <w:r w:rsidRPr="003436C2">
        <w:rPr>
          <w:rFonts w:ascii="Times New Roman" w:hAnsi="Times New Roman" w:cs="Times New Roman"/>
        </w:rPr>
        <w:t>Pořádek</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Msse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weliké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kterýžby</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při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posluhowánij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Welebné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Wečeře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Páně</w:t>
      </w:r>
      <w:proofErr w:type="spellEnd"/>
      <w:r w:rsidRPr="003436C2">
        <w:rPr>
          <w:rFonts w:ascii="Times New Roman" w:hAnsi="Times New Roman" w:cs="Times New Roman"/>
        </w:rPr>
        <w:t xml:space="preserve"> se </w:t>
      </w:r>
      <w:proofErr w:type="spellStart"/>
      <w:r w:rsidRPr="003436C2">
        <w:rPr>
          <w:rFonts w:ascii="Times New Roman" w:hAnsi="Times New Roman" w:cs="Times New Roman"/>
        </w:rPr>
        <w:t>zachowáwati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měl</w:t>
      </w:r>
      <w:proofErr w:type="spellEnd"/>
      <w:r w:rsidRPr="003436C2">
        <w:rPr>
          <w:rFonts w:ascii="Times New Roman" w:hAnsi="Times New Roman" w:cs="Times New Roman"/>
        </w:rPr>
        <w:t>" — "Order of the Great Mass, to be observed when administering the Venerable Sacrament of the Lord's Supper".</w:t>
      </w:r>
      <w:hyperlink r:id="rId18" w:anchor="fn14" w:history="1">
        <w:r w:rsidRPr="003436C2">
          <w:rPr>
            <w:rStyle w:val="Hyperlink"/>
            <w:rFonts w:ascii="Times New Roman" w:hAnsi="Times New Roman" w:cs="Times New Roman"/>
            <w:color w:val="auto"/>
            <w:vertAlign w:val="superscript"/>
          </w:rPr>
          <w:t>[14]</w:t>
        </w:r>
      </w:hyperlink>
      <w:r w:rsidRPr="003436C2">
        <w:rPr>
          <w:rFonts w:ascii="Times New Roman" w:hAnsi="Times New Roman" w:cs="Times New Roman"/>
        </w:rPr>
        <w:t> The structural inheritance is unmistakably Lutheran: the rite preserves the framework of Luther's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proofErr w:type="spellEnd"/>
      <w:r w:rsidRPr="003436C2">
        <w:rPr>
          <w:rFonts w:ascii="Times New Roman" w:hAnsi="Times New Roman" w:cs="Times New Roman"/>
        </w:rPr>
        <w:t> (1523) and </w:t>
      </w:r>
      <w:r w:rsidRPr="003436C2">
        <w:rPr>
          <w:rFonts w:ascii="Times New Roman" w:hAnsi="Times New Roman" w:cs="Times New Roman"/>
          <w:i/>
          <w:iCs/>
        </w:rPr>
        <w:t>Deutsche Messe</w:t>
      </w:r>
      <w:r w:rsidRPr="003436C2">
        <w:rPr>
          <w:rFonts w:ascii="Times New Roman" w:hAnsi="Times New Roman" w:cs="Times New Roman"/>
        </w:rPr>
        <w:t> (1526), with all the standard components — Confiteor and Absolution at the entrance, the Liturgy of the Word (Introit, Kyrie, Gloria, Collect, Epistle, Gospel, Credo, sermon), the General Prayer, the Preface and Sanctus, the Admonition to communicants (</w:t>
      </w:r>
      <w:proofErr w:type="spellStart"/>
      <w:r w:rsidRPr="003436C2">
        <w:rPr>
          <w:rFonts w:ascii="Times New Roman" w:hAnsi="Times New Roman" w:cs="Times New Roman"/>
          <w:i/>
          <w:iCs/>
        </w:rPr>
        <w:t>Napomenutí</w:t>
      </w:r>
      <w:proofErr w:type="spellEnd"/>
      <w:r w:rsidRPr="003436C2">
        <w:rPr>
          <w:rFonts w:ascii="Times New Roman" w:hAnsi="Times New Roman" w:cs="Times New Roman"/>
        </w:rPr>
        <w:t xml:space="preserve">), the Verba </w:t>
      </w:r>
      <w:proofErr w:type="spellStart"/>
      <w:r w:rsidRPr="003436C2">
        <w:rPr>
          <w:rFonts w:ascii="Times New Roman" w:hAnsi="Times New Roman" w:cs="Times New Roman"/>
        </w:rPr>
        <w:t>Institutionis</w:t>
      </w:r>
      <w:proofErr w:type="spellEnd"/>
      <w:r w:rsidRPr="003436C2">
        <w:rPr>
          <w:rFonts w:ascii="Times New Roman" w:hAnsi="Times New Roman" w:cs="Times New Roman"/>
        </w:rPr>
        <w:t xml:space="preserve">, distribution sub </w:t>
      </w:r>
      <w:proofErr w:type="spellStart"/>
      <w:r w:rsidRPr="003436C2">
        <w:rPr>
          <w:rFonts w:ascii="Times New Roman" w:hAnsi="Times New Roman" w:cs="Times New Roman"/>
        </w:rPr>
        <w:t>utraque</w:t>
      </w:r>
      <w:proofErr w:type="spellEnd"/>
      <w:r w:rsidRPr="003436C2">
        <w:rPr>
          <w:rFonts w:ascii="Times New Roman" w:hAnsi="Times New Roman" w:cs="Times New Roman"/>
        </w:rPr>
        <w:t>, the Thanksgiving, and the Aaronic Benediction.</w:t>
      </w:r>
      <w:hyperlink r:id="rId19" w:anchor="fn15" w:history="1">
        <w:r w:rsidRPr="003436C2">
          <w:rPr>
            <w:rStyle w:val="Hyperlink"/>
            <w:rFonts w:ascii="Times New Roman" w:hAnsi="Times New Roman" w:cs="Times New Roman"/>
            <w:color w:val="auto"/>
            <w:vertAlign w:val="superscript"/>
          </w:rPr>
          <w:t>[15]</w:t>
        </w:r>
      </w:hyperlink>
      <w:r w:rsidRPr="003436C2">
        <w:rPr>
          <w:rFonts w:ascii="Times New Roman" w:hAnsi="Times New Roman" w:cs="Times New Roman"/>
        </w:rPr>
        <w:t> What is striking is not the structure but the language in which the Eucharistic action is articulated within that structure. The structural inheritance commits the rite to a Lutheran liturgical lineage; the language register opens, or fails to open, the question of which Lutheranism — moderate or polemically sharpened — the rite serves.</w:t>
      </w:r>
    </w:p>
    <w:p w14:paraId="0C4F0131" w14:textId="77777777" w:rsidR="003436C2" w:rsidRPr="003436C2" w:rsidRDefault="003436C2" w:rsidP="003436C2">
      <w:pPr>
        <w:rPr>
          <w:rFonts w:ascii="Times New Roman" w:hAnsi="Times New Roman" w:cs="Times New Roman"/>
        </w:rPr>
      </w:pPr>
      <w:proofErr w:type="gramStart"/>
      <w:r w:rsidRPr="003436C2">
        <w:rPr>
          <w:rFonts w:ascii="Times New Roman" w:hAnsi="Times New Roman" w:cs="Times New Roman"/>
        </w:rPr>
        <w:lastRenderedPageBreak/>
        <w:t>A first</w:t>
      </w:r>
      <w:proofErr w:type="gramEnd"/>
      <w:r w:rsidRPr="003436C2">
        <w:rPr>
          <w:rFonts w:ascii="Times New Roman" w:hAnsi="Times New Roman" w:cs="Times New Roman"/>
        </w:rPr>
        <w:t xml:space="preserve"> marker is terminological. The rite carries two designations of the Eucharistic action that coexist in its title and throughout its rubrics: "</w:t>
      </w:r>
      <w:proofErr w:type="spellStart"/>
      <w:r w:rsidRPr="003436C2">
        <w:rPr>
          <w:rFonts w:ascii="Times New Roman" w:hAnsi="Times New Roman" w:cs="Times New Roman"/>
        </w:rPr>
        <w:t>Msse</w:t>
      </w:r>
      <w:proofErr w:type="spellEnd"/>
      <w:r w:rsidRPr="003436C2">
        <w:rPr>
          <w:rFonts w:ascii="Times New Roman" w:hAnsi="Times New Roman" w:cs="Times New Roman"/>
        </w:rPr>
        <w:t>" (Mass), the traditional Catholic term retained for the liturgical framework, and "</w:t>
      </w:r>
      <w:proofErr w:type="spellStart"/>
      <w:r w:rsidRPr="003436C2">
        <w:rPr>
          <w:rFonts w:ascii="Times New Roman" w:hAnsi="Times New Roman" w:cs="Times New Roman"/>
        </w:rPr>
        <w:t>Wečeře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Páně</w:t>
      </w:r>
      <w:proofErr w:type="spellEnd"/>
      <w:r w:rsidRPr="003436C2">
        <w:rPr>
          <w:rFonts w:ascii="Times New Roman" w:hAnsi="Times New Roman" w:cs="Times New Roman"/>
        </w:rPr>
        <w:t>" (Lord's Supper), the evangelical designation reserved for the sacramental action itself. Two registers coexist. The retention of "</w:t>
      </w:r>
      <w:proofErr w:type="spellStart"/>
      <w:r w:rsidRPr="003436C2">
        <w:rPr>
          <w:rFonts w:ascii="Times New Roman" w:hAnsi="Times New Roman" w:cs="Times New Roman"/>
        </w:rPr>
        <w:t>Msse</w:t>
      </w:r>
      <w:proofErr w:type="spellEnd"/>
      <w:r w:rsidRPr="003436C2">
        <w:rPr>
          <w:rFonts w:ascii="Times New Roman" w:hAnsi="Times New Roman" w:cs="Times New Roman"/>
        </w:rPr>
        <w:t>" signals liturgical continuity with the late-medieval Czech and Hungarian liturgical inheritance; the specification "</w:t>
      </w:r>
      <w:proofErr w:type="spellStart"/>
      <w:r w:rsidRPr="003436C2">
        <w:rPr>
          <w:rFonts w:ascii="Times New Roman" w:hAnsi="Times New Roman" w:cs="Times New Roman"/>
        </w:rPr>
        <w:t>Wečeře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Páně</w:t>
      </w:r>
      <w:proofErr w:type="spellEnd"/>
      <w:r w:rsidRPr="003436C2">
        <w:rPr>
          <w:rFonts w:ascii="Times New Roman" w:hAnsi="Times New Roman" w:cs="Times New Roman"/>
        </w:rPr>
        <w:t>" signals the confessional reinterpretation that empties the Mass of sacrificial content while preserving its ceremonial framework. This is the inheritance of Luther's own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proofErr w:type="spellEnd"/>
      <w:r w:rsidRPr="003436C2">
        <w:rPr>
          <w:rFonts w:ascii="Times New Roman" w:hAnsi="Times New Roman" w:cs="Times New Roman"/>
        </w:rPr>
        <w:t>, where the term "Mass" was retained even as the canon's sacrificial language was excised.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follows that pattern at the level of vocabulary, and to a 16th-century cleric familiar with the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r w:rsidRPr="003436C2">
        <w:rPr>
          <w:rFonts w:ascii="Times New Roman" w:hAnsi="Times New Roman" w:cs="Times New Roman"/>
        </w:rPr>
        <w:t>'s</w:t>
      </w:r>
      <w:proofErr w:type="spellEnd"/>
      <w:r w:rsidRPr="003436C2">
        <w:rPr>
          <w:rFonts w:ascii="Times New Roman" w:hAnsi="Times New Roman" w:cs="Times New Roman"/>
        </w:rPr>
        <w:t xml:space="preserve"> precedent the terminological doubling would have read as confessional clarity rather than ambiguity.</w:t>
      </w:r>
      <w:hyperlink r:id="rId20" w:anchor="fn16" w:history="1">
        <w:r w:rsidRPr="003436C2">
          <w:rPr>
            <w:rStyle w:val="Hyperlink"/>
            <w:rFonts w:ascii="Times New Roman" w:hAnsi="Times New Roman" w:cs="Times New Roman"/>
            <w:color w:val="auto"/>
            <w:vertAlign w:val="superscript"/>
          </w:rPr>
          <w:t>[16]</w:t>
        </w:r>
      </w:hyperlink>
      <w:r w:rsidRPr="003436C2">
        <w:rPr>
          <w:rFonts w:ascii="Times New Roman" w:hAnsi="Times New Roman" w:cs="Times New Roman"/>
        </w:rPr>
        <w:t> The sacrament is consistently called "</w:t>
      </w:r>
      <w:proofErr w:type="spellStart"/>
      <w:r w:rsidRPr="003436C2">
        <w:rPr>
          <w:rFonts w:ascii="Times New Roman" w:hAnsi="Times New Roman" w:cs="Times New Roman"/>
        </w:rPr>
        <w:t>Welebná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w:t>
      </w:r>
      <w:proofErr w:type="spellEnd"/>
      <w:r w:rsidRPr="003436C2">
        <w:rPr>
          <w:rFonts w:ascii="Times New Roman" w:hAnsi="Times New Roman" w:cs="Times New Roman"/>
        </w:rPr>
        <w:t>" (Venerable Sacrament) — language of high reverence, but reverence whose theological content is left to be specified by the rite's substantive articulations.</w:t>
      </w:r>
    </w:p>
    <w:p w14:paraId="4DED765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substantive articulation occurs most fully in the rite's </w:t>
      </w:r>
      <w:proofErr w:type="spellStart"/>
      <w:r w:rsidRPr="003436C2">
        <w:rPr>
          <w:rFonts w:ascii="Times New Roman" w:hAnsi="Times New Roman" w:cs="Times New Roman"/>
          <w:i/>
          <w:iCs/>
        </w:rPr>
        <w:t>Napomenutí</w:t>
      </w:r>
      <w:proofErr w:type="spellEnd"/>
      <w:r w:rsidRPr="003436C2">
        <w:rPr>
          <w:rFonts w:ascii="Times New Roman" w:hAnsi="Times New Roman" w:cs="Times New Roman"/>
        </w:rPr>
        <w:t xml:space="preserve"> — the admonition to communicants placed between the Sanctus and the Words of Institution, at pp. 142 – 144 of Benka's edition. This placement </w:t>
      </w:r>
      <w:proofErr w:type="gramStart"/>
      <w:r w:rsidRPr="003436C2">
        <w:rPr>
          <w:rFonts w:ascii="Times New Roman" w:hAnsi="Times New Roman" w:cs="Times New Roman"/>
        </w:rPr>
        <w:t>is itself</w:t>
      </w:r>
      <w:proofErr w:type="gramEnd"/>
      <w:r w:rsidRPr="003436C2">
        <w:rPr>
          <w:rFonts w:ascii="Times New Roman" w:hAnsi="Times New Roman" w:cs="Times New Roman"/>
        </w:rPr>
        <w:t xml:space="preserve"> confessionally significant. The congregation receives a sustained theological address explaining what the sacrament is </w:t>
      </w:r>
      <w:r w:rsidRPr="003436C2">
        <w:rPr>
          <w:rFonts w:ascii="Times New Roman" w:hAnsi="Times New Roman" w:cs="Times New Roman"/>
          <w:i/>
          <w:iCs/>
        </w:rPr>
        <w:t>before</w:t>
      </w:r>
      <w:r w:rsidRPr="003436C2">
        <w:rPr>
          <w:rFonts w:ascii="Times New Roman" w:hAnsi="Times New Roman" w:cs="Times New Roman"/>
        </w:rPr>
        <w:t> the consecration is performed. Understanding precedes reception. The admonition is therefore the place in the rite where the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speaks most clearly about its own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credendi</w:t>
      </w:r>
      <w:proofErr w:type="spellEnd"/>
      <w:r w:rsidRPr="003436C2">
        <w:rPr>
          <w:rFonts w:ascii="Times New Roman" w:hAnsi="Times New Roman" w:cs="Times New Roman"/>
        </w:rPr>
        <w:t>. Read carefully, it speaks in a register that is identifiably Lutheran in its pastoral accent but moderate in its dogmatic specification.</w:t>
      </w:r>
    </w:p>
    <w:p w14:paraId="29E2A52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admonition's central Eucharistic gloss reads as follows:</w:t>
      </w:r>
    </w:p>
    <w:p w14:paraId="76E69B10"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i/>
          <w:iCs/>
        </w:rPr>
        <w:t>Wezměte</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gezte</w:t>
      </w:r>
      <w:proofErr w:type="spellEnd"/>
      <w:r w:rsidRPr="003436C2">
        <w:rPr>
          <w:rFonts w:ascii="Times New Roman" w:hAnsi="Times New Roman" w:cs="Times New Roman"/>
          <w:i/>
          <w:iCs/>
        </w:rPr>
        <w:t xml:space="preserve"> / to gest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mé</w:t>
      </w:r>
      <w:proofErr w:type="spellEnd"/>
      <w:r w:rsidRPr="003436C2">
        <w:rPr>
          <w:rFonts w:ascii="Times New Roman" w:hAnsi="Times New Roman" w:cs="Times New Roman"/>
          <w:i/>
          <w:iCs/>
        </w:rPr>
        <w:t xml:space="preserve"> / </w:t>
      </w:r>
      <w:proofErr w:type="spellStart"/>
      <w:r w:rsidRPr="003436C2">
        <w:rPr>
          <w:rFonts w:ascii="Times New Roman" w:hAnsi="Times New Roman" w:cs="Times New Roman"/>
          <w:i/>
          <w:iCs/>
        </w:rPr>
        <w:t>kteréž</w:t>
      </w:r>
      <w:proofErr w:type="spellEnd"/>
      <w:r w:rsidRPr="003436C2">
        <w:rPr>
          <w:rFonts w:ascii="Times New Roman" w:hAnsi="Times New Roman" w:cs="Times New Roman"/>
          <w:i/>
          <w:iCs/>
        </w:rPr>
        <w:t xml:space="preserve"> se za </w:t>
      </w:r>
      <w:proofErr w:type="spellStart"/>
      <w:r w:rsidRPr="003436C2">
        <w:rPr>
          <w:rFonts w:ascii="Times New Roman" w:hAnsi="Times New Roman" w:cs="Times New Roman"/>
          <w:i/>
          <w:iCs/>
        </w:rPr>
        <w:t>wás</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dáwá</w:t>
      </w:r>
      <w:proofErr w:type="spellEnd"/>
      <w:r w:rsidRPr="003436C2">
        <w:rPr>
          <w:rFonts w:ascii="Times New Roman" w:hAnsi="Times New Roman" w:cs="Times New Roman"/>
          <w:i/>
          <w:iCs/>
        </w:rPr>
        <w:t xml:space="preserve"> / To gest / </w:t>
      </w:r>
      <w:proofErr w:type="spellStart"/>
      <w:r w:rsidRPr="003436C2">
        <w:rPr>
          <w:rFonts w:ascii="Times New Roman" w:hAnsi="Times New Roman" w:cs="Times New Roman"/>
          <w:i/>
          <w:iCs/>
        </w:rPr>
        <w:t>že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gsem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Cžlowěkem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včiněn</w:t>
      </w:r>
      <w:proofErr w:type="spellEnd"/>
      <w:r w:rsidRPr="003436C2">
        <w:rPr>
          <w:rFonts w:ascii="Times New Roman" w:hAnsi="Times New Roman" w:cs="Times New Roman"/>
          <w:i/>
          <w:iCs/>
        </w:rPr>
        <w:t xml:space="preserve"> / a </w:t>
      </w:r>
      <w:proofErr w:type="spellStart"/>
      <w:r w:rsidRPr="003436C2">
        <w:rPr>
          <w:rFonts w:ascii="Times New Roman" w:hAnsi="Times New Roman" w:cs="Times New Roman"/>
          <w:i/>
          <w:iCs/>
        </w:rPr>
        <w:t>cožkoliw</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činijm</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trpijm</w:t>
      </w:r>
      <w:proofErr w:type="spellEnd"/>
      <w:r w:rsidRPr="003436C2">
        <w:rPr>
          <w:rFonts w:ascii="Times New Roman" w:hAnsi="Times New Roman" w:cs="Times New Roman"/>
          <w:i/>
          <w:iCs/>
        </w:rPr>
        <w:t xml:space="preserve"> / to gest </w:t>
      </w:r>
      <w:proofErr w:type="spellStart"/>
      <w:r w:rsidRPr="003436C2">
        <w:rPr>
          <w:rFonts w:ascii="Times New Roman" w:hAnsi="Times New Roman" w:cs="Times New Roman"/>
          <w:i/>
          <w:iCs/>
        </w:rPr>
        <w:t>wssecko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wasse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dědičné</w:t>
      </w:r>
      <w:proofErr w:type="spellEnd"/>
      <w:r w:rsidRPr="003436C2">
        <w:rPr>
          <w:rFonts w:ascii="Times New Roman" w:hAnsi="Times New Roman" w:cs="Times New Roman"/>
          <w:i/>
          <w:iCs/>
        </w:rPr>
        <w:t xml:space="preserve"> / a pro </w:t>
      </w:r>
      <w:proofErr w:type="spellStart"/>
      <w:r w:rsidRPr="003436C2">
        <w:rPr>
          <w:rFonts w:ascii="Times New Roman" w:hAnsi="Times New Roman" w:cs="Times New Roman"/>
          <w:i/>
          <w:iCs/>
        </w:rPr>
        <w:t>wasse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lepssij</w:t>
      </w:r>
      <w:proofErr w:type="spellEnd"/>
      <w:r w:rsidRPr="003436C2">
        <w:rPr>
          <w:rFonts w:ascii="Times New Roman" w:hAnsi="Times New Roman" w:cs="Times New Roman"/>
          <w:i/>
          <w:iCs/>
        </w:rPr>
        <w:t xml:space="preserve"> se </w:t>
      </w:r>
      <w:proofErr w:type="spellStart"/>
      <w:r w:rsidRPr="003436C2">
        <w:rPr>
          <w:rFonts w:ascii="Times New Roman" w:hAnsi="Times New Roman" w:cs="Times New Roman"/>
          <w:i/>
          <w:iCs/>
        </w:rPr>
        <w:t>děge</w:t>
      </w:r>
      <w:proofErr w:type="spellEnd"/>
      <w:r w:rsidRPr="003436C2">
        <w:rPr>
          <w:rFonts w:ascii="Times New Roman" w:hAnsi="Times New Roman" w:cs="Times New Roman"/>
          <w:i/>
          <w:iCs/>
        </w:rPr>
        <w:t xml:space="preserve">. Toho k </w:t>
      </w:r>
      <w:proofErr w:type="spellStart"/>
      <w:r w:rsidRPr="003436C2">
        <w:rPr>
          <w:rFonts w:ascii="Times New Roman" w:hAnsi="Times New Roman" w:cs="Times New Roman"/>
          <w:i/>
          <w:iCs/>
        </w:rPr>
        <w:t>gistotnému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dokázanij</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swědomij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dáwám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wám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mé</w:t>
      </w:r>
      <w:proofErr w:type="spellEnd"/>
      <w:r w:rsidRPr="003436C2">
        <w:rPr>
          <w:rFonts w:ascii="Times New Roman" w:hAnsi="Times New Roman" w:cs="Times New Roman"/>
          <w:i/>
          <w:iCs/>
        </w:rPr>
        <w:t xml:space="preserve"> za </w:t>
      </w:r>
      <w:proofErr w:type="spellStart"/>
      <w:r w:rsidRPr="003436C2">
        <w:rPr>
          <w:rFonts w:ascii="Times New Roman" w:hAnsi="Times New Roman" w:cs="Times New Roman"/>
          <w:i/>
          <w:iCs/>
        </w:rPr>
        <w:t>pokrm</w:t>
      </w:r>
      <w:proofErr w:type="spellEnd"/>
      <w:r w:rsidRPr="003436C2">
        <w:rPr>
          <w:rFonts w:ascii="Times New Roman" w:hAnsi="Times New Roman" w:cs="Times New Roman"/>
          <w:i/>
          <w:iCs/>
        </w:rPr>
        <w:t>.</w:t>
      </w:r>
    </w:p>
    <w:p w14:paraId="07D7A31C"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[Take and eat, this is my Body which is given for you — that is, that I have been made man, and whatever I do and suffer, all of it is your inheritance, and is done for your benefit. For certain proof and testimony of this, I give you my Body for food.]</w:t>
      </w:r>
      <w:hyperlink r:id="rId21" w:anchor="fn17" w:history="1">
        <w:r w:rsidRPr="003436C2">
          <w:rPr>
            <w:rStyle w:val="Hyperlink"/>
            <w:rFonts w:ascii="Times New Roman" w:hAnsi="Times New Roman" w:cs="Times New Roman"/>
            <w:color w:val="auto"/>
            <w:vertAlign w:val="superscript"/>
          </w:rPr>
          <w:t>[17]</w:t>
        </w:r>
      </w:hyperlink>
    </w:p>
    <w:p w14:paraId="76992B0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This is theologically decisive. The Words of Institution — "this is my body" — are interpreted not in terms of the </w:t>
      </w:r>
      <w:r w:rsidRPr="003436C2">
        <w:rPr>
          <w:rFonts w:ascii="Times New Roman" w:hAnsi="Times New Roman" w:cs="Times New Roman"/>
          <w:i/>
          <w:iCs/>
        </w:rPr>
        <w:t>mode</w:t>
      </w:r>
      <w:r w:rsidRPr="003436C2">
        <w:rPr>
          <w:rFonts w:ascii="Times New Roman" w:hAnsi="Times New Roman" w:cs="Times New Roman"/>
        </w:rPr>
        <w:t> of presence (transubstantiation, consubstantiation, </w:t>
      </w:r>
      <w:r w:rsidRPr="003436C2">
        <w:rPr>
          <w:rFonts w:ascii="Times New Roman" w:hAnsi="Times New Roman" w:cs="Times New Roman"/>
          <w:i/>
          <w:iCs/>
        </w:rPr>
        <w:t>in/with/under</w:t>
      </w:r>
      <w:r w:rsidRPr="003436C2">
        <w:rPr>
          <w:rFonts w:ascii="Times New Roman" w:hAnsi="Times New Roman" w:cs="Times New Roman"/>
        </w:rPr>
        <w:t>) but in terms of </w:t>
      </w:r>
      <w:r w:rsidRPr="003436C2">
        <w:rPr>
          <w:rFonts w:ascii="Times New Roman" w:hAnsi="Times New Roman" w:cs="Times New Roman"/>
          <w:i/>
          <w:iCs/>
        </w:rPr>
        <w:t>function</w:t>
      </w:r>
      <w:r w:rsidRPr="003436C2">
        <w:rPr>
          <w:rFonts w:ascii="Times New Roman" w:hAnsi="Times New Roman" w:cs="Times New Roman"/>
        </w:rPr>
        <w:t xml:space="preserve">: the body is given "k </w:t>
      </w:r>
      <w:proofErr w:type="spellStart"/>
      <w:r w:rsidRPr="003436C2">
        <w:rPr>
          <w:rFonts w:ascii="Times New Roman" w:hAnsi="Times New Roman" w:cs="Times New Roman"/>
        </w:rPr>
        <w:t>gistotnému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dokázanij</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swědomij</w:t>
      </w:r>
      <w:proofErr w:type="spellEnd"/>
      <w:r w:rsidRPr="003436C2">
        <w:rPr>
          <w:rFonts w:ascii="Times New Roman" w:hAnsi="Times New Roman" w:cs="Times New Roman"/>
        </w:rPr>
        <w:t xml:space="preserve">" — "for certain proof and testimony". The sacrament is understood as a seal or pledge of the salvific work accomplished in the incarnation and passion. The body given in the Supper is the same body that was "made man" and that "suffered"; the identification is </w:t>
      </w:r>
      <w:proofErr w:type="spellStart"/>
      <w:r w:rsidRPr="003436C2">
        <w:rPr>
          <w:rFonts w:ascii="Times New Roman" w:hAnsi="Times New Roman" w:cs="Times New Roman"/>
        </w:rPr>
        <w:t>christological</w:t>
      </w:r>
      <w:proofErr w:type="spellEnd"/>
      <w:r w:rsidRPr="003436C2">
        <w:rPr>
          <w:rFonts w:ascii="Times New Roman" w:hAnsi="Times New Roman" w:cs="Times New Roman"/>
        </w:rPr>
        <w:t xml:space="preserve">. But the mode by which that body is given is described functionally rather than metaphysically. The rite says enough to be </w:t>
      </w:r>
      <w:proofErr w:type="spellStart"/>
      <w:r w:rsidRPr="003436C2">
        <w:rPr>
          <w:rFonts w:ascii="Times New Roman" w:hAnsi="Times New Roman" w:cs="Times New Roman"/>
        </w:rPr>
        <w:t>recognisably</w:t>
      </w:r>
      <w:proofErr w:type="spellEnd"/>
      <w:r w:rsidRPr="003436C2">
        <w:rPr>
          <w:rFonts w:ascii="Times New Roman" w:hAnsi="Times New Roman" w:cs="Times New Roman"/>
        </w:rPr>
        <w:t xml:space="preserve"> Lutheran in its insistence that what is given is the body of the incarnate, crucified Christ. It does not say what the contemporary Formula of Concord (1577) had just made the boundary marker of Lutheran Eucharistic theology against Reformed alternatives: that the body is bodily present "in, with, and under" the bread, that it is received orally as well as spiritually, that the unworthy also receive it to their condemnation.</w:t>
      </w:r>
    </w:p>
    <w:p w14:paraId="6D14C525"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 xml:space="preserve">The rite's definition of worthy reception confirms this register choice. Benka extracts the operative formula at p. 79 of his introductory study, where he is precisely concerned to </w:t>
      </w:r>
      <w:proofErr w:type="spellStart"/>
      <w:r w:rsidRPr="003436C2">
        <w:rPr>
          <w:rFonts w:ascii="Times New Roman" w:hAnsi="Times New Roman" w:cs="Times New Roman"/>
        </w:rPr>
        <w:t>characterise</w:t>
      </w:r>
      <w:proofErr w:type="spellEnd"/>
      <w:r w:rsidRPr="003436C2">
        <w:rPr>
          <w:rFonts w:ascii="Times New Roman" w:hAnsi="Times New Roman" w:cs="Times New Roman"/>
        </w:rPr>
        <w:t xml:space="preserve"> the </w:t>
      </w:r>
      <w:r w:rsidRPr="003436C2">
        <w:rPr>
          <w:rFonts w:ascii="Times New Roman" w:hAnsi="Times New Roman" w:cs="Times New Roman"/>
          <w:i/>
          <w:iCs/>
        </w:rPr>
        <w:t>Agenda</w:t>
      </w:r>
      <w:r w:rsidRPr="003436C2">
        <w:rPr>
          <w:rFonts w:ascii="Times New Roman" w:hAnsi="Times New Roman" w:cs="Times New Roman"/>
        </w:rPr>
        <w:t>'s Eucharistic vocabulary:</w:t>
      </w:r>
    </w:p>
    <w:p w14:paraId="50DC045E"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i/>
          <w:iCs/>
        </w:rPr>
        <w:t>Kdo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giž</w:t>
      </w:r>
      <w:proofErr w:type="spellEnd"/>
      <w:r w:rsidRPr="003436C2">
        <w:rPr>
          <w:rFonts w:ascii="Times New Roman" w:hAnsi="Times New Roman" w:cs="Times New Roman"/>
          <w:i/>
          <w:iCs/>
        </w:rPr>
        <w:t xml:space="preserve"> z toho </w:t>
      </w:r>
      <w:proofErr w:type="spellStart"/>
      <w:r w:rsidRPr="003436C2">
        <w:rPr>
          <w:rFonts w:ascii="Times New Roman" w:hAnsi="Times New Roman" w:cs="Times New Roman"/>
          <w:i/>
          <w:iCs/>
        </w:rPr>
        <w:t>Chléba</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gij</w:t>
      </w:r>
      <w:proofErr w:type="spellEnd"/>
      <w:r w:rsidRPr="003436C2">
        <w:rPr>
          <w:rFonts w:ascii="Times New Roman" w:hAnsi="Times New Roman" w:cs="Times New Roman"/>
          <w:i/>
          <w:iCs/>
        </w:rPr>
        <w:t xml:space="preserve"> a z Kalicha </w:t>
      </w:r>
      <w:proofErr w:type="spellStart"/>
      <w:r w:rsidRPr="003436C2">
        <w:rPr>
          <w:rFonts w:ascii="Times New Roman" w:hAnsi="Times New Roman" w:cs="Times New Roman"/>
          <w:i/>
          <w:iCs/>
        </w:rPr>
        <w:t>pige</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těm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slowům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kteráž</w:t>
      </w:r>
      <w:proofErr w:type="spellEnd"/>
      <w:r w:rsidRPr="003436C2">
        <w:rPr>
          <w:rFonts w:ascii="Times New Roman" w:hAnsi="Times New Roman" w:cs="Times New Roman"/>
          <w:i/>
          <w:iCs/>
        </w:rPr>
        <w:t xml:space="preserve"> od Krysta </w:t>
      </w:r>
      <w:proofErr w:type="spellStart"/>
      <w:r w:rsidRPr="003436C2">
        <w:rPr>
          <w:rFonts w:ascii="Times New Roman" w:hAnsi="Times New Roman" w:cs="Times New Roman"/>
          <w:i/>
          <w:iCs/>
        </w:rPr>
        <w:t>slyssij</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tomu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nařízenij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kteréž</w:t>
      </w:r>
      <w:proofErr w:type="spellEnd"/>
      <w:r w:rsidRPr="003436C2">
        <w:rPr>
          <w:rFonts w:ascii="Times New Roman" w:hAnsi="Times New Roman" w:cs="Times New Roman"/>
          <w:i/>
          <w:iCs/>
        </w:rPr>
        <w:t xml:space="preserve"> od Krysta </w:t>
      </w:r>
      <w:proofErr w:type="spellStart"/>
      <w:r w:rsidRPr="003436C2">
        <w:rPr>
          <w:rFonts w:ascii="Times New Roman" w:hAnsi="Times New Roman" w:cs="Times New Roman"/>
          <w:i/>
          <w:iCs/>
        </w:rPr>
        <w:t>přigijmá</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sylně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wěřij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tenť</w:t>
      </w:r>
      <w:proofErr w:type="spellEnd"/>
      <w:r w:rsidRPr="003436C2">
        <w:rPr>
          <w:rFonts w:ascii="Times New Roman" w:hAnsi="Times New Roman" w:cs="Times New Roman"/>
          <w:i/>
          <w:iCs/>
        </w:rPr>
        <w:t xml:space="preserve"> gest </w:t>
      </w:r>
      <w:proofErr w:type="spellStart"/>
      <w:r w:rsidRPr="003436C2">
        <w:rPr>
          <w:rFonts w:ascii="Times New Roman" w:hAnsi="Times New Roman" w:cs="Times New Roman"/>
          <w:i/>
          <w:iCs/>
        </w:rPr>
        <w:t>hodný</w:t>
      </w:r>
      <w:proofErr w:type="spellEnd"/>
      <w:r w:rsidRPr="003436C2">
        <w:rPr>
          <w:rFonts w:ascii="Times New Roman" w:hAnsi="Times New Roman" w:cs="Times New Roman"/>
          <w:i/>
          <w:iCs/>
        </w:rPr>
        <w:t xml:space="preserve"> Host k </w:t>
      </w:r>
      <w:proofErr w:type="spellStart"/>
      <w:r w:rsidRPr="003436C2">
        <w:rPr>
          <w:rFonts w:ascii="Times New Roman" w:hAnsi="Times New Roman" w:cs="Times New Roman"/>
          <w:i/>
          <w:iCs/>
        </w:rPr>
        <w:t>stolu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Páně</w:t>
      </w:r>
      <w:proofErr w:type="spellEnd"/>
      <w:r w:rsidRPr="003436C2">
        <w:rPr>
          <w:rFonts w:ascii="Times New Roman" w:hAnsi="Times New Roman" w:cs="Times New Roman"/>
          <w:i/>
          <w:iCs/>
        </w:rPr>
        <w:t>.</w:t>
      </w:r>
    </w:p>
    <w:p w14:paraId="23A0619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[Whoever now eats of this Bread and drinks from the Chalice and firmly believes those words which he hears from Christ and that ordinance which he receives from Christ — he is a worthy guest at the Lord's table.]</w:t>
      </w:r>
      <w:hyperlink r:id="rId22" w:anchor="fn18" w:history="1">
        <w:r w:rsidRPr="003436C2">
          <w:rPr>
            <w:rStyle w:val="Hyperlink"/>
            <w:rFonts w:ascii="Times New Roman" w:hAnsi="Times New Roman" w:cs="Times New Roman"/>
            <w:color w:val="auto"/>
            <w:vertAlign w:val="superscript"/>
          </w:rPr>
          <w:t>[18]</w:t>
        </w:r>
      </w:hyperlink>
    </w:p>
    <w:p w14:paraId="5ACCB6B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criterion for worthy reception is </w:t>
      </w:r>
      <w:r w:rsidRPr="003436C2">
        <w:rPr>
          <w:rFonts w:ascii="Times New Roman" w:hAnsi="Times New Roman" w:cs="Times New Roman"/>
          <w:i/>
          <w:iCs/>
        </w:rPr>
        <w:t>faith in the words of institution</w:t>
      </w:r>
      <w:r w:rsidRPr="003436C2">
        <w:rPr>
          <w:rFonts w:ascii="Times New Roman" w:hAnsi="Times New Roman" w:cs="Times New Roman"/>
        </w:rPr>
        <w:t xml:space="preserve">. Not faith in a specific doctrine about the mode of presence; not faith in the universal scope of the bodily reception across worthy and unworthy alike; not faith that articulates itself through any of the polemical markers that the post-1577 Lutheran territories would shortly come to insist upon. A communicant who held the Formula's full position on real presence and a communicant who held a more moderate, </w:t>
      </w:r>
      <w:proofErr w:type="spellStart"/>
      <w:r w:rsidRPr="003436C2">
        <w:rPr>
          <w:rFonts w:ascii="Times New Roman" w:hAnsi="Times New Roman" w:cs="Times New Roman"/>
        </w:rPr>
        <w:t>Melanchthonian</w:t>
      </w:r>
      <w:proofErr w:type="spellEnd"/>
      <w:r w:rsidRPr="003436C2">
        <w:rPr>
          <w:rFonts w:ascii="Times New Roman" w:hAnsi="Times New Roman" w:cs="Times New Roman"/>
        </w:rPr>
        <w:t>, or even broadly Reformed-spiritual-presence view could both "firmly believe the words" — they would simply understand them differently. The rite does not police the boundary between them.</w:t>
      </w:r>
    </w:p>
    <w:p w14:paraId="7A8A9B04"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This silence is what Benka's own analytical observation captures with precision. Discussing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Eucharistic passages, he notes:</w:t>
      </w:r>
    </w:p>
    <w:p w14:paraId="3269D10E"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i/>
          <w:iCs/>
        </w:rPr>
        <w:t>Príslušné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pasáže</w:t>
      </w:r>
      <w:proofErr w:type="spellEnd"/>
      <w:r w:rsidRPr="003436C2">
        <w:rPr>
          <w:rFonts w:ascii="Times New Roman" w:hAnsi="Times New Roman" w:cs="Times New Roman"/>
          <w:i/>
          <w:iCs/>
        </w:rPr>
        <w:t xml:space="preserve"> v </w:t>
      </w:r>
      <w:proofErr w:type="spellStart"/>
      <w:r w:rsidRPr="003436C2">
        <w:rPr>
          <w:rFonts w:ascii="Times New Roman" w:hAnsi="Times New Roman" w:cs="Times New Roman"/>
          <w:i/>
          <w:iCs/>
        </w:rPr>
        <w:t>nej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Agende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českej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obsahujú</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napríklad</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zmienky</w:t>
      </w:r>
      <w:proofErr w:type="spellEnd"/>
      <w:r w:rsidRPr="003436C2">
        <w:rPr>
          <w:rFonts w:ascii="Times New Roman" w:hAnsi="Times New Roman" w:cs="Times New Roman"/>
          <w:i/>
          <w:iCs/>
        </w:rPr>
        <w:t xml:space="preserve"> o tele a </w:t>
      </w:r>
      <w:proofErr w:type="spellStart"/>
      <w:r w:rsidRPr="003436C2">
        <w:rPr>
          <w:rFonts w:ascii="Times New Roman" w:hAnsi="Times New Roman" w:cs="Times New Roman"/>
          <w:i/>
          <w:iCs/>
        </w:rPr>
        <w:t>krvi</w:t>
      </w:r>
      <w:proofErr w:type="spellEnd"/>
      <w:r w:rsidRPr="003436C2">
        <w:rPr>
          <w:rFonts w:ascii="Times New Roman" w:hAnsi="Times New Roman" w:cs="Times New Roman"/>
          <w:i/>
          <w:iCs/>
        </w:rPr>
        <w:t xml:space="preserve">, bez </w:t>
      </w:r>
      <w:proofErr w:type="spellStart"/>
      <w:r w:rsidRPr="003436C2">
        <w:rPr>
          <w:rFonts w:ascii="Times New Roman" w:hAnsi="Times New Roman" w:cs="Times New Roman"/>
          <w:i/>
          <w:iCs/>
        </w:rPr>
        <w:t>prívlastkov</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typu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pravý</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či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substanciálny</w:t>
      </w:r>
      <w:proofErr w:type="spellEnd"/>
      <w:r w:rsidRPr="003436C2">
        <w:rPr>
          <w:rFonts w:ascii="Times New Roman" w:hAnsi="Times New Roman" w:cs="Times New Roman"/>
          <w:i/>
          <w:iCs/>
        </w:rPr>
        <w:t>'.</w:t>
      </w:r>
    </w:p>
    <w:p w14:paraId="2085CF71"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relevant passages in it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contain, for example, mentions of body and blood, without qualifiers of the type 'true' or 'substantial'.]</w:t>
      </w:r>
      <w:hyperlink r:id="rId23" w:anchor="fn19" w:history="1">
        <w:r w:rsidRPr="003436C2">
          <w:rPr>
            <w:rStyle w:val="Hyperlink"/>
            <w:rFonts w:ascii="Times New Roman" w:hAnsi="Times New Roman" w:cs="Times New Roman"/>
            <w:color w:val="auto"/>
            <w:vertAlign w:val="superscript"/>
          </w:rPr>
          <w:t>[19]</w:t>
        </w:r>
      </w:hyperlink>
    </w:p>
    <w:p w14:paraId="4873F539"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qualifying adjectives — "</w:t>
      </w:r>
      <w:proofErr w:type="spellStart"/>
      <w:r w:rsidRPr="003436C2">
        <w:rPr>
          <w:rFonts w:ascii="Times New Roman" w:hAnsi="Times New Roman" w:cs="Times New Roman"/>
        </w:rPr>
        <w:t>pravý</w:t>
      </w:r>
      <w:proofErr w:type="spellEnd"/>
      <w:r w:rsidRPr="003436C2">
        <w:rPr>
          <w:rFonts w:ascii="Times New Roman" w:hAnsi="Times New Roman" w:cs="Times New Roman"/>
        </w:rPr>
        <w:t>" (true), "</w:t>
      </w:r>
      <w:proofErr w:type="spellStart"/>
      <w:r w:rsidRPr="003436C2">
        <w:rPr>
          <w:rFonts w:ascii="Times New Roman" w:hAnsi="Times New Roman" w:cs="Times New Roman"/>
        </w:rPr>
        <w:t>substanciálny</w:t>
      </w:r>
      <w:proofErr w:type="spellEnd"/>
      <w:r w:rsidRPr="003436C2">
        <w:rPr>
          <w:rFonts w:ascii="Times New Roman" w:hAnsi="Times New Roman" w:cs="Times New Roman"/>
        </w:rPr>
        <w:t>" (substantial) — are precisely the markers that the polemically sharpened Lutheran discourse of the post-Formula period attached to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Krev" to differentiate the orthodox Lutheran position from the Reformed denial of bodily presence. Their absence from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is not a doctrinal weakness. It is a register choice. The rite operates in a moderate Czech-Lutheran register: theologically anchored in the words of institution and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own confessional alignment with the Augsburg Confession, but pragmatically silent on the polemically sharpened distinctives. To put it slightly differently: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xml:space="preserve"> says enough to be confessionally Lutheran. It </w:t>
      </w:r>
      <w:proofErr w:type="gramStart"/>
      <w:r w:rsidRPr="003436C2">
        <w:rPr>
          <w:rFonts w:ascii="Times New Roman" w:hAnsi="Times New Roman" w:cs="Times New Roman"/>
        </w:rPr>
        <w:t>does</w:t>
      </w:r>
      <w:proofErr w:type="gramEnd"/>
      <w:r w:rsidRPr="003436C2">
        <w:rPr>
          <w:rFonts w:ascii="Times New Roman" w:hAnsi="Times New Roman" w:cs="Times New Roman"/>
        </w:rPr>
        <w:t xml:space="preserve"> </w:t>
      </w:r>
      <w:proofErr w:type="gramStart"/>
      <w:r w:rsidRPr="003436C2">
        <w:rPr>
          <w:rFonts w:ascii="Times New Roman" w:hAnsi="Times New Roman" w:cs="Times New Roman"/>
        </w:rPr>
        <w:t>not say</w:t>
      </w:r>
      <w:proofErr w:type="gramEnd"/>
      <w:r w:rsidRPr="003436C2">
        <w:rPr>
          <w:rFonts w:ascii="Times New Roman" w:hAnsi="Times New Roman" w:cs="Times New Roman"/>
        </w:rPr>
        <w:t xml:space="preserve"> enough to be polemically Lutheran. The two are not the same.</w:t>
      </w:r>
    </w:p>
    <w:p w14:paraId="2393570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Several further confirmations of this register reading can be drawn from the rite's other rubrics, briefly. The pastoral framing of the sacrament's purpose is distinctly Lutheran: "ta </w:t>
      </w:r>
      <w:proofErr w:type="spellStart"/>
      <w:r w:rsidRPr="003436C2">
        <w:rPr>
          <w:rFonts w:ascii="Times New Roman" w:hAnsi="Times New Roman" w:cs="Times New Roman"/>
        </w:rPr>
        <w:t>přeswatá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w:t>
      </w:r>
      <w:proofErr w:type="spellEnd"/>
      <w:r w:rsidRPr="003436C2">
        <w:rPr>
          <w:rFonts w:ascii="Times New Roman" w:hAnsi="Times New Roman" w:cs="Times New Roman"/>
        </w:rPr>
        <w:t xml:space="preserve"> gest k </w:t>
      </w:r>
      <w:proofErr w:type="spellStart"/>
      <w:r w:rsidRPr="003436C2">
        <w:rPr>
          <w:rFonts w:ascii="Times New Roman" w:hAnsi="Times New Roman" w:cs="Times New Roman"/>
        </w:rPr>
        <w:t>obzwlásstnijmu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potěssenij</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posylněnij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dána</w:t>
      </w:r>
      <w:proofErr w:type="spellEnd"/>
      <w:r w:rsidRPr="003436C2">
        <w:rPr>
          <w:rFonts w:ascii="Times New Roman" w:hAnsi="Times New Roman" w:cs="Times New Roman"/>
        </w:rPr>
        <w:t xml:space="preserve"> / </w:t>
      </w:r>
      <w:proofErr w:type="spellStart"/>
      <w:r w:rsidRPr="003436C2">
        <w:rPr>
          <w:rFonts w:ascii="Times New Roman" w:hAnsi="Times New Roman" w:cs="Times New Roman"/>
        </w:rPr>
        <w:t>bijdným</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zarmauceným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swědomijm</w:t>
      </w:r>
      <w:proofErr w:type="spellEnd"/>
      <w:r w:rsidRPr="003436C2">
        <w:rPr>
          <w:rFonts w:ascii="Times New Roman" w:hAnsi="Times New Roman" w:cs="Times New Roman"/>
        </w:rPr>
        <w:t>" — "this most holy Sacrament is given for the special consolation and strengthening of poor and troubled consciences".</w:t>
      </w:r>
      <w:hyperlink r:id="rId24" w:anchor="fn20" w:history="1">
        <w:r w:rsidRPr="003436C2">
          <w:rPr>
            <w:rStyle w:val="Hyperlink"/>
            <w:rFonts w:ascii="Times New Roman" w:hAnsi="Times New Roman" w:cs="Times New Roman"/>
            <w:color w:val="auto"/>
            <w:vertAlign w:val="superscript"/>
          </w:rPr>
          <w:t>[20]</w:t>
        </w:r>
      </w:hyperlink>
      <w:r w:rsidRPr="003436C2">
        <w:rPr>
          <w:rFonts w:ascii="Times New Roman" w:hAnsi="Times New Roman" w:cs="Times New Roman"/>
        </w:rPr>
        <w:t> This is </w:t>
      </w:r>
      <w:proofErr w:type="spellStart"/>
      <w:r w:rsidRPr="003436C2">
        <w:rPr>
          <w:rFonts w:ascii="Times New Roman" w:hAnsi="Times New Roman" w:cs="Times New Roman"/>
          <w:i/>
          <w:iCs/>
        </w:rPr>
        <w:t>consolatio</w:t>
      </w:r>
      <w:proofErr w:type="spellEnd"/>
      <w:r w:rsidRPr="003436C2">
        <w:rPr>
          <w:rFonts w:ascii="Times New Roman" w:hAnsi="Times New Roman" w:cs="Times New Roman"/>
          <w:i/>
          <w:iCs/>
        </w:rPr>
        <w:t xml:space="preserve"> conscientiae</w:t>
      </w:r>
      <w:r w:rsidRPr="003436C2">
        <w:rPr>
          <w:rFonts w:ascii="Times New Roman" w:hAnsi="Times New Roman" w:cs="Times New Roman"/>
        </w:rPr>
        <w:t xml:space="preserve"> in its purest form, the pastoral accent that distinguishes Lutheran Eucharistic piety from both the sanctifying-transformative emphasis of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sacramental practice and the disciplinary-communal emphasis of the Unity of Brethren. The longer of the two thanksgiving prayers offered after distribution moves a step further towards presence-language: "</w:t>
      </w:r>
      <w:proofErr w:type="spellStart"/>
      <w:r w:rsidRPr="003436C2">
        <w:rPr>
          <w:rFonts w:ascii="Times New Roman" w:hAnsi="Times New Roman" w:cs="Times New Roman"/>
        </w:rPr>
        <w:t>že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gsy</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skrze</w:t>
      </w:r>
      <w:proofErr w:type="spellEnd"/>
      <w:r w:rsidRPr="003436C2">
        <w:rPr>
          <w:rFonts w:ascii="Times New Roman" w:hAnsi="Times New Roman" w:cs="Times New Roman"/>
        </w:rPr>
        <w:t xml:space="preserve"> Syna </w:t>
      </w:r>
      <w:proofErr w:type="spellStart"/>
      <w:r w:rsidRPr="003436C2">
        <w:rPr>
          <w:rFonts w:ascii="Times New Roman" w:hAnsi="Times New Roman" w:cs="Times New Roman"/>
        </w:rPr>
        <w:lastRenderedPageBreak/>
        <w:t>swého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milého</w:t>
      </w:r>
      <w:proofErr w:type="spellEnd"/>
      <w:r w:rsidRPr="003436C2">
        <w:rPr>
          <w:rFonts w:ascii="Times New Roman" w:hAnsi="Times New Roman" w:cs="Times New Roman"/>
        </w:rPr>
        <w:t xml:space="preserve"> / </w:t>
      </w:r>
      <w:proofErr w:type="spellStart"/>
      <w:r w:rsidRPr="003436C2">
        <w:rPr>
          <w:rFonts w:ascii="Times New Roman" w:hAnsi="Times New Roman" w:cs="Times New Roman"/>
        </w:rPr>
        <w:t>tu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welebnau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vstanowiti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ráčil</w:t>
      </w:r>
      <w:proofErr w:type="spellEnd"/>
      <w:r w:rsidRPr="003436C2">
        <w:rPr>
          <w:rFonts w:ascii="Times New Roman" w:hAnsi="Times New Roman" w:cs="Times New Roman"/>
        </w:rPr>
        <w:t xml:space="preserve"> / w </w:t>
      </w:r>
      <w:proofErr w:type="spellStart"/>
      <w:r w:rsidRPr="003436C2">
        <w:rPr>
          <w:rFonts w:ascii="Times New Roman" w:hAnsi="Times New Roman" w:cs="Times New Roman"/>
        </w:rPr>
        <w:t>nijžto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geho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Swaté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gijme</w:t>
      </w:r>
      <w:proofErr w:type="spellEnd"/>
      <w:r w:rsidRPr="003436C2">
        <w:rPr>
          <w:rFonts w:ascii="Times New Roman" w:hAnsi="Times New Roman" w:cs="Times New Roman"/>
        </w:rPr>
        <w:t xml:space="preserve"> / a Krew </w:t>
      </w:r>
      <w:proofErr w:type="spellStart"/>
      <w:r w:rsidRPr="003436C2">
        <w:rPr>
          <w:rFonts w:ascii="Times New Roman" w:hAnsi="Times New Roman" w:cs="Times New Roman"/>
        </w:rPr>
        <w:t>geho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Swatau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pigeme</w:t>
      </w:r>
      <w:proofErr w:type="spellEnd"/>
      <w:r w:rsidRPr="003436C2">
        <w:rPr>
          <w:rFonts w:ascii="Times New Roman" w:hAnsi="Times New Roman" w:cs="Times New Roman"/>
        </w:rPr>
        <w:t>" — "that through your beloved Son you have deigned to establish this venerable Sacrament, in which we eat his Holy Body and drink his Holy Blood".</w:t>
      </w:r>
      <w:hyperlink r:id="rId25" w:anchor="fn21" w:history="1">
        <w:r w:rsidRPr="003436C2">
          <w:rPr>
            <w:rStyle w:val="Hyperlink"/>
            <w:rFonts w:ascii="Times New Roman" w:hAnsi="Times New Roman" w:cs="Times New Roman"/>
            <w:color w:val="auto"/>
            <w:vertAlign w:val="superscript"/>
          </w:rPr>
          <w:t>[21]</w:t>
        </w:r>
      </w:hyperlink>
      <w:r w:rsidRPr="003436C2">
        <w:rPr>
          <w:rFonts w:ascii="Times New Roman" w:hAnsi="Times New Roman" w:cs="Times New Roman"/>
        </w:rPr>
        <w:t xml:space="preserve"> This is the most explicit presence-language in the entire rite. Yet attend to the syntax: "w </w:t>
      </w:r>
      <w:proofErr w:type="spellStart"/>
      <w:r w:rsidRPr="003436C2">
        <w:rPr>
          <w:rFonts w:ascii="Times New Roman" w:hAnsi="Times New Roman" w:cs="Times New Roman"/>
        </w:rPr>
        <w:t>nijžto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geho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Swaté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gijme</w:t>
      </w:r>
      <w:proofErr w:type="spellEnd"/>
      <w:r w:rsidRPr="003436C2">
        <w:rPr>
          <w:rFonts w:ascii="Times New Roman" w:hAnsi="Times New Roman" w:cs="Times New Roman"/>
        </w:rPr>
        <w:t xml:space="preserve">" — "in which [in the Sacrament] we eat his Holy Body". The body and blood </w:t>
      </w:r>
      <w:proofErr w:type="gramStart"/>
      <w:r w:rsidRPr="003436C2">
        <w:rPr>
          <w:rFonts w:ascii="Times New Roman" w:hAnsi="Times New Roman" w:cs="Times New Roman"/>
        </w:rPr>
        <w:t>are located in</w:t>
      </w:r>
      <w:proofErr w:type="gramEnd"/>
      <w:r w:rsidRPr="003436C2">
        <w:rPr>
          <w:rFonts w:ascii="Times New Roman" w:hAnsi="Times New Roman" w:cs="Times New Roman"/>
        </w:rPr>
        <w:t xml:space="preserve"> the </w:t>
      </w:r>
      <w:r w:rsidRPr="003436C2">
        <w:rPr>
          <w:rFonts w:ascii="Times New Roman" w:hAnsi="Times New Roman" w:cs="Times New Roman"/>
          <w:i/>
          <w:iCs/>
        </w:rPr>
        <w:t>sacramental action</w:t>
      </w:r>
      <w:r w:rsidRPr="003436C2">
        <w:rPr>
          <w:rFonts w:ascii="Times New Roman" w:hAnsi="Times New Roman" w:cs="Times New Roman"/>
        </w:rPr>
        <w:t>, not identified specifically with the material elements of bread and wine. The formulation is real-presence-compatible; it is also spiritual-presence-compatible. It does not commit the rite to either side of the boundary the Formula of Concord had drawn.</w:t>
      </w:r>
    </w:p>
    <w:p w14:paraId="667DD69E"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Located in the broader confessional landscape of 1581,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register makes strategic sense. The agenda was compiled by clergy ordained at Wittenberg, drawing on Wittenberg, Brandenburg, and Württemberg agenda sources, for use by clergy ministering to populations whose religious memory carried a Hussite-</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inheritance and whose confessional identity, while institutionally Lutheran, was </w:t>
      </w:r>
      <w:proofErr w:type="spellStart"/>
      <w:r w:rsidRPr="003436C2">
        <w:rPr>
          <w:rFonts w:ascii="Times New Roman" w:hAnsi="Times New Roman" w:cs="Times New Roman"/>
        </w:rPr>
        <w:t>practised</w:t>
      </w:r>
      <w:proofErr w:type="spellEnd"/>
      <w:r w:rsidRPr="003436C2">
        <w:rPr>
          <w:rFonts w:ascii="Times New Roman" w:hAnsi="Times New Roman" w:cs="Times New Roman"/>
        </w:rPr>
        <w:t xml:space="preserve"> in a multi-confessional milieu where polemically sharpened formulations would have been pastorally counterproductive. The Czech-language environment in which the </w:t>
      </w:r>
      <w:proofErr w:type="gramStart"/>
      <w:r w:rsidRPr="003436C2">
        <w:rPr>
          <w:rFonts w:ascii="Times New Roman" w:hAnsi="Times New Roman" w:cs="Times New Roman"/>
          <w:i/>
          <w:iCs/>
        </w:rPr>
        <w:t>Agenda</w:t>
      </w:r>
      <w:proofErr w:type="gramEnd"/>
      <w:r w:rsidRPr="003436C2">
        <w:rPr>
          <w:rFonts w:ascii="Times New Roman" w:hAnsi="Times New Roman" w:cs="Times New Roman"/>
        </w:rPr>
        <w:t> was used was not a mono-confessional Lutheran environment of the kind the German territorial churches were consolidating in the same years. It was a frontier environment in which Lutheran clergy ministered to populations whose grandparents might still have communicated </w:t>
      </w:r>
      <w:r w:rsidRPr="003436C2">
        <w:rPr>
          <w:rFonts w:ascii="Times New Roman" w:hAnsi="Times New Roman" w:cs="Times New Roman"/>
          <w:i/>
          <w:iCs/>
        </w:rPr>
        <w:t xml:space="preserve">sub </w:t>
      </w:r>
      <w:proofErr w:type="spellStart"/>
      <w:r w:rsidRPr="003436C2">
        <w:rPr>
          <w:rFonts w:ascii="Times New Roman" w:hAnsi="Times New Roman" w:cs="Times New Roman"/>
          <w:i/>
          <w:iCs/>
        </w:rPr>
        <w:t>utraque</w:t>
      </w:r>
      <w:proofErr w:type="spellEnd"/>
      <w:r w:rsidRPr="003436C2">
        <w:rPr>
          <w:rFonts w:ascii="Times New Roman" w:hAnsi="Times New Roman" w:cs="Times New Roman"/>
        </w:rPr>
        <w:t xml:space="preserve"> without distinguishing carefully between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and emerging Lutheran reception. The moderate register absorbs that pastoral situation into its liturgical practice. What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xml:space="preserve"> will not do is hand the polemicists of either side — neither the Augsburg-Lutheran disciplinarians nor the residual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sensibilities of the Czech parish populations — the rhetorical edges they would need for a confessional rupture.</w:t>
      </w:r>
    </w:p>
    <w:p w14:paraId="049F650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That moderate register is the printed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of the codex. It is not, as the bound supplement will show, the only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the codex preserves.</w:t>
      </w:r>
    </w:p>
    <w:p w14:paraId="71F2CFFF"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The manuscript Slovak supplement: </w:t>
      </w:r>
      <w:proofErr w:type="spellStart"/>
      <w:r w:rsidRPr="003436C2">
        <w:rPr>
          <w:rFonts w:ascii="Times New Roman" w:hAnsi="Times New Roman" w:cs="Times New Roman"/>
          <w:b/>
          <w:bCs/>
          <w:i/>
          <w:iCs/>
        </w:rPr>
        <w:t>Bystrická</w:t>
      </w:r>
      <w:proofErr w:type="spellEnd"/>
      <w:r w:rsidRPr="003436C2">
        <w:rPr>
          <w:rFonts w:ascii="Times New Roman" w:hAnsi="Times New Roman" w:cs="Times New Roman"/>
          <w:b/>
          <w:bCs/>
          <w:i/>
          <w:iCs/>
        </w:rPr>
        <w:t xml:space="preserve"> agenda</w:t>
      </w:r>
      <w:r w:rsidRPr="003436C2">
        <w:rPr>
          <w:rFonts w:ascii="Times New Roman" w:hAnsi="Times New Roman" w:cs="Times New Roman"/>
          <w:b/>
          <w:bCs/>
        </w:rPr>
        <w:t> 1585</w:t>
      </w:r>
    </w:p>
    <w:p w14:paraId="0B22546A"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occupies pp. 265 – 368 of Benka's edition. It is a supplement, not a substitute. Its scribe — anonymous, but evidently working within the same Lutheran liturgical-pastoral world as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compilers — assumes the printed agenda and writes alongside it, supplying material for confession and Eucharistic preparation (pp. 265 – 302), marriage with a </w:t>
      </w:r>
      <w:proofErr w:type="spellStart"/>
      <w:r w:rsidRPr="003436C2">
        <w:rPr>
          <w:rFonts w:ascii="Times New Roman" w:hAnsi="Times New Roman" w:cs="Times New Roman"/>
          <w:i/>
          <w:iCs/>
        </w:rPr>
        <w:t>Haustafel</w:t>
      </w:r>
      <w:proofErr w:type="spellEnd"/>
      <w:r w:rsidRPr="003436C2">
        <w:rPr>
          <w:rFonts w:ascii="Times New Roman" w:hAnsi="Times New Roman" w:cs="Times New Roman"/>
        </w:rPr>
        <w:t>-influenced moral exhortation (pp. 302 – 340), and funeral hymns (pp. 340 – 368).</w:t>
      </w:r>
      <w:hyperlink r:id="rId26" w:anchor="fn22" w:history="1">
        <w:r w:rsidRPr="003436C2">
          <w:rPr>
            <w:rStyle w:val="Hyperlink"/>
            <w:rFonts w:ascii="Times New Roman" w:hAnsi="Times New Roman" w:cs="Times New Roman"/>
            <w:color w:val="auto"/>
            <w:vertAlign w:val="superscript"/>
          </w:rPr>
          <w:t>[22]</w:t>
        </w:r>
      </w:hyperlink>
      <w:r w:rsidRPr="003436C2">
        <w:rPr>
          <w:rFonts w:ascii="Times New Roman" w:hAnsi="Times New Roman" w:cs="Times New Roman"/>
        </w:rPr>
        <w:t> The supplement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printed </w:t>
      </w:r>
      <w:r w:rsidRPr="003436C2">
        <w:rPr>
          <w:rFonts w:ascii="Times New Roman" w:hAnsi="Times New Roman" w:cs="Times New Roman"/>
          <w:i/>
          <w:iCs/>
        </w:rPr>
        <w:t>Agenda</w:t>
      </w:r>
      <w:r w:rsidRPr="003436C2">
        <w:rPr>
          <w:rFonts w:ascii="Times New Roman" w:hAnsi="Times New Roman" w:cs="Times New Roman"/>
        </w:rPr>
        <w: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was being explicitly listed as a marker for the identification of hidden Calvinists within otherwise Lutheran-aligned clergy.</w:t>
      </w:r>
      <w:hyperlink r:id="rId27" w:anchor="fn23" w:history="1">
        <w:r w:rsidRPr="003436C2">
          <w:rPr>
            <w:rStyle w:val="Hyperlink"/>
            <w:rFonts w:ascii="Times New Roman" w:hAnsi="Times New Roman" w:cs="Times New Roman"/>
            <w:color w:val="auto"/>
            <w:vertAlign w:val="superscript"/>
          </w:rPr>
          <w:t>[23]</w:t>
        </w:r>
      </w:hyperlink>
    </w:p>
    <w:p w14:paraId="3F0D13D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The Eucharistic-preparation material in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opening section is where the register shift is most clearly visible. Benka extracts the operative formulae at pp. 78 – 79 of his introductory study, locating them precisely in the comparative analytical context that asks how the manuscript supplement relates to its printed companion. The communicants,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says, receive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a Krew Syna Božijho</w:t>
      </w:r>
      <w:r w:rsidRPr="003436C2">
        <w:rPr>
          <w:rFonts w:ascii="Times New Roman" w:hAnsi="Times New Roman" w:cs="Times New Roman"/>
        </w:rPr>
        <w:t> — the Body and Blood of the Son of God. The worthy receive it </w:t>
      </w:r>
      <w:r w:rsidRPr="003436C2">
        <w:rPr>
          <w:rFonts w:ascii="Times New Roman" w:hAnsi="Times New Roman" w:cs="Times New Roman"/>
          <w:i/>
          <w:iCs/>
        </w:rPr>
        <w:t xml:space="preserve">k </w:t>
      </w:r>
      <w:proofErr w:type="spellStart"/>
      <w:r w:rsidRPr="003436C2">
        <w:rPr>
          <w:rFonts w:ascii="Times New Roman" w:hAnsi="Times New Roman" w:cs="Times New Roman"/>
          <w:i/>
          <w:iCs/>
        </w:rPr>
        <w:t>spasenij</w:t>
      </w:r>
      <w:proofErr w:type="spellEnd"/>
      <w:r w:rsidRPr="003436C2">
        <w:rPr>
          <w:rFonts w:ascii="Times New Roman" w:hAnsi="Times New Roman" w:cs="Times New Roman"/>
        </w:rPr>
        <w:t> — for salvation. The unworthy receive it </w:t>
      </w:r>
      <w:r w:rsidRPr="003436C2">
        <w:rPr>
          <w:rFonts w:ascii="Times New Roman" w:hAnsi="Times New Roman" w:cs="Times New Roman"/>
          <w:i/>
          <w:iCs/>
        </w:rPr>
        <w:t xml:space="preserve">ne k </w:t>
      </w:r>
      <w:proofErr w:type="spellStart"/>
      <w:r w:rsidRPr="003436C2">
        <w:rPr>
          <w:rFonts w:ascii="Times New Roman" w:hAnsi="Times New Roman" w:cs="Times New Roman"/>
          <w:i/>
          <w:iCs/>
        </w:rPr>
        <w:t>spasenij</w:t>
      </w:r>
      <w:proofErr w:type="spellEnd"/>
      <w:r w:rsidRPr="003436C2">
        <w:rPr>
          <w:rFonts w:ascii="Times New Roman" w:hAnsi="Times New Roman" w:cs="Times New Roman"/>
          <w:i/>
          <w:iCs/>
        </w:rPr>
        <w:t xml:space="preserve">, ale k </w:t>
      </w:r>
      <w:proofErr w:type="spellStart"/>
      <w:r w:rsidRPr="003436C2">
        <w:rPr>
          <w:rFonts w:ascii="Times New Roman" w:hAnsi="Times New Roman" w:cs="Times New Roman"/>
          <w:i/>
          <w:iCs/>
        </w:rPr>
        <w:t>zatraczenij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wěčnemu</w:t>
      </w:r>
      <w:proofErr w:type="spellEnd"/>
      <w:r w:rsidRPr="003436C2">
        <w:rPr>
          <w:rFonts w:ascii="Times New Roman" w:hAnsi="Times New Roman" w:cs="Times New Roman"/>
        </w:rPr>
        <w:t> — not for salvation, but for eternal damnation.</w:t>
      </w:r>
      <w:hyperlink r:id="rId28" w:anchor="fn24" w:history="1">
        <w:r w:rsidRPr="003436C2">
          <w:rPr>
            <w:rStyle w:val="Hyperlink"/>
            <w:rFonts w:ascii="Times New Roman" w:hAnsi="Times New Roman" w:cs="Times New Roman"/>
            <w:color w:val="auto"/>
            <w:vertAlign w:val="superscript"/>
          </w:rPr>
          <w:t>[24]</w:t>
        </w:r>
      </w:hyperlink>
    </w:p>
    <w:p w14:paraId="73BEF4D2"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This is the explicit Lutheran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The formulation specifies what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had left unspecified. Both worthy and unworthy receive the </w:t>
      </w:r>
      <w:r w:rsidRPr="003436C2">
        <w:rPr>
          <w:rFonts w:ascii="Times New Roman" w:hAnsi="Times New Roman" w:cs="Times New Roman"/>
          <w:i/>
          <w:iCs/>
        </w:rPr>
        <w:t>same body and blood</w:t>
      </w:r>
      <w:r w:rsidRPr="003436C2">
        <w:rPr>
          <w:rFonts w:ascii="Times New Roman" w:hAnsi="Times New Roman" w:cs="Times New Roman"/>
        </w:rPr>
        <w:t>; what differs is the salvific outcome. The body is not selectively present — present to faith and absent to unbelief — but universally present in the Sacrament's action, with the worthiness of the recipient determining whether that bodily presence is received for life or for judgement. This is precisely the formulation that the Formula of Concord, Solid Declaration, Article VII, makes the boundary marker between Lutheran and Reformed Eucharistic theology. FC SD VII §16 (corresponding to Epitome §7) states the position with maximum precision: "Not only the true believers and the worthy, but also the unworthy and unbelievers, receive the true body and blood of Christ; however, not for life and consolation, but for judgement and condemnation."</w:t>
      </w:r>
      <w:hyperlink r:id="rId29" w:anchor="fn25" w:history="1">
        <w:r w:rsidRPr="003436C2">
          <w:rPr>
            <w:rStyle w:val="Hyperlink"/>
            <w:rFonts w:ascii="Times New Roman" w:hAnsi="Times New Roman" w:cs="Times New Roman"/>
            <w:color w:val="auto"/>
            <w:vertAlign w:val="superscript"/>
          </w:rPr>
          <w:t>[25]</w:t>
        </w:r>
      </w:hyperlink>
      <w:r w:rsidRPr="003436C2">
        <w:rPr>
          <w:rFonts w:ascii="Times New Roman" w:hAnsi="Times New Roman" w:cs="Times New Roman"/>
        </w:rPr>
        <w: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formulation is the same position in different words, in Slovak rather than in Latin, in a manuscript supplement to a Czech printed agenda rather than in a continental confessional document. The position is held; the language register has moved.</w:t>
      </w:r>
    </w:p>
    <w:p w14:paraId="7FC314B2"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Benka's own analytical framing makes the comparative point with characteristic compression. 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he observes, contains "</w:t>
      </w:r>
      <w:proofErr w:type="spellStart"/>
      <w:r w:rsidRPr="003436C2">
        <w:rPr>
          <w:rFonts w:ascii="Times New Roman" w:hAnsi="Times New Roman" w:cs="Times New Roman"/>
          <w:i/>
          <w:iCs/>
        </w:rPr>
        <w:t>formulácie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ktoré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explicitnejšie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smerujú</w:t>
      </w:r>
      <w:proofErr w:type="spellEnd"/>
      <w:r w:rsidRPr="003436C2">
        <w:rPr>
          <w:rFonts w:ascii="Times New Roman" w:hAnsi="Times New Roman" w:cs="Times New Roman"/>
          <w:i/>
          <w:iCs/>
        </w:rPr>
        <w:t xml:space="preserve"> k </w:t>
      </w:r>
      <w:proofErr w:type="spellStart"/>
      <w:r w:rsidRPr="003436C2">
        <w:rPr>
          <w:rFonts w:ascii="Times New Roman" w:hAnsi="Times New Roman" w:cs="Times New Roman"/>
          <w:i/>
          <w:iCs/>
        </w:rPr>
        <w:t>luteránskemu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 formulations that more explicitly point towards Lutheran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w:t>
      </w:r>
      <w:hyperlink r:id="rId30" w:anchor="fn26" w:history="1">
        <w:r w:rsidRPr="003436C2">
          <w:rPr>
            <w:rStyle w:val="Hyperlink"/>
            <w:rFonts w:ascii="Times New Roman" w:hAnsi="Times New Roman" w:cs="Times New Roman"/>
            <w:color w:val="auto"/>
            <w:vertAlign w:val="superscript"/>
          </w:rPr>
          <w:t>[26]</w:t>
        </w:r>
      </w:hyperlink>
      <w:r w:rsidRPr="003436C2">
        <w:rPr>
          <w:rFonts w:ascii="Times New Roman" w:hAnsi="Times New Roman" w:cs="Times New Roman"/>
        </w:rPr>
        <w:t> The comparative adjective is the analytical move. Not "formulations that introduce", or "formulations that depart from the printed Czech original", but "formulations that </w:t>
      </w:r>
      <w:r w:rsidRPr="003436C2">
        <w:rPr>
          <w:rFonts w:ascii="Times New Roman" w:hAnsi="Times New Roman" w:cs="Times New Roman"/>
          <w:i/>
          <w:iCs/>
        </w:rPr>
        <w:t>more explicitly point towards</w:t>
      </w:r>
      <w:r w:rsidRPr="003436C2">
        <w:rPr>
          <w:rFonts w:ascii="Times New Roman" w:hAnsi="Times New Roman" w:cs="Times New Roman"/>
        </w:rPr>
        <w:t>" the Lutheran distinctive. The same theology is being said, with sharper edges. The implicit position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 that the rite is Lutheran-aligned, that the words of institution are decisive, that worthy reception requires faith in those words — is in the manuscript supplement made </w:t>
      </w:r>
      <w:r w:rsidRPr="003436C2">
        <w:rPr>
          <w:rFonts w:ascii="Times New Roman" w:hAnsi="Times New Roman" w:cs="Times New Roman"/>
          <w:i/>
          <w:iCs/>
        </w:rPr>
        <w:t>explicit</w:t>
      </w:r>
      <w:r w:rsidRPr="003436C2">
        <w:rPr>
          <w:rFonts w:ascii="Times New Roman" w:hAnsi="Times New Roman" w:cs="Times New Roman"/>
        </w:rPr>
        <w:t xml:space="preserve">, with the polemical specifications attached that the print had left unspoken. The continuity between the two witnesses is preserved. What has changed is the </w:t>
      </w:r>
      <w:proofErr w:type="gramStart"/>
      <w:r w:rsidRPr="003436C2">
        <w:rPr>
          <w:rFonts w:ascii="Times New Roman" w:hAnsi="Times New Roman" w:cs="Times New Roman"/>
        </w:rPr>
        <w:t>disciplinary register</w:t>
      </w:r>
      <w:proofErr w:type="gramEnd"/>
      <w:r w:rsidRPr="003436C2">
        <w:rPr>
          <w:rFonts w:ascii="Times New Roman" w:hAnsi="Times New Roman" w:cs="Times New Roman"/>
        </w:rPr>
        <w:t xml:space="preserve"> in which that continuity expresses itself.</w:t>
      </w:r>
    </w:p>
    <w:p w14:paraId="79FDECF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temporal context matters. Four years separate the print (1581) from the manuscript supplement (1585). Those four years lie within a confessional disciplinary moment that the German Lutheran territories had begun to enforce more systematically after the Formula of Concord's promulgation in 1577 and its subsequent territorial reception through the Book of Concord (1580). Within that period, the visitation literature, the polemical handbooks, and the synodal proceedings of the Lutheran lands were all converging on a sharpened set of doctrinal markers by which clergy were to be tested for confessional reliability.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was prominent among them, precisely because its denial was the diagnostic that polemicists like </w:t>
      </w:r>
      <w:proofErr w:type="spellStart"/>
      <w:r w:rsidRPr="003436C2">
        <w:rPr>
          <w:rFonts w:ascii="Times New Roman" w:hAnsi="Times New Roman" w:cs="Times New Roman"/>
        </w:rPr>
        <w:t>Creutzer</w:t>
      </w:r>
      <w:proofErr w:type="spellEnd"/>
      <w:r w:rsidRPr="003436C2">
        <w:rPr>
          <w:rFonts w:ascii="Times New Roman" w:hAnsi="Times New Roman" w:cs="Times New Roman"/>
        </w:rPr>
        <w:t xml:space="preserve"> used to identify hidden Calvinist sympathies among nominally Lutheran clergy.</w:t>
      </w:r>
      <w:hyperlink r:id="rId31" w:anchor="fn27" w:history="1">
        <w:r w:rsidRPr="003436C2">
          <w:rPr>
            <w:rStyle w:val="Hyperlink"/>
            <w:rFonts w:ascii="Times New Roman" w:hAnsi="Times New Roman" w:cs="Times New Roman"/>
            <w:color w:val="auto"/>
            <w:vertAlign w:val="superscript"/>
          </w:rPr>
          <w:t>[27]</w:t>
        </w:r>
      </w:hyperlink>
      <w:r w:rsidRPr="003436C2">
        <w:rPr>
          <w:rFonts w:ascii="Times New Roman" w:hAnsi="Times New Roman" w:cs="Times New Roman"/>
        </w:rPr>
        <w:t xml:space="preserve"> In the Upper-Hungarian mining towns of the same period, this </w:t>
      </w:r>
      <w:r w:rsidRPr="003436C2">
        <w:rPr>
          <w:rFonts w:ascii="Times New Roman" w:hAnsi="Times New Roman" w:cs="Times New Roman"/>
        </w:rPr>
        <w:lastRenderedPageBreak/>
        <w:t xml:space="preserve">disciplinary atmosphere would have been mediated through several channels: the clergy's own continuing connections to Wittenberg and the German territorial churches, the visiting clergy who circulated between the Pentapolitana cities and the mining-town </w:t>
      </w:r>
      <w:proofErr w:type="spellStart"/>
      <w:r w:rsidRPr="003436C2">
        <w:rPr>
          <w:rFonts w:ascii="Times New Roman" w:hAnsi="Times New Roman" w:cs="Times New Roman"/>
        </w:rPr>
        <w:t>centres</w:t>
      </w:r>
      <w:proofErr w:type="spellEnd"/>
      <w:r w:rsidRPr="003436C2">
        <w:rPr>
          <w:rFonts w:ascii="Times New Roman" w:hAnsi="Times New Roman" w:cs="Times New Roman"/>
        </w:rPr>
        <w:t>,</w:t>
      </w:r>
      <w:hyperlink r:id="rId32" w:anchor="fn28" w:history="1">
        <w:r w:rsidRPr="003436C2">
          <w:rPr>
            <w:rStyle w:val="Hyperlink"/>
            <w:rFonts w:ascii="Times New Roman" w:hAnsi="Times New Roman" w:cs="Times New Roman"/>
            <w:color w:val="auto"/>
            <w:vertAlign w:val="superscript"/>
          </w:rPr>
          <w:t>[28]</w:t>
        </w:r>
      </w:hyperlink>
      <w:r w:rsidRPr="003436C2">
        <w:rPr>
          <w:rFonts w:ascii="Times New Roman" w:hAnsi="Times New Roman" w:cs="Times New Roman"/>
        </w:rPr>
        <w:t xml:space="preserve"> and the polemical printed material that Benka's introductory study documents reaching the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milieu in this period.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is an act </w:t>
      </w:r>
      <w:proofErr w:type="spellStart"/>
      <w:r w:rsidRPr="003436C2">
        <w:rPr>
          <w:rFonts w:ascii="Times New Roman" w:hAnsi="Times New Roman" w:cs="Times New Roman"/>
        </w:rPr>
        <w:t>recognisable</w:t>
      </w:r>
      <w:proofErr w:type="spellEnd"/>
      <w:r w:rsidRPr="003436C2">
        <w:rPr>
          <w:rFonts w:ascii="Times New Roman" w:hAnsi="Times New Roman" w:cs="Times New Roman"/>
        </w:rPr>
        <w:t xml:space="preserve"> within that atmosphere. The manuscript supplement does what the printed agenda did not: it equips the local clergy with the polemically sharpened formulae that the contemporary Lutheran disciplinary moment had begun to require.</w:t>
      </w:r>
    </w:p>
    <w:p w14:paraId="1D78CD1F"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print-versus-manuscript distinction is not incidental to the register shift. Manuscript supplementation allowed local adaptation that print constrained. A printed Czech agenda, intended to circulate among Wittenberg-ordained clergy across the Czech-speaking Lutheran territories, had to be theologically usable in many local pastoral situations; its register could not be too sharp without alienating parish populations whose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memory was still living. A manuscript Slovak supplement, written for local use in a single mining-town milieu where the Lutheran identity was institutionally settled and the disciplinary atmosphere intensifying, could afford to be sharper. The codex preserves both registers because the binding records the early users' practice of moving between them: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for the broader liturgical structure and the moderate pastoral framing, 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for the sharpened confessional articulation that the mining-town clergy needed for their own work. Print and manuscript were not in tension within the </w:t>
      </w:r>
      <w:proofErr w:type="gramStart"/>
      <w:r w:rsidRPr="003436C2">
        <w:rPr>
          <w:rFonts w:ascii="Times New Roman" w:hAnsi="Times New Roman" w:cs="Times New Roman"/>
        </w:rPr>
        <w:t>codex</w:t>
      </w:r>
      <w:proofErr w:type="gramEnd"/>
      <w:r w:rsidRPr="003436C2">
        <w:rPr>
          <w:rFonts w:ascii="Times New Roman" w:hAnsi="Times New Roman" w:cs="Times New Roman"/>
        </w:rPr>
        <w:t>. They were complementary registers within a single liturgical use.</w:t>
      </w:r>
    </w:p>
    <w:p w14:paraId="3E61EECF"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A final feature of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register is the linkage between confession and Eucharist. Private confession (</w:t>
      </w:r>
      <w:proofErr w:type="spellStart"/>
      <w:r w:rsidRPr="003436C2">
        <w:rPr>
          <w:rFonts w:ascii="Times New Roman" w:hAnsi="Times New Roman" w:cs="Times New Roman"/>
          <w:i/>
          <w:iCs/>
        </w:rPr>
        <w:t>súkromná</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spoveď</w:t>
      </w:r>
      <w:proofErr w:type="spellEnd"/>
      <w:r w:rsidRPr="003436C2">
        <w:rPr>
          <w:rFonts w:ascii="Times New Roman" w:hAnsi="Times New Roman" w:cs="Times New Roman"/>
        </w:rPr>
        <w:t>) is foregrounded in the manuscript supplement as the proper preparation for communion: it is to take place the evening before or the early morning of communion, and the link is explicit in the rubrics.</w:t>
      </w:r>
      <w:hyperlink r:id="rId33" w:anchor="fn29" w:history="1">
        <w:r w:rsidRPr="003436C2">
          <w:rPr>
            <w:rStyle w:val="Hyperlink"/>
            <w:rFonts w:ascii="Times New Roman" w:hAnsi="Times New Roman" w:cs="Times New Roman"/>
            <w:color w:val="auto"/>
            <w:vertAlign w:val="superscript"/>
          </w:rPr>
          <w:t>[29]</w:t>
        </w:r>
      </w:hyperlink>
      <w:r w:rsidRPr="003436C2">
        <w:rPr>
          <w:rFonts w:ascii="Times New Roman" w:hAnsi="Times New Roman" w:cs="Times New Roman"/>
        </w:rPr>
        <w:t> Benka documents the same linkage in the 1558 mining-town synod and the 1580 regulations.</w:t>
      </w:r>
      <w:hyperlink r:id="rId34" w:anchor="fn30" w:history="1">
        <w:r w:rsidRPr="003436C2">
          <w:rPr>
            <w:rStyle w:val="Hyperlink"/>
            <w:rFonts w:ascii="Times New Roman" w:hAnsi="Times New Roman" w:cs="Times New Roman"/>
            <w:color w:val="auto"/>
            <w:vertAlign w:val="superscript"/>
          </w:rPr>
          <w:t>[30]</w:t>
        </w:r>
      </w:hyperlink>
      <w:r w:rsidRPr="003436C2">
        <w:rPr>
          <w:rFonts w:ascii="Times New Roman" w:hAnsi="Times New Roman" w:cs="Times New Roman"/>
        </w:rPr>
        <w:t> Within the contemporary Lutheran disciplinary atmosphere, this linkage performed a double confessional function. It distinguished Lutheran practice from Catholic obligatory confession, since confession in the Lutheran sense was pastoral rather than legally enforced; and it distinguished Lutheran practice from the Reformed elimination of private confession altogether, which by the 1580s had become a confessional marker on the Reformed side.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sustained treatment of confession-as-Eucharistic-preparation is therefore not merely a pastoral provision but a confessional positioning. The same theology of communion that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had articulated in moderate terms is, in the manuscript supplement, embedded in a disciplinary practice — confession before communion — that polemically marks the rite as Lutheran against both Catholic and Reformed alternatives. The register shift extends across the rite's disciplinary structure as well as its dogmatic articulation.</w:t>
      </w:r>
    </w:p>
    <w:p w14:paraId="4E135F2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Bratislava codex therefore preserves, in its bound co-presence of print and manuscript, two registers of the same Lutheran Eucharistic theology. The printed Czech </w:t>
      </w:r>
      <w:r w:rsidRPr="003436C2">
        <w:rPr>
          <w:rFonts w:ascii="Times New Roman" w:hAnsi="Times New Roman" w:cs="Times New Roman"/>
          <w:i/>
          <w:iCs/>
        </w:rPr>
        <w:t>Agenda</w:t>
      </w:r>
      <w:r w:rsidRPr="003436C2">
        <w:rPr>
          <w:rFonts w:ascii="Times New Roman" w:hAnsi="Times New Roman" w:cs="Times New Roman"/>
        </w:rPr>
        <w:t> operates moderately: identificatory but not polemically specified, anchored in faith in the words of institution but silent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accommodating to a Czech-language pastoral environment that still carried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memory. The manuscript Slovak supplement </w:t>
      </w:r>
      <w:r w:rsidRPr="003436C2">
        <w:rPr>
          <w:rFonts w:ascii="Times New Roman" w:hAnsi="Times New Roman" w:cs="Times New Roman"/>
        </w:rPr>
        <w:lastRenderedPageBreak/>
        <w:t>operates sharply: the same theology articulated with the polemical specifications that the post-Formula disciplinary atmosphere had begun to require, embedded in a confession-and-Eucharist linkage that polemically marks the rite as Lutheran against both Catholic and Reformed alternatives. The register shift between the two witnesses is not a doctrinal break. It is the same confessional commitment articulating itself with sharper edges as it crosses the boundary from print to manuscript, from Czech to Slovak, from a 1581 register to a 1585 register, from a translation of German agendas to a local supplement composed in the mining-town milieu under intensifying confessional discipline.</w:t>
      </w:r>
    </w:p>
    <w:p w14:paraId="583640D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What this stratification means for the broader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 and for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Bohemica</w:t>
      </w:r>
      <w:r w:rsidRPr="003436C2">
        <w:rPr>
          <w:rFonts w:ascii="Times New Roman" w:hAnsi="Times New Roman" w:cs="Times New Roman"/>
        </w:rPr>
        <w:t> of 1575, whose own register has been similarly misread in a parallel direction — is the question to which §§5 and 6 turn.</w:t>
      </w:r>
    </w:p>
    <w:p w14:paraId="34628AF7" w14:textId="77777777" w:rsidR="003436C2" w:rsidRPr="003436C2" w:rsidRDefault="00000000" w:rsidP="003436C2">
      <w:pPr>
        <w:rPr>
          <w:rFonts w:ascii="Times New Roman" w:hAnsi="Times New Roman" w:cs="Times New Roman"/>
        </w:rPr>
      </w:pPr>
      <w:r>
        <w:rPr>
          <w:rFonts w:ascii="Times New Roman" w:hAnsi="Times New Roman" w:cs="Times New Roman"/>
        </w:rPr>
        <w:pict w14:anchorId="0E74E486">
          <v:rect id="_x0000_i1028" style="width:0;height:3pt" o:hralign="center" o:hrstd="t" o:hr="t" fillcolor="#a0a0a0" stroked="f"/>
        </w:pict>
      </w:r>
    </w:p>
    <w:p w14:paraId="437A002B"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Reading the stratification</w:t>
      </w:r>
    </w:p>
    <w:p w14:paraId="3A6554A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codex preserves </w:t>
      </w:r>
      <w:proofErr w:type="gramStart"/>
      <w:r w:rsidRPr="003436C2">
        <w:rPr>
          <w:rFonts w:ascii="Times New Roman" w:hAnsi="Times New Roman" w:cs="Times New Roman"/>
        </w:rPr>
        <w:t>a stratification</w:t>
      </w:r>
      <w:proofErr w:type="gramEnd"/>
      <w:r w:rsidRPr="003436C2">
        <w:rPr>
          <w:rFonts w:ascii="Times New Roman" w:hAnsi="Times New Roman" w:cs="Times New Roman"/>
        </w:rPr>
        <w:t>, not a contradiction. What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says and what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says are not in tension; they are the same theological commitment articulated in different registers. The interpretive task is therefore not to adjudicate between the two witnesses but to read them as a structured spectrum — to ask why a single liturgical use accommodated both, and what the accommodation reveals about the period's confessional work.</w:t>
      </w:r>
    </w:p>
    <w:p w14:paraId="5C6E4FA1"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A first clarification. Register and doctrine are distinct things. Doctrine is the substance of theological commitment — the propositions a community holds true, the boundaries it draws, the formulations it confesses. Register is the </w:t>
      </w:r>
      <w:proofErr w:type="gramStart"/>
      <w:r w:rsidRPr="003436C2">
        <w:rPr>
          <w:rFonts w:ascii="Times New Roman" w:hAnsi="Times New Roman" w:cs="Times New Roman"/>
        </w:rPr>
        <w:t>manner in which</w:t>
      </w:r>
      <w:proofErr w:type="gramEnd"/>
      <w:r w:rsidRPr="003436C2">
        <w:rPr>
          <w:rFonts w:ascii="Times New Roman" w:hAnsi="Times New Roman" w:cs="Times New Roman"/>
        </w:rPr>
        <w:t xml:space="preserve"> doctrine is articulated — its lexical choices, its level of polemical specification, its silences, its emphases. Two texts can hold the same doctrine and articulate it in different registers; what they share is the substance, what differs is the shape. To say that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hold the same Eucharistic doctrine is not to flatten the difference between them. It is to identify what the difference </w:t>
      </w:r>
      <w:r w:rsidRPr="003436C2">
        <w:rPr>
          <w:rFonts w:ascii="Times New Roman" w:hAnsi="Times New Roman" w:cs="Times New Roman"/>
          <w:i/>
          <w:iCs/>
        </w:rPr>
        <w:t>is</w:t>
      </w:r>
      <w:r w:rsidRPr="003436C2">
        <w:rPr>
          <w:rFonts w:ascii="Times New Roman" w:hAnsi="Times New Roman" w:cs="Times New Roman"/>
        </w:rPr>
        <w:t> — a difference of register, not of substance — and to attend to what register-difference does in the lived practice of a community.</w:t>
      </w:r>
    </w:p>
    <w:p w14:paraId="0EF1CB14"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shape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register is moderate Czech-Lutheran. It is the register of a print intended for clergy ministering across the Czech-language Lutheran territories, where the pastoral situation included parish populations whose grandparents had communicated </w:t>
      </w:r>
      <w:r w:rsidRPr="003436C2">
        <w:rPr>
          <w:rFonts w:ascii="Times New Roman" w:hAnsi="Times New Roman" w:cs="Times New Roman"/>
          <w:i/>
          <w:iCs/>
        </w:rPr>
        <w:t xml:space="preserve">sub </w:t>
      </w:r>
      <w:proofErr w:type="spellStart"/>
      <w:r w:rsidRPr="003436C2">
        <w:rPr>
          <w:rFonts w:ascii="Times New Roman" w:hAnsi="Times New Roman" w:cs="Times New Roman"/>
          <w:i/>
          <w:iCs/>
        </w:rPr>
        <w:t>utraque</w:t>
      </w:r>
      <w:proofErr w:type="spellEnd"/>
      <w:r w:rsidRPr="003436C2">
        <w:rPr>
          <w:rFonts w:ascii="Times New Roman" w:hAnsi="Times New Roman" w:cs="Times New Roman"/>
        </w:rPr>
        <w:t> without the polemical specifications that the Formula of Concord had just made the diagnostic of confessional Lutheran identity. The </w:t>
      </w:r>
      <w:proofErr w:type="gramStart"/>
      <w:r w:rsidRPr="003436C2">
        <w:rPr>
          <w:rFonts w:ascii="Times New Roman" w:hAnsi="Times New Roman" w:cs="Times New Roman"/>
          <w:i/>
          <w:iCs/>
        </w:rPr>
        <w:t>Agenda</w:t>
      </w:r>
      <w:r w:rsidRPr="003436C2">
        <w:rPr>
          <w:rFonts w:ascii="Times New Roman" w:hAnsi="Times New Roman" w:cs="Times New Roman"/>
        </w:rPr>
        <w:t>'s</w:t>
      </w:r>
      <w:proofErr w:type="gramEnd"/>
      <w:r w:rsidRPr="003436C2">
        <w:rPr>
          <w:rFonts w:ascii="Times New Roman" w:hAnsi="Times New Roman" w:cs="Times New Roman"/>
        </w:rPr>
        <w:t xml:space="preserve"> silence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and on the "in, with, and under" formula is therefore not theological reticence but pastoral pragmatism — a register choice, made by Wittenberg-ordained compilers, that allowed the printed agenda to function across a wider range of Lutheran pastoral situations than a sharper register would have admitted. The shape of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register, by contrast, is sharper Upper-Hungarian Lutheran. It is the register of a manuscript supplement composed for local use in the mining-town milieu, in 1585, four years after the Formula of Concord's territorial reception through the Book of Concord (1580) had begun to consolidate confessional discipline in the German Lutheran territories.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's </w:t>
      </w:r>
      <w:r w:rsidRPr="003436C2">
        <w:rPr>
          <w:rFonts w:ascii="Times New Roman" w:hAnsi="Times New Roman" w:cs="Times New Roman"/>
        </w:rPr>
        <w:lastRenderedPageBreak/>
        <w:t>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equips the local clergy with the polemically sharpened formulae that the contemporary disciplinary moment had begun to require — formulae that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broader pastoral remit had constrained it from supplying.</w:t>
      </w:r>
    </w:p>
    <w:p w14:paraId="6D086DD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Read theologically, the codex is therefore a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document with two voices. The classical formula — </w:t>
      </w:r>
      <w:proofErr w:type="spellStart"/>
      <w:r w:rsidRPr="003436C2">
        <w:rPr>
          <w:rFonts w:ascii="Times New Roman" w:hAnsi="Times New Roman" w:cs="Times New Roman"/>
          <w:i/>
          <w:iCs/>
        </w:rPr>
        <w:t>legem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credendi</w:t>
      </w:r>
      <w:proofErr w:type="spellEnd"/>
      <w:r w:rsidRPr="003436C2">
        <w:rPr>
          <w:rFonts w:ascii="Times New Roman" w:hAnsi="Times New Roman" w:cs="Times New Roman"/>
          <w:i/>
          <w:iCs/>
        </w:rPr>
        <w:t xml:space="preserve"> lex </w:t>
      </w:r>
      <w:proofErr w:type="spellStart"/>
      <w:r w:rsidRPr="003436C2">
        <w:rPr>
          <w:rFonts w:ascii="Times New Roman" w:hAnsi="Times New Roman" w:cs="Times New Roman"/>
          <w:i/>
          <w:iCs/>
        </w:rPr>
        <w:t>statuat</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supplicandi</w:t>
      </w:r>
      <w:proofErr w:type="spellEnd"/>
      <w:r w:rsidRPr="003436C2">
        <w:rPr>
          <w:rFonts w:ascii="Times New Roman" w:hAnsi="Times New Roman" w:cs="Times New Roman"/>
        </w:rPr>
        <w:t>, "let the law of prayer establish the law of belief", attributed to Prosper of Aquitaine — assumes a single voice in liturgy that establishes the corresponding belief.</w:t>
      </w:r>
      <w:hyperlink r:id="rId35" w:anchor="fn31" w:history="1">
        <w:r w:rsidRPr="003436C2">
          <w:rPr>
            <w:rStyle w:val="Hyperlink"/>
            <w:rFonts w:ascii="Times New Roman" w:hAnsi="Times New Roman" w:cs="Times New Roman"/>
            <w:color w:val="auto"/>
            <w:vertAlign w:val="superscript"/>
          </w:rPr>
          <w:t>[31]</w:t>
        </w:r>
      </w:hyperlink>
      <w:r w:rsidRPr="003436C2">
        <w:rPr>
          <w:rFonts w:ascii="Times New Roman" w:hAnsi="Times New Roman" w:cs="Times New Roman"/>
        </w:rPr>
        <w:t> What the codex shows is that liturgy can hold multiple voices simultaneously, even within a single bound use. The early users who bound the print and the manuscript together did not perceive a tension between the two registers; they perceived a complementarity. The print supplied the broader liturgical structure and the moderate pastoral framing; the manuscript supplied the sharper confessional articulation that the local clergy needed for their disciplinary work. Both belonged to the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of the mining-town Lutheran community in 1585. Both established, in their distinct ways, the corresponding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credendi</w:t>
      </w:r>
      <w:proofErr w:type="spellEnd"/>
      <w:r w:rsidRPr="003436C2">
        <w:rPr>
          <w:rFonts w:ascii="Times New Roman" w:hAnsi="Times New Roman" w:cs="Times New Roman"/>
        </w:rPr>
        <w:t>.</w:t>
      </w:r>
    </w:p>
    <w:p w14:paraId="776ADE6B"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This has implications for how the period's confessional sharpening should be understood. The standard narrative of </w:t>
      </w:r>
      <w:proofErr w:type="spellStart"/>
      <w:r w:rsidRPr="003436C2">
        <w:rPr>
          <w:rFonts w:ascii="Times New Roman" w:hAnsi="Times New Roman" w:cs="Times New Roman"/>
        </w:rPr>
        <w:t>confessionalisation</w:t>
      </w:r>
      <w:proofErr w:type="spellEnd"/>
      <w:r w:rsidRPr="003436C2">
        <w:rPr>
          <w:rFonts w:ascii="Times New Roman" w:hAnsi="Times New Roman" w:cs="Times New Roman"/>
        </w:rPr>
        <w:t>, articulated most influentially by Heinz Schilling and Wolfgang Reinhard, treats confessional consolidation as the work of normative documents — confessions of faith, catechisms, church orders — and of the disciplinary infrastructures that enforced them.</w:t>
      </w:r>
      <w:hyperlink r:id="rId36" w:anchor="fn32" w:history="1">
        <w:r w:rsidRPr="003436C2">
          <w:rPr>
            <w:rStyle w:val="Hyperlink"/>
            <w:rFonts w:ascii="Times New Roman" w:hAnsi="Times New Roman" w:cs="Times New Roman"/>
            <w:color w:val="auto"/>
            <w:vertAlign w:val="superscript"/>
          </w:rPr>
          <w:t>[32]</w:t>
        </w:r>
      </w:hyperlink>
      <w:r w:rsidRPr="003436C2">
        <w:rPr>
          <w:rFonts w:ascii="Times New Roman" w:hAnsi="Times New Roman" w:cs="Times New Roman"/>
        </w:rPr>
        <w:t> The codex extends this picture in an instructive direction. Confessional consolidation is also the work of register intensification within liturgical practice — and that work is observable at the granularity of a single physical codex, in the four-year gap between a printed pastoral resource and its hand-written local supplement, in the lexical move from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krev</w:t>
      </w:r>
      <w:proofErr w:type="spellEnd"/>
      <w:r w:rsidRPr="003436C2">
        <w:rPr>
          <w:rFonts w:ascii="Times New Roman" w:hAnsi="Times New Roman" w:cs="Times New Roman"/>
        </w:rPr>
        <w:t>" to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Krew Syna Božijho", in the introduction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into a rite that had previously not articulated it. Register work is not less serious than doctrinal work. It is what doctrinal work looks like in the lived practice of a community making the substance of confession into a usable shape for liturgical action.</w:t>
      </w:r>
    </w:p>
    <w:p w14:paraId="59E39EE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What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stratification shows, then, is not that Lutheranism between 1581 and 1585 was developing a new doctrine of the Eucharist — it was not — but that the same Lutheran doctrine was being expressed at different registers within a single regional confessional community, with the manuscript supplement intensifying what the printed agenda had left moderate. This is confessional consolidation as register shift. It operates not at the cross-confessional boundary but within the Lutheran orbit itself. It is visible only at the codex level, where the bound co-presence of print and manuscript records the early users' practice of moving between registers. And it is invisible at the level of the period's normative documents — the Formula of Concord, the </w:t>
      </w:r>
      <w:proofErr w:type="spellStart"/>
      <w:r w:rsidRPr="003436C2">
        <w:rPr>
          <w:rFonts w:ascii="Times New Roman" w:hAnsi="Times New Roman" w:cs="Times New Roman"/>
        </w:rPr>
        <w:t>Heptapolitana</w:t>
      </w:r>
      <w:proofErr w:type="spellEnd"/>
      <w:r w:rsidRPr="003436C2">
        <w:rPr>
          <w:rFonts w:ascii="Times New Roman" w:hAnsi="Times New Roman" w:cs="Times New Roman"/>
        </w:rPr>
        <w: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preface — which are univocally Lutheran and offer no purchase for the diagnostic that codicological co-presence supplies.</w:t>
      </w:r>
    </w:p>
    <w:p w14:paraId="0C535996"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 xml:space="preserve">Implications for the </w:t>
      </w:r>
      <w:proofErr w:type="spellStart"/>
      <w:r w:rsidRPr="003436C2">
        <w:rPr>
          <w:rFonts w:ascii="Times New Roman" w:hAnsi="Times New Roman" w:cs="Times New Roman"/>
          <w:b/>
          <w:bCs/>
        </w:rPr>
        <w:t>Lutheranisation</w:t>
      </w:r>
      <w:proofErr w:type="spellEnd"/>
      <w:r w:rsidRPr="003436C2">
        <w:rPr>
          <w:rFonts w:ascii="Times New Roman" w:hAnsi="Times New Roman" w:cs="Times New Roman"/>
          <w:b/>
          <w:bCs/>
        </w:rPr>
        <w:t xml:space="preserve"> thesis</w:t>
      </w:r>
    </w:p>
    <w:p w14:paraId="74A09147"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 xml:space="preserve">The </w:t>
      </w:r>
      <w:proofErr w:type="spellStart"/>
      <w:r w:rsidRPr="003436C2">
        <w:rPr>
          <w:rFonts w:ascii="Times New Roman" w:hAnsi="Times New Roman" w:cs="Times New Roman"/>
          <w:b/>
          <w:bCs/>
        </w:rPr>
        <w:t>Confessio</w:t>
      </w:r>
      <w:proofErr w:type="spellEnd"/>
      <w:r w:rsidRPr="003436C2">
        <w:rPr>
          <w:rFonts w:ascii="Times New Roman" w:hAnsi="Times New Roman" w:cs="Times New Roman"/>
          <w:b/>
          <w:bCs/>
        </w:rPr>
        <w:t xml:space="preserve"> Bohemica 1575</w:t>
      </w:r>
    </w:p>
    <w:p w14:paraId="4EF23D10"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 xml:space="preserve">A separate but related finding from the broader research </w:t>
      </w:r>
      <w:proofErr w:type="spellStart"/>
      <w:r w:rsidRPr="003436C2">
        <w:rPr>
          <w:rFonts w:ascii="Times New Roman" w:hAnsi="Times New Roman" w:cs="Times New Roman"/>
        </w:rPr>
        <w:t>programme</w:t>
      </w:r>
      <w:proofErr w:type="spellEnd"/>
      <w:r w:rsidRPr="003436C2">
        <w:rPr>
          <w:rFonts w:ascii="Times New Roman" w:hAnsi="Times New Roman" w:cs="Times New Roman"/>
        </w:rPr>
        <w:t xml:space="preserve"> of which this paper is part deserves brief mention here, because it traces a parallel pattern </w:t>
      </w:r>
      <w:proofErr w:type="gramStart"/>
      <w:r w:rsidRPr="003436C2">
        <w:rPr>
          <w:rFonts w:ascii="Times New Roman" w:hAnsi="Times New Roman" w:cs="Times New Roman"/>
        </w:rPr>
        <w:t>at</w:t>
      </w:r>
      <w:proofErr w:type="gramEnd"/>
      <w:r w:rsidRPr="003436C2">
        <w:rPr>
          <w:rFonts w:ascii="Times New Roman" w:hAnsi="Times New Roman" w:cs="Times New Roman"/>
        </w:rPr>
        <w:t xml:space="preserve"> a different scale and in a different document.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Bohemica</w:t>
      </w:r>
      <w:r w:rsidRPr="003436C2">
        <w:rPr>
          <w:rFonts w:ascii="Times New Roman" w:hAnsi="Times New Roman" w:cs="Times New Roman"/>
        </w:rPr>
        <w:t xml:space="preserve"> of 1575 — the irenic compromise document drawn up by </w:t>
      </w:r>
      <w:proofErr w:type="spellStart"/>
      <w:r w:rsidRPr="003436C2">
        <w:rPr>
          <w:rFonts w:ascii="Times New Roman" w:hAnsi="Times New Roman" w:cs="Times New Roman"/>
        </w:rPr>
        <w:t>Utraquists</w:t>
      </w:r>
      <w:proofErr w:type="spellEnd"/>
      <w:r w:rsidRPr="003436C2">
        <w:rPr>
          <w:rFonts w:ascii="Times New Roman" w:hAnsi="Times New Roman" w:cs="Times New Roman"/>
        </w:rPr>
        <w:t xml:space="preserve">, Brethren, and Lutherans of the Bohemian crown lands and presented to Maximilian II as evidence of confessional consensus among the non-Roman religious parties — has been </w:t>
      </w:r>
      <w:proofErr w:type="spellStart"/>
      <w:r w:rsidRPr="003436C2">
        <w:rPr>
          <w:rFonts w:ascii="Times New Roman" w:hAnsi="Times New Roman" w:cs="Times New Roman"/>
        </w:rPr>
        <w:t>characterised</w:t>
      </w:r>
      <w:proofErr w:type="spellEnd"/>
      <w:r w:rsidRPr="003436C2">
        <w:rPr>
          <w:rFonts w:ascii="Times New Roman" w:hAnsi="Times New Roman" w:cs="Times New Roman"/>
        </w:rPr>
        <w:t xml:space="preserve"> in older anglophone reference works as a Calvinist document.</w:t>
      </w:r>
      <w:hyperlink r:id="rId37" w:anchor="fn33" w:history="1">
        <w:r w:rsidRPr="003436C2">
          <w:rPr>
            <w:rStyle w:val="Hyperlink"/>
            <w:rFonts w:ascii="Times New Roman" w:hAnsi="Times New Roman" w:cs="Times New Roman"/>
            <w:color w:val="auto"/>
            <w:vertAlign w:val="superscript"/>
          </w:rPr>
          <w:t>[33]</w:t>
        </w:r>
      </w:hyperlink>
      <w:r w:rsidRPr="003436C2">
        <w:rPr>
          <w:rFonts w:ascii="Times New Roman" w:hAnsi="Times New Roman" w:cs="Times New Roman"/>
        </w:rPr>
        <w:t xml:space="preserve"> The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xml:space="preserve"> does not survive a careful reading of the Czech text. The CB's Eucharistic article uses the formula </w:t>
      </w:r>
      <w:proofErr w:type="spellStart"/>
      <w:r w:rsidRPr="003436C2">
        <w:rPr>
          <w:rFonts w:ascii="Times New Roman" w:hAnsi="Times New Roman" w:cs="Times New Roman"/>
          <w:i/>
          <w:iCs/>
        </w:rPr>
        <w:t>duchovně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podstatně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věrou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také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ústy</w:t>
      </w:r>
      <w:proofErr w:type="spellEnd"/>
      <w:r w:rsidRPr="003436C2">
        <w:rPr>
          <w:rFonts w:ascii="Times New Roman" w:hAnsi="Times New Roman" w:cs="Times New Roman"/>
        </w:rPr>
        <w:t> — "spiritually and substantially, by faith and also by mouth" — which explicitly affirms both substantial presence and oral reception (the Lutheran distinctives) and spiritual reception by faith (the Reformed emphasis).</w:t>
      </w:r>
      <w:hyperlink r:id="rId38" w:anchor="fn34" w:history="1">
        <w:r w:rsidRPr="003436C2">
          <w:rPr>
            <w:rStyle w:val="Hyperlink"/>
            <w:rFonts w:ascii="Times New Roman" w:hAnsi="Times New Roman" w:cs="Times New Roman"/>
            <w:color w:val="auto"/>
            <w:vertAlign w:val="superscript"/>
          </w:rPr>
          <w:t>[34]</w:t>
        </w:r>
      </w:hyperlink>
      <w:r w:rsidRPr="003436C2">
        <w:rPr>
          <w:rFonts w:ascii="Times New Roman" w:hAnsi="Times New Roman" w:cs="Times New Roman"/>
        </w:rPr>
        <w:t xml:space="preserve"> This is not a Calvinist position. It is a deliberate both/and irenic register that holds the Lutheran and Reformed distinctives together in a single confessional formula. A Lutheran could subscribe to it without conscience; </w:t>
      </w:r>
      <w:proofErr w:type="gramStart"/>
      <w:r w:rsidRPr="003436C2">
        <w:rPr>
          <w:rFonts w:ascii="Times New Roman" w:hAnsi="Times New Roman" w:cs="Times New Roman"/>
        </w:rPr>
        <w:t>so</w:t>
      </w:r>
      <w:proofErr w:type="gramEnd"/>
      <w:r w:rsidRPr="003436C2">
        <w:rPr>
          <w:rFonts w:ascii="Times New Roman" w:hAnsi="Times New Roman" w:cs="Times New Roman"/>
        </w:rPr>
        <w:t xml:space="preserve"> could a Reformed theologian; so, for that matter, could a moderate </w:t>
      </w:r>
      <w:proofErr w:type="spellStart"/>
      <w:r w:rsidRPr="003436C2">
        <w:rPr>
          <w:rFonts w:ascii="Times New Roman" w:hAnsi="Times New Roman" w:cs="Times New Roman"/>
        </w:rPr>
        <w:t>Utraquist</w:t>
      </w:r>
      <w:proofErr w:type="spellEnd"/>
      <w:r w:rsidRPr="003436C2">
        <w:rPr>
          <w:rFonts w:ascii="Times New Roman" w:hAnsi="Times New Roman" w:cs="Times New Roman"/>
        </w:rPr>
        <w:t>. The CB's irenic register was the achievement of the 1575 compromise, not a confessional concession to either side.</w:t>
      </w:r>
    </w:p>
    <w:p w14:paraId="3E1D7AC9"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CB is also conspicuously silent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The very test the Formula of Concord makes the Lutheran boundary marker against Reformed Eucharistic theology in 1577 is absent from the CB's 1575 articulation. The silence is the same silence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will keep in 1581 within a Lutheran-aligned codex.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of 1585 is the document that breaks that silence locally. Read together, the CB 1575 → AC 1581 → BA 1585 trajectory traces a pattern: a cross-confessional irenic document, a moderate Lutheran printed agenda, a sharper Lutheran manuscript supplement, each negotiating in its own way the question of how the Eucharistic distinctive should be articulated. The CB and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share a register choice — silence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 that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breaks. The cross-confessional irenicism of the CB 1575 and the intra-confessional moderation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are not the same thing, but they share a register strategy: holding the polemical specification at bay in the interest of broader pastoral and confessional usability.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1585 abandons that strategy under local disciplinary pressure.</w:t>
      </w:r>
    </w:p>
    <w:p w14:paraId="0BFC410C"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A fuller treatment of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Bohemica</w:t>
      </w:r>
      <w:r w:rsidRPr="003436C2">
        <w:rPr>
          <w:rFonts w:ascii="Times New Roman" w:hAnsi="Times New Roman" w:cs="Times New Roman"/>
        </w:rPr>
        <w:t>'s</w:t>
      </w:r>
      <w:proofErr w:type="spellEnd"/>
      <w:r w:rsidRPr="003436C2">
        <w:rPr>
          <w:rFonts w:ascii="Times New Roman" w:hAnsi="Times New Roman" w:cs="Times New Roman"/>
        </w:rPr>
        <w:t xml:space="preserve"> register and its consequences for understanding the Czech-Reformation confessional landscape is reserved for the forthcoming TEPALIT chapter. The brief mention here registers the parallel pattern at a different scale and offers a suggestive observation: the older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xml:space="preserve"> of the CB as Calvinist is not just </w:t>
      </w:r>
      <w:proofErr w:type="spellStart"/>
      <w:r w:rsidRPr="003436C2">
        <w:rPr>
          <w:rFonts w:ascii="Times New Roman" w:hAnsi="Times New Roman" w:cs="Times New Roman"/>
        </w:rPr>
        <w:t>historiographically</w:t>
      </w:r>
      <w:proofErr w:type="spellEnd"/>
      <w:r w:rsidRPr="003436C2">
        <w:rPr>
          <w:rFonts w:ascii="Times New Roman" w:hAnsi="Times New Roman" w:cs="Times New Roman"/>
        </w:rPr>
        <w:t xml:space="preserve"> inaccurate but conceptually misleading. It misses the very thing that makes the CB an interesting document — its deliberate both/and register, its silence on the post-1577 confessional markers that did not yet exist when it was drafted, and its kinship in register strategy with the moderate Lutheran liturgical documents that would follow it in the same broader regional setting.</w:t>
      </w:r>
    </w:p>
    <w:p w14:paraId="67581C89"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The Cithara Sanctorum's editorial method</w:t>
      </w:r>
    </w:p>
    <w:p w14:paraId="3A4B8FEF"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differential editorial strategy in the </w:t>
      </w:r>
      <w:r w:rsidRPr="003436C2">
        <w:rPr>
          <w:rFonts w:ascii="Times New Roman" w:hAnsi="Times New Roman" w:cs="Times New Roman"/>
          <w:i/>
          <w:iCs/>
        </w:rPr>
        <w:t>Cithara Sanctorum</w:t>
      </w:r>
      <w:r w:rsidRPr="003436C2">
        <w:rPr>
          <w:rFonts w:ascii="Times New Roman" w:hAnsi="Times New Roman" w:cs="Times New Roman"/>
        </w:rPr>
        <w:t xml:space="preserve"> of 1636, as </w:t>
      </w:r>
      <w:proofErr w:type="spellStart"/>
      <w:r w:rsidRPr="003436C2">
        <w:rPr>
          <w:rFonts w:ascii="Times New Roman" w:hAnsi="Times New Roman" w:cs="Times New Roman"/>
        </w:rPr>
        <w:t>Grešová-Sekelská</w:t>
      </w:r>
      <w:proofErr w:type="spellEnd"/>
      <w:r w:rsidRPr="003436C2">
        <w:rPr>
          <w:rFonts w:ascii="Times New Roman" w:hAnsi="Times New Roman" w:cs="Times New Roman"/>
        </w:rPr>
        <w:t xml:space="preserve"> has mapped it, fits naturally within the broader pattern this paper documents.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was hands-off in confessionally neutral rubrics and heavily interventionist in the </w:t>
      </w:r>
      <w:r w:rsidRPr="003436C2">
        <w:rPr>
          <w:rFonts w:ascii="Times New Roman" w:hAnsi="Times New Roman" w:cs="Times New Roman"/>
        </w:rPr>
        <w:lastRenderedPageBreak/>
        <w:t>Eucharistic, Marian, and ecclesiological sections, where the cross-confessional source material carried theological weight that an Augsburg-Lutheran compiler had to handle with care.</w:t>
      </w:r>
      <w:hyperlink r:id="rId39" w:anchor="fn35" w:history="1">
        <w:r w:rsidRPr="003436C2">
          <w:rPr>
            <w:rStyle w:val="Hyperlink"/>
            <w:rFonts w:ascii="Times New Roman" w:hAnsi="Times New Roman" w:cs="Times New Roman"/>
            <w:color w:val="auto"/>
            <w:vertAlign w:val="superscript"/>
          </w:rPr>
          <w:t>[35]</w:t>
        </w:r>
      </w:hyperlink>
      <w:r w:rsidRPr="003436C2">
        <w:rPr>
          <w:rFonts w:ascii="Times New Roman" w:hAnsi="Times New Roman" w:cs="Times New Roman"/>
        </w:rPr>
        <w:t xml:space="preserve"> The action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performs at cross-confessional crossings — Brethren or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source moving into Slovak Lutheran reception, with editorial filtering attaching the polemical specifications that the Slovak Lutheran community required — is the same kind of action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's anonymous scribe had performed a half-century earlier at a smaller intra-confessional crossing. Both are </w:t>
      </w:r>
      <w:proofErr w:type="gramStart"/>
      <w:r w:rsidRPr="003436C2">
        <w:rPr>
          <w:rFonts w:ascii="Times New Roman" w:hAnsi="Times New Roman" w:cs="Times New Roman"/>
        </w:rPr>
        <w:t>register</w:t>
      </w:r>
      <w:proofErr w:type="gramEnd"/>
      <w:r w:rsidRPr="003436C2">
        <w:rPr>
          <w:rFonts w:ascii="Times New Roman" w:hAnsi="Times New Roman" w:cs="Times New Roman"/>
        </w:rPr>
        <w:t xml:space="preserve"> work. Both are confessional sharpening. The action is the same; only the scale differs. The </w:t>
      </w:r>
      <w:r w:rsidRPr="003436C2">
        <w:rPr>
          <w:rFonts w:ascii="Times New Roman" w:hAnsi="Times New Roman" w:cs="Times New Roman"/>
          <w:i/>
          <w:iCs/>
        </w:rPr>
        <w:t>Cithara Sanctorum</w:t>
      </w:r>
      <w:r w:rsidRPr="003436C2">
        <w:rPr>
          <w:rFonts w:ascii="Times New Roman" w:hAnsi="Times New Roman" w:cs="Times New Roman"/>
        </w:rPr>
        <w:t> of 1636 is therefore not the first instance of Slovak Lutheran register work on Czech-Reformation source material; it is the most visible instance of a longer pattern that the codex preserves at finer granularity.</w:t>
      </w:r>
    </w:p>
    <w:p w14:paraId="7FDD8755"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Open data and future work</w:t>
      </w:r>
    </w:p>
    <w:p w14:paraId="709DBAF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finding documented in this paper —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1585 stratification within 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 is recorded in the open </w:t>
      </w:r>
      <w:r w:rsidRPr="003436C2">
        <w:rPr>
          <w:rFonts w:ascii="Times New Roman" w:hAnsi="Times New Roman" w:cs="Times New Roman"/>
          <w:i/>
          <w:iCs/>
        </w:rPr>
        <w:t>TEPALIT Digital Companion</w:t>
      </w:r>
      <w:r w:rsidRPr="003436C2">
        <w:rPr>
          <w:rFonts w:ascii="Times New Roman" w:hAnsi="Times New Roman" w:cs="Times New Roman"/>
        </w:rPr>
        <w:t> dataset under the identifier PAIR_006_AC_BA_EUCHARIST.</w:t>
      </w:r>
      <w:hyperlink r:id="rId40" w:anchor="fn36" w:history="1">
        <w:r w:rsidRPr="003436C2">
          <w:rPr>
            <w:rStyle w:val="Hyperlink"/>
            <w:rFonts w:ascii="Times New Roman" w:hAnsi="Times New Roman" w:cs="Times New Roman"/>
            <w:color w:val="auto"/>
            <w:vertAlign w:val="superscript"/>
          </w:rPr>
          <w:t>[36]</w:t>
        </w:r>
      </w:hyperlink>
      <w:r w:rsidRPr="003436C2">
        <w:rPr>
          <w:rFonts w:ascii="Times New Roman" w:hAnsi="Times New Roman" w:cs="Times New Roman"/>
        </w:rPr>
        <w:t xml:space="preserve"> The dataset is published under a Creative Commons Attribution 4.0 International </w:t>
      </w:r>
      <w:proofErr w:type="spellStart"/>
      <w:r w:rsidRPr="003436C2">
        <w:rPr>
          <w:rFonts w:ascii="Times New Roman" w:hAnsi="Times New Roman" w:cs="Times New Roman"/>
        </w:rPr>
        <w:t>licence</w:t>
      </w:r>
      <w:proofErr w:type="spellEnd"/>
      <w:r w:rsidRPr="003436C2">
        <w:rPr>
          <w:rFonts w:ascii="Times New Roman" w:hAnsi="Times New Roman" w:cs="Times New Roman"/>
        </w:rPr>
        <w:t>. The record carries the trust signature FACTUAL / DOCUMENTED / VERIFIED — the strongest combination available in the dataset's three-axis epistemic-transparency framework — with a verification dossier documenting the warrant. The mention here gives readers a path to the underlying data and registers the open-scholarship infrastructure within which this finding was developed.</w:t>
      </w:r>
    </w:p>
    <w:p w14:paraId="6E1A95EE"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Two directions for further work </w:t>
      </w:r>
      <w:proofErr w:type="gramStart"/>
      <w:r w:rsidRPr="003436C2">
        <w:rPr>
          <w:rFonts w:ascii="Times New Roman" w:hAnsi="Times New Roman" w:cs="Times New Roman"/>
        </w:rPr>
        <w:t>suggest</w:t>
      </w:r>
      <w:proofErr w:type="gramEnd"/>
      <w:r w:rsidRPr="003436C2">
        <w:rPr>
          <w:rFonts w:ascii="Times New Roman" w:hAnsi="Times New Roman" w:cs="Times New Roman"/>
        </w:rPr>
        <w:t xml:space="preserve"> themselves. The first is internal to Benka's edition: a systematic textual comparison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outside the Eucharistic rite, examining the baptism, marriage, and funeral sections to see whether the intra-codex register shift documented in this paper is Eucharist-specific or operates more generally across the rite. This work is feasible from Benka 2024 alone; it would extend the diagnostic developed here to additional dimensions of Lutheran liturgical articulation. The second is external: examination of additional bound-codex situations in Upper-Hungarian Lutheran archives — </w:t>
      </w:r>
      <w:proofErr w:type="spellStart"/>
      <w:r w:rsidRPr="003436C2">
        <w:rPr>
          <w:rFonts w:ascii="Times New Roman" w:hAnsi="Times New Roman" w:cs="Times New Roman"/>
        </w:rPr>
        <w:t>Bardejov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Levoča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Kežmarok</w:t>
      </w:r>
      <w:proofErr w:type="spellEnd"/>
      <w:r w:rsidRPr="003436C2">
        <w:rPr>
          <w:rFonts w:ascii="Times New Roman" w:hAnsi="Times New Roman" w:cs="Times New Roman"/>
        </w:rPr>
        <w:t xml:space="preserve">, and the </w:t>
      </w:r>
      <w:proofErr w:type="spellStart"/>
      <w:r w:rsidRPr="003436C2">
        <w:rPr>
          <w:rFonts w:ascii="Times New Roman" w:hAnsi="Times New Roman" w:cs="Times New Roman"/>
        </w:rPr>
        <w:t>Spiš</w:t>
      </w:r>
      <w:proofErr w:type="spellEnd"/>
      <w:r w:rsidRPr="003436C2">
        <w:rPr>
          <w:rFonts w:ascii="Times New Roman" w:hAnsi="Times New Roman" w:cs="Times New Roman"/>
        </w:rPr>
        <w:t xml:space="preserve"> towns — for similar intra-codex stratifications. This work requires archival access and codicological reading attentive to the kind of </w:t>
      </w:r>
      <w:proofErr w:type="gramStart"/>
      <w:r w:rsidRPr="003436C2">
        <w:rPr>
          <w:rFonts w:ascii="Times New Roman" w:hAnsi="Times New Roman" w:cs="Times New Roman"/>
        </w:rPr>
        <w:t>register-difference</w:t>
      </w:r>
      <w:proofErr w:type="gramEnd"/>
      <w:r w:rsidRPr="003436C2">
        <w:rPr>
          <w:rFonts w:ascii="Times New Roman" w:hAnsi="Times New Roman" w:cs="Times New Roman"/>
        </w:rPr>
        <w:t xml:space="preserve"> that the Bratislava codex preserves. Both directions, pursued together, would test whether the intra-codex confessional stratification documented here is a distinctive feature of one bound exemplar or a more widespread pattern in the period's liturgical-pastoral practice.</w:t>
      </w:r>
    </w:p>
    <w:p w14:paraId="0CF6C393"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Conclusion</w:t>
      </w:r>
    </w:p>
    <w:p w14:paraId="71B9987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of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1585 preserves, in its bound co-presence of print and manuscript, two registers of the same Lutheran Eucharistic theology. The printed Czech agenda operates moderately, anchored in faith in the words of institution but silent on the polemical distinctives the post-Formula disciplinary atmosphere had begun to require. The manuscript Slovak supplement, written four years later in the mining-town milieu, articulates the same theology with 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and direct identification of the body and blood of the Son of God in worthy and unworthy reception alike. The early users of the codex bound the print </w:t>
      </w:r>
      <w:r w:rsidRPr="003436C2">
        <w:rPr>
          <w:rFonts w:ascii="Times New Roman" w:hAnsi="Times New Roman" w:cs="Times New Roman"/>
        </w:rPr>
        <w:lastRenderedPageBreak/>
        <w:t>and the manuscript together because they served a single liturgical use. Read together, as the binding records their practice of reading them, the two witnesses exhibit a confessional movement that is invisible if either is read alone.</w:t>
      </w:r>
    </w:p>
    <w:p w14:paraId="781B2B0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What the stratification means for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is the substance of this paper's contribution. Confessional sharpening, on the standard account, is the work performed </w:t>
      </w:r>
      <w:proofErr w:type="gramStart"/>
      <w:r w:rsidRPr="003436C2">
        <w:rPr>
          <w:rFonts w:ascii="Times New Roman" w:hAnsi="Times New Roman" w:cs="Times New Roman"/>
        </w:rPr>
        <w:t>at the moment</w:t>
      </w:r>
      <w:proofErr w:type="gramEnd"/>
      <w:r w:rsidRPr="003436C2">
        <w:rPr>
          <w:rFonts w:ascii="Times New Roman" w:hAnsi="Times New Roman" w:cs="Times New Roman"/>
        </w:rPr>
        <w:t xml:space="preserve"> when material crosses between confessional traditions — Brethren or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source into Slovak Lutheran reception, the editorial filtering that produces a confessionally Lutheran corpus from a confessionally heterogeneous inheritance. The codex shows the same action operating at smaller scale and at finer granularity, within the Lutheran orbit itself, in the four-year gap between a printed pastoral resource and its hand-written local supplement. The action is the same; only the scale differs. Confessional consolidation is also intra-confessional register work, observable at the codex level when the witnesses are read against one another rather than in isolation. Where this leaves the </w:t>
      </w:r>
      <w:r w:rsidRPr="003436C2">
        <w:rPr>
          <w:rFonts w:ascii="Times New Roman" w:hAnsi="Times New Roman" w:cs="Times New Roman"/>
          <w:i/>
          <w:iCs/>
        </w:rPr>
        <w:t>Cithara Sanctorum</w:t>
      </w:r>
      <w:r w:rsidRPr="003436C2">
        <w:rPr>
          <w:rFonts w:ascii="Times New Roman" w:hAnsi="Times New Roman" w:cs="Times New Roman"/>
        </w:rPr>
        <w:t xml:space="preserve">'s own editorial register, and what the same diagnostic might reveal when applied to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hymnodic work rather than to the printed agenda that preceded it, is the work of the forthcoming TEPALIT chapter.</w:t>
      </w:r>
    </w:p>
    <w:p w14:paraId="454E9A10"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in the milieu out of which the </w:t>
      </w:r>
      <w:r w:rsidRPr="003436C2">
        <w:rPr>
          <w:rFonts w:ascii="Times New Roman" w:hAnsi="Times New Roman" w:cs="Times New Roman"/>
          <w:i/>
          <w:iCs/>
        </w:rPr>
        <w:t>Cithara Sanctorum</w:t>
      </w:r>
      <w:r w:rsidRPr="003436C2">
        <w:rPr>
          <w:rFonts w:ascii="Times New Roman" w:hAnsi="Times New Roman" w:cs="Times New Roman"/>
        </w:rPr>
        <w:t xml:space="preserve"> eventually emerged, was not a static record of confession. It was an active site </w:t>
      </w:r>
      <w:proofErr w:type="gramStart"/>
      <w:r w:rsidRPr="003436C2">
        <w:rPr>
          <w:rFonts w:ascii="Times New Roman" w:hAnsi="Times New Roman" w:cs="Times New Roman"/>
        </w:rPr>
        <w:t>of</w:t>
      </w:r>
      <w:proofErr w:type="gramEnd"/>
      <w:r w:rsidRPr="003436C2">
        <w:rPr>
          <w:rFonts w:ascii="Times New Roman" w:hAnsi="Times New Roman" w:cs="Times New Roman"/>
        </w:rPr>
        <w:t xml:space="preserve"> confessional work. Sometimes that work happens at cross-confessional crossings; sometimes it happens within a single bound use. The codex preserves both, and the preservation matters.</w:t>
      </w:r>
    </w:p>
    <w:p w14:paraId="73792EA7" w14:textId="77777777" w:rsidR="003436C2" w:rsidRPr="003436C2" w:rsidRDefault="00000000" w:rsidP="003436C2">
      <w:pPr>
        <w:rPr>
          <w:rFonts w:ascii="Times New Roman" w:hAnsi="Times New Roman" w:cs="Times New Roman"/>
        </w:rPr>
      </w:pPr>
      <w:r>
        <w:rPr>
          <w:rFonts w:ascii="Times New Roman" w:hAnsi="Times New Roman" w:cs="Times New Roman"/>
        </w:rPr>
        <w:pict w14:anchorId="356FAA18">
          <v:rect id="_x0000_i1029" style="width:0;height:3pt" o:hralign="center" o:hrstd="t" o:hr="t" fillcolor="#a0a0a0" stroked="f"/>
        </w:pict>
      </w:r>
    </w:p>
    <w:p w14:paraId="0AFFAA84" w14:textId="77777777" w:rsidR="003436C2" w:rsidRPr="003436C2" w:rsidRDefault="003436C2" w:rsidP="003436C2">
      <w:pPr>
        <w:rPr>
          <w:rFonts w:ascii="Times New Roman" w:hAnsi="Times New Roman" w:cs="Times New Roman"/>
        </w:rPr>
      </w:pPr>
      <w:r w:rsidRPr="003436C2">
        <w:rPr>
          <w:rFonts w:ascii="Times New Roman" w:hAnsi="Times New Roman" w:cs="Times New Roman"/>
          <w:i/>
          <w:iCs/>
        </w:rPr>
        <w:t xml:space="preserve">[End of full draft v0.1, §§1–7. Bibliography assembly, </w:t>
      </w:r>
      <w:proofErr w:type="gramStart"/>
      <w:r w:rsidRPr="003436C2">
        <w:rPr>
          <w:rFonts w:ascii="Times New Roman" w:hAnsi="Times New Roman" w:cs="Times New Roman"/>
          <w:i/>
          <w:iCs/>
        </w:rPr>
        <w:t>British-English</w:t>
      </w:r>
      <w:proofErr w:type="gramEnd"/>
      <w:r w:rsidRPr="003436C2">
        <w:rPr>
          <w:rFonts w:ascii="Times New Roman" w:hAnsi="Times New Roman" w:cs="Times New Roman"/>
          <w:i/>
          <w:iCs/>
        </w:rPr>
        <w:t xml:space="preserve"> check pass, and final read-through to follow.]</w:t>
      </w:r>
    </w:p>
    <w:p w14:paraId="0D3D4886" w14:textId="77777777" w:rsidR="003436C2" w:rsidRPr="003436C2" w:rsidRDefault="00000000" w:rsidP="003436C2">
      <w:pPr>
        <w:rPr>
          <w:rFonts w:ascii="Times New Roman" w:hAnsi="Times New Roman" w:cs="Times New Roman"/>
        </w:rPr>
      </w:pPr>
      <w:r>
        <w:rPr>
          <w:rFonts w:ascii="Times New Roman" w:hAnsi="Times New Roman" w:cs="Times New Roman"/>
        </w:rPr>
        <w:pict w14:anchorId="17DD2427">
          <v:rect id="_x0000_i1030" style="width:0;height:3pt" o:hralign="center" o:hrstd="t" o:hr="t" fillcolor="#a0a0a0" stroked="f"/>
        </w:pict>
      </w:r>
    </w:p>
    <w:p w14:paraId="0313E37F"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This work was supported by the Slovak Research and Development Agency under the Contract no. APVV-24-0484. </w:t>
      </w:r>
      <w:hyperlink r:id="rId41" w:anchor="fnref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D0B3610"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For the canonical articulation of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in English-language scholarship, see VAJDA, J.: </w:t>
      </w:r>
      <w:r w:rsidRPr="003436C2">
        <w:rPr>
          <w:rFonts w:ascii="Times New Roman" w:hAnsi="Times New Roman" w:cs="Times New Roman"/>
          <w:i/>
          <w:iCs/>
        </w:rPr>
        <w:t>A History of the Cithara Sanctorum</w:t>
      </w:r>
      <w:r w:rsidRPr="003436C2">
        <w:rPr>
          <w:rFonts w:ascii="Times New Roman" w:hAnsi="Times New Roman" w:cs="Times New Roman"/>
        </w:rPr>
        <w:t xml:space="preserve">. </w:t>
      </w:r>
      <w:proofErr w:type="spellStart"/>
      <w:r w:rsidRPr="003436C2">
        <w:rPr>
          <w:rFonts w:ascii="Times New Roman" w:hAnsi="Times New Roman" w:cs="Times New Roman"/>
        </w:rPr>
        <w:t>B.Div</w:t>
      </w:r>
      <w:proofErr w:type="spellEnd"/>
      <w:r w:rsidRPr="003436C2">
        <w:rPr>
          <w:rFonts w:ascii="Times New Roman" w:hAnsi="Times New Roman" w:cs="Times New Roman"/>
        </w:rPr>
        <w:t xml:space="preserve">. thesis, Concordia Seminary, St. Louis, Missouri, 1944. Vajda traces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filtering from a confessionally heterogeneous Czech-Reformation hymnodic inheritance to a confessionally Lutheran Slovak corpus. The thesis has been refined but not displaced. </w:t>
      </w:r>
      <w:hyperlink r:id="rId42" w:anchor="fnref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225BCC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GREŠOVÁ-SEKELSKÁ, A.: </w:t>
      </w:r>
      <w:proofErr w:type="spellStart"/>
      <w:r w:rsidRPr="003436C2">
        <w:rPr>
          <w:rFonts w:ascii="Times New Roman" w:hAnsi="Times New Roman" w:cs="Times New Roman"/>
        </w:rPr>
        <w:t>Príspevok</w:t>
      </w:r>
      <w:proofErr w:type="spellEnd"/>
      <w:r w:rsidRPr="003436C2">
        <w:rPr>
          <w:rFonts w:ascii="Times New Roman" w:hAnsi="Times New Roman" w:cs="Times New Roman"/>
        </w:rPr>
        <w:t xml:space="preserve"> k </w:t>
      </w:r>
      <w:proofErr w:type="spellStart"/>
      <w:r w:rsidRPr="003436C2">
        <w:rPr>
          <w:rFonts w:ascii="Times New Roman" w:hAnsi="Times New Roman" w:cs="Times New Roman"/>
        </w:rPr>
        <w:t>vzniku</w:t>
      </w:r>
      <w:proofErr w:type="spellEnd"/>
      <w:r w:rsidRPr="003436C2">
        <w:rPr>
          <w:rFonts w:ascii="Times New Roman" w:hAnsi="Times New Roman" w:cs="Times New Roman"/>
        </w:rPr>
        <w:t xml:space="preserve"> </w:t>
      </w:r>
      <w:proofErr w:type="gramStart"/>
      <w:r w:rsidRPr="003436C2">
        <w:rPr>
          <w:rFonts w:ascii="Times New Roman" w:hAnsi="Times New Roman" w:cs="Times New Roman"/>
        </w:rPr>
        <w:t>a</w:t>
      </w:r>
      <w:proofErr w:type="gramEnd"/>
      <w:r w:rsidRPr="003436C2">
        <w:rPr>
          <w:rFonts w:ascii="Times New Roman" w:hAnsi="Times New Roman" w:cs="Times New Roman"/>
        </w:rPr>
        <w:t xml:space="preserve"> </w:t>
      </w:r>
      <w:proofErr w:type="spellStart"/>
      <w:r w:rsidRPr="003436C2">
        <w:rPr>
          <w:rFonts w:ascii="Times New Roman" w:hAnsi="Times New Roman" w:cs="Times New Roman"/>
        </w:rPr>
        <w:t>obsahu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Cithary</w:t>
      </w:r>
      <w:proofErr w:type="spellEnd"/>
      <w:r w:rsidRPr="003436C2">
        <w:rPr>
          <w:rFonts w:ascii="Times New Roman" w:hAnsi="Times New Roman" w:cs="Times New Roman"/>
        </w:rPr>
        <w:t xml:space="preserve"> sanctorum. In: </w:t>
      </w:r>
      <w:proofErr w:type="spellStart"/>
      <w:r w:rsidRPr="003436C2">
        <w:rPr>
          <w:rFonts w:ascii="Times New Roman" w:hAnsi="Times New Roman" w:cs="Times New Roman"/>
          <w:i/>
          <w:iCs/>
        </w:rPr>
        <w:t>Clavibus</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unitis</w:t>
      </w:r>
      <w:proofErr w:type="spellEnd"/>
      <w:r w:rsidRPr="003436C2">
        <w:rPr>
          <w:rFonts w:ascii="Times New Roman" w:hAnsi="Times New Roman" w:cs="Times New Roman"/>
        </w:rPr>
        <w:t>, vol. 10, no. 4 (2021), pp. 5 – 14, here p. 6. </w:t>
      </w:r>
      <w:hyperlink r:id="rId43" w:anchor="fnref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CC7511F"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GREŠOVÁ-SEKELSKÁ, A.: </w:t>
      </w:r>
      <w:r w:rsidRPr="003436C2">
        <w:rPr>
          <w:rFonts w:ascii="Times New Roman" w:hAnsi="Times New Roman" w:cs="Times New Roman"/>
          <w:i/>
          <w:iCs/>
        </w:rPr>
        <w:t xml:space="preserve">Georgius Tranoscius </w:t>
      </w:r>
      <w:proofErr w:type="spellStart"/>
      <w:r w:rsidRPr="003436C2">
        <w:rPr>
          <w:rFonts w:ascii="Times New Roman" w:hAnsi="Times New Roman" w:cs="Times New Roman"/>
          <w:i/>
          <w:iCs/>
        </w:rPr>
        <w:t>Teschiniensis</w:t>
      </w:r>
      <w:proofErr w:type="spellEnd"/>
      <w:r w:rsidRPr="003436C2">
        <w:rPr>
          <w:rFonts w:ascii="Times New Roman" w:hAnsi="Times New Roman" w:cs="Times New Roman"/>
          <w:i/>
          <w:iCs/>
        </w:rPr>
        <w:t xml:space="preserve"> / Jiří </w:t>
      </w:r>
      <w:proofErr w:type="spellStart"/>
      <w:r w:rsidRPr="003436C2">
        <w:rPr>
          <w:rFonts w:ascii="Times New Roman" w:hAnsi="Times New Roman" w:cs="Times New Roman"/>
          <w:i/>
          <w:iCs/>
        </w:rPr>
        <w:t>Třanovský</w:t>
      </w:r>
      <w:proofErr w:type="spellEnd"/>
      <w:r w:rsidRPr="003436C2">
        <w:rPr>
          <w:rFonts w:ascii="Times New Roman" w:hAnsi="Times New Roman" w:cs="Times New Roman"/>
          <w:i/>
          <w:iCs/>
        </w:rPr>
        <w:t xml:space="preserve"> (1592–1637): Hymns from the Cithara Sanctorum (1636) – Selection</w:t>
      </w:r>
      <w:r w:rsidRPr="003436C2">
        <w:rPr>
          <w:rFonts w:ascii="Times New Roman" w:hAnsi="Times New Roman" w:cs="Times New Roman"/>
        </w:rPr>
        <w:t xml:space="preserve">. </w:t>
      </w:r>
      <w:proofErr w:type="spellStart"/>
      <w:r w:rsidRPr="003436C2">
        <w:rPr>
          <w:rFonts w:ascii="Times New Roman" w:hAnsi="Times New Roman" w:cs="Times New Roman"/>
        </w:rPr>
        <w:t>Musicalia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Istropolitana</w:t>
      </w:r>
      <w:proofErr w:type="spellEnd"/>
      <w:r w:rsidRPr="003436C2">
        <w:rPr>
          <w:rFonts w:ascii="Times New Roman" w:hAnsi="Times New Roman" w:cs="Times New Roman"/>
        </w:rPr>
        <w:t xml:space="preserve"> 4/2. Bratislava: </w:t>
      </w:r>
      <w:proofErr w:type="spellStart"/>
      <w:r w:rsidRPr="003436C2">
        <w:rPr>
          <w:rFonts w:ascii="Times New Roman" w:hAnsi="Times New Roman" w:cs="Times New Roman"/>
        </w:rPr>
        <w:t>Stimul</w:t>
      </w:r>
      <w:proofErr w:type="spellEnd"/>
      <w:r w:rsidRPr="003436C2">
        <w:rPr>
          <w:rFonts w:ascii="Times New Roman" w:hAnsi="Times New Roman" w:cs="Times New Roman"/>
        </w:rPr>
        <w:t xml:space="preserve">, 2023, in </w:t>
      </w:r>
      <w:proofErr w:type="gramStart"/>
      <w:r w:rsidRPr="003436C2">
        <w:rPr>
          <w:rFonts w:ascii="Times New Roman" w:hAnsi="Times New Roman" w:cs="Times New Roman"/>
        </w:rPr>
        <w:t>the introductory</w:t>
      </w:r>
      <w:proofErr w:type="gramEnd"/>
      <w:r w:rsidRPr="003436C2">
        <w:rPr>
          <w:rFonts w:ascii="Times New Roman" w:hAnsi="Times New Roman" w:cs="Times New Roman"/>
        </w:rPr>
        <w:t xml:space="preserve"> study. The differential strategy is discussed at greater length in </w:t>
      </w:r>
      <w:proofErr w:type="spellStart"/>
      <w:r w:rsidRPr="003436C2">
        <w:rPr>
          <w:rFonts w:ascii="Times New Roman" w:hAnsi="Times New Roman" w:cs="Times New Roman"/>
        </w:rPr>
        <w:t>Grešová-Sekelská</w:t>
      </w:r>
      <w:proofErr w:type="spellEnd"/>
      <w:r w:rsidRPr="003436C2">
        <w:rPr>
          <w:rFonts w:ascii="Times New Roman" w:hAnsi="Times New Roman" w:cs="Times New Roman"/>
        </w:rPr>
        <w:t xml:space="preserve"> 2021 (above, n. 3). </w:t>
      </w:r>
      <w:hyperlink r:id="rId44" w:anchor="fnref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57FC24B"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lastRenderedPageBreak/>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388 pp. </w:t>
      </w:r>
      <w:r w:rsidRPr="003436C2">
        <w:rPr>
          <w:rFonts w:ascii="Times New Roman" w:hAnsi="Times New Roman" w:cs="Times New Roman"/>
        </w:rPr>
        <w:t xml:space="preserve">ISBN 978-80-223-5971-9 (print); 978-80-223-6072-2 (online). The edition is freely available under a CC BY-SA 4.0 </w:t>
      </w:r>
      <w:proofErr w:type="spellStart"/>
      <w:r w:rsidRPr="003436C2">
        <w:rPr>
          <w:rFonts w:ascii="Times New Roman" w:hAnsi="Times New Roman" w:cs="Times New Roman"/>
        </w:rPr>
        <w:t>licence</w:t>
      </w:r>
      <w:proofErr w:type="spellEnd"/>
      <w:r w:rsidRPr="003436C2">
        <w:rPr>
          <w:rFonts w:ascii="Times New Roman" w:hAnsi="Times New Roman" w:cs="Times New Roman"/>
        </w:rPr>
        <w:t>. </w:t>
      </w:r>
      <w:hyperlink r:id="rId45" w:anchor="fnref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314D7B4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78 – 79. </w:t>
      </w:r>
      <w:r w:rsidRPr="003436C2">
        <w:rPr>
          <w:rFonts w:ascii="Times New Roman" w:hAnsi="Times New Roman" w:cs="Times New Roman"/>
        </w:rPr>
        <w:t>The verbatim quotations from both witnesses, with Benka's analytical observations, will be examined in detail in §§3–4 below. </w:t>
      </w:r>
      <w:hyperlink r:id="rId46" w:anchor="fnref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47F504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Documenta </w:t>
      </w:r>
      <w:proofErr w:type="spellStart"/>
      <w:r w:rsidRPr="003436C2">
        <w:rPr>
          <w:rFonts w:ascii="Times New Roman" w:hAnsi="Times New Roman" w:cs="Times New Roman"/>
        </w:rPr>
        <w:t>Theologico-Religionistica</w:t>
      </w:r>
      <w:proofErr w:type="spellEnd"/>
      <w:r w:rsidRPr="003436C2">
        <w:rPr>
          <w:rFonts w:ascii="Times New Roman" w:hAnsi="Times New Roman" w:cs="Times New Roman"/>
        </w:rPr>
        <w:t xml:space="preserve">, Tomus 2.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10 – 90 (Benka's historical introduction); the editorial reconstruction of the codex is described in detail at pp. 104 – 106. </w:t>
      </w:r>
      <w:hyperlink r:id="rId47" w:anchor="fnref7"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33856F7"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Documenta </w:t>
      </w:r>
      <w:proofErr w:type="spellStart"/>
      <w:r w:rsidRPr="003436C2">
        <w:rPr>
          <w:rFonts w:ascii="Times New Roman" w:hAnsi="Times New Roman" w:cs="Times New Roman"/>
        </w:rPr>
        <w:t>Theologico-Religionistica</w:t>
      </w:r>
      <w:proofErr w:type="spellEnd"/>
      <w:r w:rsidRPr="003436C2">
        <w:rPr>
          <w:rFonts w:ascii="Times New Roman" w:hAnsi="Times New Roman" w:cs="Times New Roman"/>
        </w:rPr>
        <w:t xml:space="preserve">, Tomus 2.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xml:space="preserve">, 2024, pp. 14 – 17, where Benka </w:t>
      </w:r>
      <w:proofErr w:type="spellStart"/>
      <w:r w:rsidRPr="003436C2">
        <w:rPr>
          <w:rFonts w:ascii="Times New Roman" w:hAnsi="Times New Roman" w:cs="Times New Roman"/>
        </w:rPr>
        <w:t>summarises</w:t>
      </w:r>
      <w:proofErr w:type="spellEnd"/>
      <w:r w:rsidRPr="003436C2">
        <w:rPr>
          <w:rFonts w:ascii="Times New Roman" w:hAnsi="Times New Roman" w:cs="Times New Roman"/>
        </w:rPr>
        <w:t xml:space="preserve">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preface (the preface itself is reproduced at pp. 108 – 112 of the edition). The Czech-language formulation Benka highlights is "ani </w:t>
      </w:r>
      <w:proofErr w:type="spellStart"/>
      <w:r w:rsidRPr="003436C2">
        <w:rPr>
          <w:rFonts w:ascii="Times New Roman" w:hAnsi="Times New Roman" w:cs="Times New Roman"/>
        </w:rPr>
        <w:t>naymenssijho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Artykule</w:t>
      </w:r>
      <w:proofErr w:type="spellEnd"/>
      <w:r w:rsidRPr="003436C2">
        <w:rPr>
          <w:rFonts w:ascii="Times New Roman" w:hAnsi="Times New Roman" w:cs="Times New Roman"/>
        </w:rPr>
        <w:t>" (p. 15 of the introductory study). </w:t>
      </w:r>
      <w:hyperlink r:id="rId48" w:anchor="fnref8"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36D1606"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265 – 368, where the edition prints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in full. The structural layout — confession and Eucharistic preparation (pp. 265 – 302), marriage with a </w:t>
      </w:r>
      <w:proofErr w:type="spellStart"/>
      <w:r w:rsidRPr="003436C2">
        <w:rPr>
          <w:rFonts w:ascii="Times New Roman" w:hAnsi="Times New Roman" w:cs="Times New Roman"/>
          <w:i/>
          <w:iCs/>
        </w:rPr>
        <w:t>Haustafel</w:t>
      </w:r>
      <w:proofErr w:type="spellEnd"/>
      <w:r w:rsidRPr="003436C2">
        <w:rPr>
          <w:rFonts w:ascii="Times New Roman" w:hAnsi="Times New Roman" w:cs="Times New Roman"/>
        </w:rPr>
        <w:t xml:space="preserve">-influenced moral exhortation (pp. 302 – 340), funeral hymns (pp. 340 – 368) — is </w:t>
      </w:r>
      <w:proofErr w:type="spellStart"/>
      <w:r w:rsidRPr="003436C2">
        <w:rPr>
          <w:rFonts w:ascii="Times New Roman" w:hAnsi="Times New Roman" w:cs="Times New Roman"/>
        </w:rPr>
        <w:t>summarised</w:t>
      </w:r>
      <w:proofErr w:type="spellEnd"/>
      <w:r w:rsidRPr="003436C2">
        <w:rPr>
          <w:rFonts w:ascii="Times New Roman" w:hAnsi="Times New Roman" w:cs="Times New Roman"/>
        </w:rPr>
        <w:t xml:space="preserve"> at p. 105. </w:t>
      </w:r>
      <w:hyperlink r:id="rId49" w:anchor="fnref9"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AF2CB4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77 – 78, where Benka discusses Georg Creutzer's handbook for identifying hidden Calvinists, in which the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appeared as a suspicion marker. </w:t>
      </w:r>
      <w:hyperlink r:id="rId50" w:anchor="fnref10"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F6D6099"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de-DE"/>
        </w:rPr>
        <w:t>CSEPREGI, Z.: Die Confessio Pentapolitana: Fragen nach Autorschaft und Datierung. In: KÓNYA, P. (ed.): </w:t>
      </w:r>
      <w:r w:rsidRPr="003436C2">
        <w:rPr>
          <w:rFonts w:ascii="Times New Roman" w:hAnsi="Times New Roman" w:cs="Times New Roman"/>
          <w:i/>
          <w:iCs/>
          <w:lang w:val="de-DE"/>
        </w:rPr>
        <w:t>„</w:t>
      </w:r>
      <w:proofErr w:type="spellStart"/>
      <w:r w:rsidRPr="003436C2">
        <w:rPr>
          <w:rFonts w:ascii="Times New Roman" w:hAnsi="Times New Roman" w:cs="Times New Roman"/>
          <w:i/>
          <w:iCs/>
          <w:lang w:val="de-DE"/>
        </w:rPr>
        <w:t>Nezameniteľné</w:t>
      </w:r>
      <w:proofErr w:type="spellEnd"/>
      <w:r w:rsidRPr="003436C2">
        <w:rPr>
          <w:rFonts w:ascii="Times New Roman" w:hAnsi="Times New Roman" w:cs="Times New Roman"/>
          <w:i/>
          <w:iCs/>
          <w:lang w:val="de-DE"/>
        </w:rPr>
        <w:t xml:space="preserve"> je </w:t>
      </w:r>
      <w:proofErr w:type="spellStart"/>
      <w:r w:rsidRPr="003436C2">
        <w:rPr>
          <w:rFonts w:ascii="Times New Roman" w:hAnsi="Times New Roman" w:cs="Times New Roman"/>
          <w:i/>
          <w:iCs/>
          <w:lang w:val="de-DE"/>
        </w:rPr>
        <w:t>dedičstvo</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otcov</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Štúdie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dejinám</w:t>
      </w:r>
      <w:proofErr w:type="spellEnd"/>
      <w:r w:rsidRPr="003436C2">
        <w:rPr>
          <w:rFonts w:ascii="Times New Roman" w:hAnsi="Times New Roman" w:cs="Times New Roman"/>
          <w:i/>
          <w:iCs/>
          <w:lang w:val="de-DE"/>
        </w:rPr>
        <w:t xml:space="preserve"> a </w:t>
      </w:r>
      <w:proofErr w:type="spellStart"/>
      <w:r w:rsidRPr="003436C2">
        <w:rPr>
          <w:rFonts w:ascii="Times New Roman" w:hAnsi="Times New Roman" w:cs="Times New Roman"/>
          <w:i/>
          <w:iCs/>
          <w:lang w:val="de-DE"/>
        </w:rPr>
        <w:t>súčasnosti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protestantizmu</w:t>
      </w:r>
      <w:proofErr w:type="spellEnd"/>
      <w:r w:rsidRPr="003436C2">
        <w:rPr>
          <w:rFonts w:ascii="Times New Roman" w:hAnsi="Times New Roman" w:cs="Times New Roman"/>
          <w:i/>
          <w:iCs/>
          <w:lang w:val="de-DE"/>
        </w:rPr>
        <w:t xml:space="preserve"> v </w:t>
      </w:r>
      <w:proofErr w:type="spellStart"/>
      <w:r w:rsidRPr="003436C2">
        <w:rPr>
          <w:rFonts w:ascii="Times New Roman" w:hAnsi="Times New Roman" w:cs="Times New Roman"/>
          <w:i/>
          <w:iCs/>
          <w:lang w:val="de-DE"/>
        </w:rPr>
        <w:t>strednej</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Európe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osemdesiatym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narodeninám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biskupa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Jána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Midriaka</w:t>
      </w:r>
      <w:proofErr w:type="spellEnd"/>
      <w:r w:rsidRPr="003436C2">
        <w:rPr>
          <w:rFonts w:ascii="Times New Roman" w:hAnsi="Times New Roman" w:cs="Times New Roman"/>
          <w:lang w:val="de-DE"/>
        </w:rPr>
        <w:t xml:space="preserve">. Acta </w:t>
      </w:r>
      <w:proofErr w:type="spellStart"/>
      <w:r w:rsidRPr="003436C2">
        <w:rPr>
          <w:rFonts w:ascii="Times New Roman" w:hAnsi="Times New Roman" w:cs="Times New Roman"/>
          <w:lang w:val="de-DE"/>
        </w:rPr>
        <w:t>Collegii</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Evangelici</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Prešoviensis</w:t>
      </w:r>
      <w:proofErr w:type="spellEnd"/>
      <w:r w:rsidRPr="003436C2">
        <w:rPr>
          <w:rFonts w:ascii="Times New Roman" w:hAnsi="Times New Roman" w:cs="Times New Roman"/>
          <w:lang w:val="de-DE"/>
        </w:rPr>
        <w:t xml:space="preserve"> X. Prešov: </w:t>
      </w:r>
      <w:proofErr w:type="spellStart"/>
      <w:r w:rsidRPr="003436C2">
        <w:rPr>
          <w:rFonts w:ascii="Times New Roman" w:hAnsi="Times New Roman" w:cs="Times New Roman"/>
          <w:lang w:val="de-DE"/>
        </w:rPr>
        <w:t>Prešovská</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univerzita</w:t>
      </w:r>
      <w:proofErr w:type="spellEnd"/>
      <w:r w:rsidRPr="003436C2">
        <w:rPr>
          <w:rFonts w:ascii="Times New Roman" w:hAnsi="Times New Roman" w:cs="Times New Roman"/>
          <w:lang w:val="de-DE"/>
        </w:rPr>
        <w:t xml:space="preserve">, 2009, pp. 73 – 85, </w:t>
      </w:r>
      <w:proofErr w:type="spellStart"/>
      <w:r w:rsidRPr="003436C2">
        <w:rPr>
          <w:rFonts w:ascii="Times New Roman" w:hAnsi="Times New Roman" w:cs="Times New Roman"/>
          <w:lang w:val="de-DE"/>
        </w:rPr>
        <w:t>here</w:t>
      </w:r>
      <w:proofErr w:type="spellEnd"/>
      <w:r w:rsidRPr="003436C2">
        <w:rPr>
          <w:rFonts w:ascii="Times New Roman" w:hAnsi="Times New Roman" w:cs="Times New Roman"/>
          <w:lang w:val="de-DE"/>
        </w:rPr>
        <w:t xml:space="preserve"> pp. 82 – 83. </w:t>
      </w:r>
      <w:proofErr w:type="spellStart"/>
      <w:r w:rsidRPr="003436C2">
        <w:rPr>
          <w:rFonts w:ascii="Times New Roman" w:hAnsi="Times New Roman" w:cs="Times New Roman"/>
          <w:lang w:val="de-DE"/>
        </w:rPr>
        <w:t>For</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critical</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edition</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of</w:t>
      </w:r>
      <w:proofErr w:type="spellEnd"/>
      <w:r w:rsidRPr="003436C2">
        <w:rPr>
          <w:rFonts w:ascii="Times New Roman" w:hAnsi="Times New Roman" w:cs="Times New Roman"/>
          <w:lang w:val="de-DE"/>
        </w:rPr>
        <w:t xml:space="preserve"> all </w:t>
      </w:r>
      <w:proofErr w:type="spellStart"/>
      <w:r w:rsidRPr="003436C2">
        <w:rPr>
          <w:rFonts w:ascii="Times New Roman" w:hAnsi="Times New Roman" w:cs="Times New Roman"/>
          <w:lang w:val="de-DE"/>
        </w:rPr>
        <w:t>three</w:t>
      </w:r>
      <w:proofErr w:type="spellEnd"/>
      <w:r w:rsidRPr="003436C2">
        <w:rPr>
          <w:rFonts w:ascii="Times New Roman" w:hAnsi="Times New Roman" w:cs="Times New Roman"/>
          <w:lang w:val="de-DE"/>
        </w:rPr>
        <w:t xml:space="preserve"> Upper-</w:t>
      </w:r>
      <w:proofErr w:type="spellStart"/>
      <w:r w:rsidRPr="003436C2">
        <w:rPr>
          <w:rFonts w:ascii="Times New Roman" w:hAnsi="Times New Roman" w:cs="Times New Roman"/>
          <w:lang w:val="de-DE"/>
        </w:rPr>
        <w:t>Hungarian</w:t>
      </w:r>
      <w:proofErr w:type="spellEnd"/>
      <w:r w:rsidRPr="003436C2">
        <w:rPr>
          <w:rFonts w:ascii="Times New Roman" w:hAnsi="Times New Roman" w:cs="Times New Roman"/>
          <w:lang w:val="de-DE"/>
        </w:rPr>
        <w:t xml:space="preserve"> Lutheran </w:t>
      </w:r>
      <w:proofErr w:type="spellStart"/>
      <w:r w:rsidRPr="003436C2">
        <w:rPr>
          <w:rFonts w:ascii="Times New Roman" w:hAnsi="Times New Roman" w:cs="Times New Roman"/>
          <w:lang w:val="de-DE"/>
        </w:rPr>
        <w:t>confessions</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see</w:t>
      </w:r>
      <w:proofErr w:type="spellEnd"/>
      <w:r w:rsidRPr="003436C2">
        <w:rPr>
          <w:rFonts w:ascii="Times New Roman" w:hAnsi="Times New Roman" w:cs="Times New Roman"/>
          <w:lang w:val="de-DE"/>
        </w:rPr>
        <w:t xml:space="preserve"> KÓNYA, P. – CSEPREGI, Z. (</w:t>
      </w:r>
      <w:proofErr w:type="spellStart"/>
      <w:r w:rsidRPr="003436C2">
        <w:rPr>
          <w:rFonts w:ascii="Times New Roman" w:hAnsi="Times New Roman" w:cs="Times New Roman"/>
          <w:lang w:val="de-DE"/>
        </w:rPr>
        <w:t>eds</w:t>
      </w:r>
      <w:proofErr w:type="spellEnd"/>
      <w:r w:rsidRPr="003436C2">
        <w:rPr>
          <w:rFonts w:ascii="Times New Roman" w:hAnsi="Times New Roman" w:cs="Times New Roman"/>
          <w:lang w:val="de-DE"/>
        </w:rPr>
        <w:t>.): </w:t>
      </w:r>
      <w:proofErr w:type="spellStart"/>
      <w:r w:rsidRPr="003436C2">
        <w:rPr>
          <w:rFonts w:ascii="Times New Roman" w:hAnsi="Times New Roman" w:cs="Times New Roman"/>
          <w:i/>
          <w:iCs/>
          <w:lang w:val="de-DE"/>
        </w:rPr>
        <w:t>Tri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lutherské</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vyznania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viery</w:t>
      </w:r>
      <w:proofErr w:type="spellEnd"/>
      <w:r w:rsidRPr="003436C2">
        <w:rPr>
          <w:rFonts w:ascii="Times New Roman" w:hAnsi="Times New Roman" w:cs="Times New Roman"/>
          <w:i/>
          <w:iCs/>
          <w:lang w:val="de-DE"/>
        </w:rPr>
        <w:t xml:space="preserve"> z </w:t>
      </w:r>
      <w:proofErr w:type="spellStart"/>
      <w:r w:rsidRPr="003436C2">
        <w:rPr>
          <w:rFonts w:ascii="Times New Roman" w:hAnsi="Times New Roman" w:cs="Times New Roman"/>
          <w:i/>
          <w:iCs/>
          <w:lang w:val="de-DE"/>
        </w:rPr>
        <w:t>Uhorska</w:t>
      </w:r>
      <w:proofErr w:type="spellEnd"/>
      <w:r w:rsidRPr="003436C2">
        <w:rPr>
          <w:rFonts w:ascii="Times New Roman" w:hAnsi="Times New Roman" w:cs="Times New Roman"/>
          <w:i/>
          <w:iCs/>
          <w:lang w:val="de-DE"/>
        </w:rPr>
        <w:t xml:space="preserve"> / </w:t>
      </w:r>
      <w:proofErr w:type="spellStart"/>
      <w:r w:rsidRPr="003436C2">
        <w:rPr>
          <w:rFonts w:ascii="Times New Roman" w:hAnsi="Times New Roman" w:cs="Times New Roman"/>
          <w:i/>
          <w:iCs/>
          <w:lang w:val="de-DE"/>
        </w:rPr>
        <w:t>Három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lutheri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hitvallás</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Magyarországon</w:t>
      </w:r>
      <w:proofErr w:type="spellEnd"/>
      <w:r w:rsidRPr="003436C2">
        <w:rPr>
          <w:rFonts w:ascii="Times New Roman" w:hAnsi="Times New Roman" w:cs="Times New Roman"/>
          <w:i/>
          <w:iCs/>
          <w:lang w:val="de-DE"/>
        </w:rPr>
        <w:t xml:space="preserve"> / Drei lutherische Glaubensbekenntnisse aus Ungarn</w:t>
      </w:r>
      <w:r w:rsidRPr="003436C2">
        <w:rPr>
          <w:rFonts w:ascii="Times New Roman" w:hAnsi="Times New Roman" w:cs="Times New Roman"/>
          <w:lang w:val="de-DE"/>
        </w:rPr>
        <w:t xml:space="preserve">. </w:t>
      </w:r>
      <w:proofErr w:type="spellStart"/>
      <w:r w:rsidRPr="003436C2">
        <w:rPr>
          <w:rFonts w:ascii="Times New Roman" w:hAnsi="Times New Roman" w:cs="Times New Roman"/>
        </w:rPr>
        <w:t>Prešov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Vydavateľstvo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Prešovskej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univerzity</w:t>
      </w:r>
      <w:proofErr w:type="spellEnd"/>
      <w:r w:rsidRPr="003436C2">
        <w:rPr>
          <w:rFonts w:ascii="Times New Roman" w:hAnsi="Times New Roman" w:cs="Times New Roman"/>
        </w:rPr>
        <w:t>, 2013. </w:t>
      </w:r>
      <w:hyperlink r:id="rId51" w:anchor="fnref1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21FA67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de-DE"/>
        </w:rPr>
        <w:t>CSEPREGI, Z.: Die Confessio Pentapolitana: Fragen nach Autorschaft und Datierung. In: KÓNYA, P. (ed.): </w:t>
      </w:r>
      <w:r w:rsidRPr="003436C2">
        <w:rPr>
          <w:rFonts w:ascii="Times New Roman" w:hAnsi="Times New Roman" w:cs="Times New Roman"/>
          <w:i/>
          <w:iCs/>
          <w:lang w:val="de-DE"/>
        </w:rPr>
        <w:t>„</w:t>
      </w:r>
      <w:proofErr w:type="spellStart"/>
      <w:r w:rsidRPr="003436C2">
        <w:rPr>
          <w:rFonts w:ascii="Times New Roman" w:hAnsi="Times New Roman" w:cs="Times New Roman"/>
          <w:i/>
          <w:iCs/>
          <w:lang w:val="de-DE"/>
        </w:rPr>
        <w:t>Nezameniteľné</w:t>
      </w:r>
      <w:proofErr w:type="spellEnd"/>
      <w:r w:rsidRPr="003436C2">
        <w:rPr>
          <w:rFonts w:ascii="Times New Roman" w:hAnsi="Times New Roman" w:cs="Times New Roman"/>
          <w:i/>
          <w:iCs/>
          <w:lang w:val="de-DE"/>
        </w:rPr>
        <w:t xml:space="preserve"> je </w:t>
      </w:r>
      <w:proofErr w:type="spellStart"/>
      <w:r w:rsidRPr="003436C2">
        <w:rPr>
          <w:rFonts w:ascii="Times New Roman" w:hAnsi="Times New Roman" w:cs="Times New Roman"/>
          <w:i/>
          <w:iCs/>
          <w:lang w:val="de-DE"/>
        </w:rPr>
        <w:t>dedičstvo</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otcov</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Štúdie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dejinám</w:t>
      </w:r>
      <w:proofErr w:type="spellEnd"/>
      <w:r w:rsidRPr="003436C2">
        <w:rPr>
          <w:rFonts w:ascii="Times New Roman" w:hAnsi="Times New Roman" w:cs="Times New Roman"/>
          <w:i/>
          <w:iCs/>
          <w:lang w:val="de-DE"/>
        </w:rPr>
        <w:t xml:space="preserve"> a </w:t>
      </w:r>
      <w:proofErr w:type="spellStart"/>
      <w:r w:rsidRPr="003436C2">
        <w:rPr>
          <w:rFonts w:ascii="Times New Roman" w:hAnsi="Times New Roman" w:cs="Times New Roman"/>
          <w:i/>
          <w:iCs/>
          <w:lang w:val="de-DE"/>
        </w:rPr>
        <w:lastRenderedPageBreak/>
        <w:t>súčasnosti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protestantizmu</w:t>
      </w:r>
      <w:proofErr w:type="spellEnd"/>
      <w:r w:rsidRPr="003436C2">
        <w:rPr>
          <w:rFonts w:ascii="Times New Roman" w:hAnsi="Times New Roman" w:cs="Times New Roman"/>
          <w:i/>
          <w:iCs/>
          <w:lang w:val="de-DE"/>
        </w:rPr>
        <w:t xml:space="preserve"> v </w:t>
      </w:r>
      <w:proofErr w:type="spellStart"/>
      <w:r w:rsidRPr="003436C2">
        <w:rPr>
          <w:rFonts w:ascii="Times New Roman" w:hAnsi="Times New Roman" w:cs="Times New Roman"/>
          <w:i/>
          <w:iCs/>
          <w:lang w:val="de-DE"/>
        </w:rPr>
        <w:t>strednej</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Európe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osemdesiatym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narodeninám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biskupa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Jána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Midriaka</w:t>
      </w:r>
      <w:proofErr w:type="spellEnd"/>
      <w:r w:rsidRPr="003436C2">
        <w:rPr>
          <w:rFonts w:ascii="Times New Roman" w:hAnsi="Times New Roman" w:cs="Times New Roman"/>
          <w:lang w:val="de-DE"/>
        </w:rPr>
        <w:t xml:space="preserve">. </w:t>
      </w:r>
      <w:r w:rsidRPr="003436C2">
        <w:rPr>
          <w:rFonts w:ascii="Times New Roman" w:hAnsi="Times New Roman" w:cs="Times New Roman"/>
        </w:rPr>
        <w:t xml:space="preserve">Acta </w:t>
      </w:r>
      <w:proofErr w:type="spellStart"/>
      <w:r w:rsidRPr="003436C2">
        <w:rPr>
          <w:rFonts w:ascii="Times New Roman" w:hAnsi="Times New Roman" w:cs="Times New Roman"/>
        </w:rPr>
        <w:t>Collegii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Evangelici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Prešoviensis</w:t>
      </w:r>
      <w:proofErr w:type="spellEnd"/>
      <w:r w:rsidRPr="003436C2">
        <w:rPr>
          <w:rFonts w:ascii="Times New Roman" w:hAnsi="Times New Roman" w:cs="Times New Roman"/>
        </w:rPr>
        <w:t xml:space="preserve"> X. </w:t>
      </w:r>
      <w:proofErr w:type="spellStart"/>
      <w:r w:rsidRPr="003436C2">
        <w:rPr>
          <w:rFonts w:ascii="Times New Roman" w:hAnsi="Times New Roman" w:cs="Times New Roman"/>
        </w:rPr>
        <w:t>Prešov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2009, pp. 73 – 85, here pp. 73 – 76. This corrects an older protestant-historiographical reading that took the 1548 diet's measures as constituting a </w:t>
      </w:r>
      <w:r w:rsidRPr="003436C2">
        <w:rPr>
          <w:rFonts w:ascii="Times New Roman" w:hAnsi="Times New Roman" w:cs="Times New Roman"/>
          <w:i/>
          <w:iCs/>
        </w:rPr>
        <w:t>de facto</w:t>
      </w:r>
      <w:r w:rsidRPr="003436C2">
        <w:rPr>
          <w:rFonts w:ascii="Times New Roman" w:hAnsi="Times New Roman" w:cs="Times New Roman"/>
        </w:rPr>
        <w:t> toleration of the Augsburg Confession; Csepregi shows that the diet aimed at </w:t>
      </w:r>
      <w:proofErr w:type="spellStart"/>
      <w:r w:rsidRPr="003436C2">
        <w:rPr>
          <w:rFonts w:ascii="Times New Roman" w:hAnsi="Times New Roman" w:cs="Times New Roman"/>
          <w:i/>
          <w:iCs/>
        </w:rPr>
        <w:t>reformatio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catholica</w:t>
      </w:r>
      <w:proofErr w:type="spellEnd"/>
      <w:r w:rsidRPr="003436C2">
        <w:rPr>
          <w:rFonts w:ascii="Times New Roman" w:hAnsi="Times New Roman" w:cs="Times New Roman"/>
        </w:rPr>
        <w:t> and that the Lutheran population had to defend its orthodoxy under sustained pressure rather than under royal protection. </w:t>
      </w:r>
      <w:hyperlink r:id="rId52" w:anchor="fnref1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3414D97"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50 – 60 (the 1558 synod and adiaphora), pp. 73 – 77 (private confession and Eucharistic preparation in the 1558 synod, the 1580 regulations,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w:t>
      </w:r>
      <w:hyperlink r:id="rId53" w:anchor="fnref1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B4A5C1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 131. </w:t>
      </w:r>
      <w:hyperlink r:id="rId54" w:anchor="fnref1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EBBE51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131 – 150 </w:t>
      </w:r>
      <w:r w:rsidRPr="003436C2">
        <w:rPr>
          <w:rFonts w:ascii="Times New Roman" w:hAnsi="Times New Roman" w:cs="Times New Roman"/>
          <w:i/>
          <w:iCs/>
          <w:lang w:val="pt-PT"/>
        </w:rPr>
        <w:t>passim</w:t>
      </w:r>
      <w:r w:rsidRPr="003436C2">
        <w:rPr>
          <w:rFonts w:ascii="Times New Roman" w:hAnsi="Times New Roman" w:cs="Times New Roman"/>
          <w:lang w:val="pt-PT"/>
        </w:rPr>
        <w:t xml:space="preserve">. </w:t>
      </w:r>
      <w:r w:rsidRPr="003436C2">
        <w:rPr>
          <w:rFonts w:ascii="Times New Roman" w:hAnsi="Times New Roman" w:cs="Times New Roman"/>
        </w:rPr>
        <w:t>The structural homology with the Lutheran Mass-orders of the German lands is discussed in Benka's introductory study at pp. 60 – 70. </w:t>
      </w:r>
      <w:hyperlink r:id="rId55" w:anchor="fnref1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94FFA60"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For Luther's terminological retention, see LUTHER, M.: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communionis</w:t>
      </w:r>
      <w:proofErr w:type="spellEnd"/>
      <w:r w:rsidRPr="003436C2">
        <w:rPr>
          <w:rFonts w:ascii="Times New Roman" w:hAnsi="Times New Roman" w:cs="Times New Roman"/>
          <w:i/>
          <w:iCs/>
        </w:rPr>
        <w:t xml:space="preserve"> pro ecclesia </w:t>
      </w:r>
      <w:proofErr w:type="spellStart"/>
      <w:r w:rsidRPr="003436C2">
        <w:rPr>
          <w:rFonts w:ascii="Times New Roman" w:hAnsi="Times New Roman" w:cs="Times New Roman"/>
          <w:i/>
          <w:iCs/>
        </w:rPr>
        <w:t>Vuittembergensi</w:t>
      </w:r>
      <w:proofErr w:type="spellEnd"/>
      <w:r w:rsidRPr="003436C2">
        <w:rPr>
          <w:rFonts w:ascii="Times New Roman" w:hAnsi="Times New Roman" w:cs="Times New Roman"/>
        </w:rPr>
        <w:t xml:space="preserve"> (1523). </w:t>
      </w:r>
      <w:r w:rsidRPr="003436C2">
        <w:rPr>
          <w:rFonts w:ascii="Times New Roman" w:hAnsi="Times New Roman" w:cs="Times New Roman"/>
          <w:lang w:val="de-DE"/>
        </w:rPr>
        <w:t>In: </w:t>
      </w:r>
      <w:r w:rsidRPr="003436C2">
        <w:rPr>
          <w:rFonts w:ascii="Times New Roman" w:hAnsi="Times New Roman" w:cs="Times New Roman"/>
          <w:i/>
          <w:iCs/>
          <w:lang w:val="de-DE"/>
        </w:rPr>
        <w:t>D. Martin Luthers Werke. Kritische Gesamtausgabe</w:t>
      </w:r>
      <w:r w:rsidRPr="003436C2">
        <w:rPr>
          <w:rFonts w:ascii="Times New Roman" w:hAnsi="Times New Roman" w:cs="Times New Roman"/>
          <w:lang w:val="de-DE"/>
        </w:rPr>
        <w:t xml:space="preserve"> [WA], vol. 12. Weimar: Hermann Böhlau, 1891, pp. 205 – 220. </w:t>
      </w:r>
      <w:r w:rsidRPr="003436C2">
        <w:rPr>
          <w:rFonts w:ascii="Times New Roman" w:hAnsi="Times New Roman" w:cs="Times New Roman"/>
        </w:rPr>
        <w:t>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adoption of this convention is consistent with the Wittenberg-derived agenda traditions on which Benka shows it </w:t>
      </w:r>
      <w:proofErr w:type="gramStart"/>
      <w:r w:rsidRPr="003436C2">
        <w:rPr>
          <w:rFonts w:ascii="Times New Roman" w:hAnsi="Times New Roman" w:cs="Times New Roman"/>
        </w:rPr>
        <w:t>depends:</w:t>
      </w:r>
      <w:proofErr w:type="gramEnd"/>
      <w:r w:rsidRPr="003436C2">
        <w:rPr>
          <w:rFonts w:ascii="Times New Roman" w:hAnsi="Times New Roman" w:cs="Times New Roman"/>
        </w:rPr>
        <w:t xml:space="preserve"> BENKA, P. (ed.):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Neosoliensia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14 – 17. </w:t>
      </w:r>
      <w:hyperlink r:id="rId56" w:anchor="fnref1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C44DAB6"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142 – 143. </w:t>
      </w:r>
      <w:r w:rsidRPr="003436C2">
        <w:rPr>
          <w:rFonts w:ascii="Times New Roman" w:hAnsi="Times New Roman" w:cs="Times New Roman"/>
        </w:rPr>
        <w:t xml:space="preserve">The translation is mine. An exactly parallel formula immediately follows for the cup: "Toho </w:t>
      </w:r>
      <w:proofErr w:type="spellStart"/>
      <w:r w:rsidRPr="003436C2">
        <w:rPr>
          <w:rFonts w:ascii="Times New Roman" w:hAnsi="Times New Roman" w:cs="Times New Roman"/>
        </w:rPr>
        <w:t>na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gisté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dokázanij</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swědomij</w:t>
      </w:r>
      <w:proofErr w:type="spellEnd"/>
      <w:r w:rsidRPr="003436C2">
        <w:rPr>
          <w:rFonts w:ascii="Times New Roman" w:hAnsi="Times New Roman" w:cs="Times New Roman"/>
        </w:rPr>
        <w:t xml:space="preserve"> / </w:t>
      </w:r>
      <w:proofErr w:type="spellStart"/>
      <w:r w:rsidRPr="003436C2">
        <w:rPr>
          <w:rFonts w:ascii="Times New Roman" w:hAnsi="Times New Roman" w:cs="Times New Roman"/>
        </w:rPr>
        <w:t>dáwám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wám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mau</w:t>
      </w:r>
      <w:proofErr w:type="spellEnd"/>
      <w:r w:rsidRPr="003436C2">
        <w:rPr>
          <w:rFonts w:ascii="Times New Roman" w:hAnsi="Times New Roman" w:cs="Times New Roman"/>
        </w:rPr>
        <w:t xml:space="preserve"> Krew k </w:t>
      </w:r>
      <w:proofErr w:type="spellStart"/>
      <w:r w:rsidRPr="003436C2">
        <w:rPr>
          <w:rFonts w:ascii="Times New Roman" w:hAnsi="Times New Roman" w:cs="Times New Roman"/>
        </w:rPr>
        <w:t>nápogi</w:t>
      </w:r>
      <w:proofErr w:type="spellEnd"/>
      <w:r w:rsidRPr="003436C2">
        <w:rPr>
          <w:rFonts w:ascii="Times New Roman" w:hAnsi="Times New Roman" w:cs="Times New Roman"/>
        </w:rPr>
        <w:t>" ("For sure proof and testimony of this, I give you my Blood for drink"), p. 143. </w:t>
      </w:r>
      <w:hyperlink r:id="rId57" w:anchor="fnref17"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8876DE7"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 79. </w:t>
      </w:r>
      <w:r w:rsidRPr="003436C2">
        <w:rPr>
          <w:rFonts w:ascii="Times New Roman" w:hAnsi="Times New Roman" w:cs="Times New Roman"/>
        </w:rPr>
        <w:t>Benka cites the formula from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itself; the parallel passage in the rite proper is at p. 143 of the edition. </w:t>
      </w:r>
      <w:hyperlink r:id="rId58" w:anchor="fnref18"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E902570"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 79. </w:t>
      </w:r>
      <w:hyperlink r:id="rId59" w:anchor="fnref19"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AF91074"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 142. </w:t>
      </w:r>
      <w:hyperlink r:id="rId60" w:anchor="fnref20"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FF91905"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xml:space="preserve">, 2024, pp. 149 – 150 (Form 2 of the Thanksgiving). </w:t>
      </w:r>
      <w:proofErr w:type="gramStart"/>
      <w:r w:rsidRPr="003436C2">
        <w:rPr>
          <w:rFonts w:ascii="Times New Roman" w:hAnsi="Times New Roman" w:cs="Times New Roman"/>
        </w:rPr>
        <w:t>Form</w:t>
      </w:r>
      <w:proofErr w:type="gramEnd"/>
      <w:r w:rsidRPr="003436C2">
        <w:rPr>
          <w:rFonts w:ascii="Times New Roman" w:hAnsi="Times New Roman" w:cs="Times New Roman"/>
        </w:rPr>
        <w:t xml:space="preserve"> 1 of the Thanksgiving (p. 149) speaks more generically of "</w:t>
      </w:r>
      <w:proofErr w:type="spellStart"/>
      <w:r w:rsidRPr="003436C2">
        <w:rPr>
          <w:rFonts w:ascii="Times New Roman" w:hAnsi="Times New Roman" w:cs="Times New Roman"/>
        </w:rPr>
        <w:t>tyto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spasytedlné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dary</w:t>
      </w:r>
      <w:proofErr w:type="spellEnd"/>
      <w:r w:rsidRPr="003436C2">
        <w:rPr>
          <w:rFonts w:ascii="Times New Roman" w:hAnsi="Times New Roman" w:cs="Times New Roman"/>
        </w:rPr>
        <w:t xml:space="preserve">" </w:t>
      </w:r>
      <w:r w:rsidRPr="003436C2">
        <w:rPr>
          <w:rFonts w:ascii="Times New Roman" w:hAnsi="Times New Roman" w:cs="Times New Roman"/>
        </w:rPr>
        <w:lastRenderedPageBreak/>
        <w:t>("these salvific gifts</w:t>
      </w:r>
      <w:proofErr w:type="gramStart"/>
      <w:r w:rsidRPr="003436C2">
        <w:rPr>
          <w:rFonts w:ascii="Times New Roman" w:hAnsi="Times New Roman" w:cs="Times New Roman"/>
        </w:rPr>
        <w:t>") —</w:t>
      </w:r>
      <w:proofErr w:type="gramEnd"/>
      <w:r w:rsidRPr="003436C2">
        <w:rPr>
          <w:rFonts w:ascii="Times New Roman" w:hAnsi="Times New Roman" w:cs="Times New Roman"/>
        </w:rPr>
        <w:t xml:space="preserve"> even more open in its identification of what has been received. </w:t>
      </w:r>
      <w:hyperlink r:id="rId61" w:anchor="fnref2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3241975B"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265 – 368. </w:t>
      </w:r>
      <w:r w:rsidRPr="003436C2">
        <w:rPr>
          <w:rFonts w:ascii="Times New Roman" w:hAnsi="Times New Roman" w:cs="Times New Roman"/>
        </w:rPr>
        <w:t xml:space="preserve">The structural layout is </w:t>
      </w:r>
      <w:proofErr w:type="spellStart"/>
      <w:r w:rsidRPr="003436C2">
        <w:rPr>
          <w:rFonts w:ascii="Times New Roman" w:hAnsi="Times New Roman" w:cs="Times New Roman"/>
        </w:rPr>
        <w:t>summarised</w:t>
      </w:r>
      <w:proofErr w:type="spellEnd"/>
      <w:r w:rsidRPr="003436C2">
        <w:rPr>
          <w:rFonts w:ascii="Times New Roman" w:hAnsi="Times New Roman" w:cs="Times New Roman"/>
        </w:rPr>
        <w:t xml:space="preserve"> </w:t>
      </w:r>
      <w:proofErr w:type="gramStart"/>
      <w:r w:rsidRPr="003436C2">
        <w:rPr>
          <w:rFonts w:ascii="Times New Roman" w:hAnsi="Times New Roman" w:cs="Times New Roman"/>
        </w:rPr>
        <w:t>at p.</w:t>
      </w:r>
      <w:proofErr w:type="gramEnd"/>
      <w:r w:rsidRPr="003436C2">
        <w:rPr>
          <w:rFonts w:ascii="Times New Roman" w:hAnsi="Times New Roman" w:cs="Times New Roman"/>
        </w:rPr>
        <w:t xml:space="preserve"> 105 of Benka's editorial methodology. </w:t>
      </w:r>
      <w:hyperlink r:id="rId62" w:anchor="fnref2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9583CE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77 – 78. </w:t>
      </w:r>
      <w:r w:rsidRPr="003436C2">
        <w:rPr>
          <w:rFonts w:ascii="Times New Roman" w:hAnsi="Times New Roman" w:cs="Times New Roman"/>
        </w:rPr>
        <w:t>Benka discusses Georg Creutzer's handbook, in which the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was listed among the doctrinal markers for identifying crypto-Calvinist clergy. </w:t>
      </w:r>
      <w:hyperlink r:id="rId63" w:anchor="fnref2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692612C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78 – 79. </w:t>
      </w:r>
      <w:hyperlink r:id="rId64" w:anchor="fnref2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4AB75D1"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For the Latin and German texts of the Formula of Concord, Solid Declaration, Article VII (1577), see KOLB, R. – WENGERT, T. J. (eds.): </w:t>
      </w:r>
      <w:r w:rsidRPr="003436C2">
        <w:rPr>
          <w:rFonts w:ascii="Times New Roman" w:hAnsi="Times New Roman" w:cs="Times New Roman"/>
          <w:i/>
          <w:iCs/>
        </w:rPr>
        <w:t>The Book of Concord: The Confessions of the Evangelical Lutheran Church</w:t>
      </w:r>
      <w:r w:rsidRPr="003436C2">
        <w:rPr>
          <w:rFonts w:ascii="Times New Roman" w:hAnsi="Times New Roman" w:cs="Times New Roman"/>
        </w:rPr>
        <w:t>. Minneapolis: Fortress Press, 2000, pp. 591 – 615; for the older Triglot edition (Latin, German, English in parallel), see BENTE, F. – DAU, W. H. T. (eds.): </w:t>
      </w:r>
      <w:r w:rsidRPr="003436C2">
        <w:rPr>
          <w:rFonts w:ascii="Times New Roman" w:hAnsi="Times New Roman" w:cs="Times New Roman"/>
          <w:i/>
          <w:iCs/>
        </w:rPr>
        <w:t xml:space="preserve">Concordia </w:t>
      </w:r>
      <w:proofErr w:type="spellStart"/>
      <w:r w:rsidRPr="003436C2">
        <w:rPr>
          <w:rFonts w:ascii="Times New Roman" w:hAnsi="Times New Roman" w:cs="Times New Roman"/>
          <w:i/>
          <w:iCs/>
        </w:rPr>
        <w:t>Triglotta</w:t>
      </w:r>
      <w:proofErr w:type="spellEnd"/>
      <w:r w:rsidRPr="003436C2">
        <w:rPr>
          <w:rFonts w:ascii="Times New Roman" w:hAnsi="Times New Roman" w:cs="Times New Roman"/>
        </w:rPr>
        <w:t>. St. Louis: Concordia Publishing House, 1921, pp. 971 – 1015. The corresponding Latin formula of FC SD VII reads: "</w:t>
      </w:r>
      <w:proofErr w:type="spellStart"/>
      <w:r w:rsidRPr="003436C2">
        <w:rPr>
          <w:rFonts w:ascii="Times New Roman" w:hAnsi="Times New Roman" w:cs="Times New Roman"/>
          <w:i/>
          <w:iCs/>
        </w:rPr>
        <w:t>Veracissime</w:t>
      </w:r>
      <w:proofErr w:type="spellEnd"/>
      <w:r w:rsidRPr="003436C2">
        <w:rPr>
          <w:rFonts w:ascii="Times New Roman" w:hAnsi="Times New Roman" w:cs="Times New Roman"/>
          <w:i/>
          <w:iCs/>
        </w:rPr>
        <w:t xml:space="preserve"> non solum </w:t>
      </w:r>
      <w:proofErr w:type="spellStart"/>
      <w:r w:rsidRPr="003436C2">
        <w:rPr>
          <w:rFonts w:ascii="Times New Roman" w:hAnsi="Times New Roman" w:cs="Times New Roman"/>
          <w:i/>
          <w:iCs/>
        </w:rPr>
        <w:t>vere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credentes</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digni</w:t>
      </w:r>
      <w:proofErr w:type="spellEnd"/>
      <w:r w:rsidRPr="003436C2">
        <w:rPr>
          <w:rFonts w:ascii="Times New Roman" w:hAnsi="Times New Roman" w:cs="Times New Roman"/>
          <w:i/>
          <w:iCs/>
        </w:rPr>
        <w:t xml:space="preserve">, sed </w:t>
      </w:r>
      <w:proofErr w:type="spellStart"/>
      <w:r w:rsidRPr="003436C2">
        <w:rPr>
          <w:rFonts w:ascii="Times New Roman" w:hAnsi="Times New Roman" w:cs="Times New Roman"/>
          <w:i/>
          <w:iCs/>
        </w:rPr>
        <w:t>etiam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indigni</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increduli</w:t>
      </w:r>
      <w:proofErr w:type="spellEnd"/>
      <w:r w:rsidRPr="003436C2">
        <w:rPr>
          <w:rFonts w:ascii="Times New Roman" w:hAnsi="Times New Roman" w:cs="Times New Roman"/>
          <w:i/>
          <w:iCs/>
        </w:rPr>
        <w:t xml:space="preserve"> verum corpus et verum </w:t>
      </w:r>
      <w:proofErr w:type="spellStart"/>
      <w:r w:rsidRPr="003436C2">
        <w:rPr>
          <w:rFonts w:ascii="Times New Roman" w:hAnsi="Times New Roman" w:cs="Times New Roman"/>
          <w:i/>
          <w:iCs/>
        </w:rPr>
        <w:t>sanguinem</w:t>
      </w:r>
      <w:proofErr w:type="spellEnd"/>
      <w:r w:rsidRPr="003436C2">
        <w:rPr>
          <w:rFonts w:ascii="Times New Roman" w:hAnsi="Times New Roman" w:cs="Times New Roman"/>
          <w:i/>
          <w:iCs/>
        </w:rPr>
        <w:t xml:space="preserve"> Christi </w:t>
      </w:r>
      <w:proofErr w:type="spellStart"/>
      <w:r w:rsidRPr="003436C2">
        <w:rPr>
          <w:rFonts w:ascii="Times New Roman" w:hAnsi="Times New Roman" w:cs="Times New Roman"/>
          <w:i/>
          <w:iCs/>
        </w:rPr>
        <w:t>accipiant</w:t>
      </w:r>
      <w:proofErr w:type="spellEnd"/>
      <w:r w:rsidRPr="003436C2">
        <w:rPr>
          <w:rFonts w:ascii="Times New Roman" w:hAnsi="Times New Roman" w:cs="Times New Roman"/>
          <w:i/>
          <w:iCs/>
        </w:rPr>
        <w:t xml:space="preserve">; sed non ad </w:t>
      </w:r>
      <w:proofErr w:type="spellStart"/>
      <w:r w:rsidRPr="003436C2">
        <w:rPr>
          <w:rFonts w:ascii="Times New Roman" w:hAnsi="Times New Roman" w:cs="Times New Roman"/>
          <w:i/>
          <w:iCs/>
        </w:rPr>
        <w:t>vitam</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consolationem</w:t>
      </w:r>
      <w:proofErr w:type="spellEnd"/>
      <w:r w:rsidRPr="003436C2">
        <w:rPr>
          <w:rFonts w:ascii="Times New Roman" w:hAnsi="Times New Roman" w:cs="Times New Roman"/>
          <w:i/>
          <w:iCs/>
        </w:rPr>
        <w:t xml:space="preserve">, verum ad </w:t>
      </w:r>
      <w:proofErr w:type="spellStart"/>
      <w:r w:rsidRPr="003436C2">
        <w:rPr>
          <w:rFonts w:ascii="Times New Roman" w:hAnsi="Times New Roman" w:cs="Times New Roman"/>
          <w:i/>
          <w:iCs/>
        </w:rPr>
        <w:t>iudicium</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condemnationem</w:t>
      </w:r>
      <w:proofErr w:type="spellEnd"/>
      <w:r w:rsidRPr="003436C2">
        <w:rPr>
          <w:rFonts w:ascii="Times New Roman" w:hAnsi="Times New Roman" w:cs="Times New Roman"/>
        </w:rPr>
        <w:t>" (Triglot ed., p. 990, §16). </w:t>
      </w:r>
      <w:hyperlink r:id="rId65" w:anchor="fnref2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0D3DA1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78 – 79. </w:t>
      </w:r>
      <w:hyperlink r:id="rId66" w:anchor="fnref2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A62BEA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73 – 78. </w:t>
      </w:r>
      <w:r w:rsidRPr="003436C2">
        <w:rPr>
          <w:rFonts w:ascii="Times New Roman" w:hAnsi="Times New Roman" w:cs="Times New Roman"/>
        </w:rPr>
        <w:t>For broader context on post-Formula Lutheran disciplinary culture, see KOLB, R.: </w:t>
      </w:r>
      <w:r w:rsidRPr="003436C2">
        <w:rPr>
          <w:rFonts w:ascii="Times New Roman" w:hAnsi="Times New Roman" w:cs="Times New Roman"/>
          <w:i/>
          <w:iCs/>
        </w:rPr>
        <w:t>Lutheran Ecclesiastical Culture, 1550 – 1675</w:t>
      </w:r>
      <w:r w:rsidRPr="003436C2">
        <w:rPr>
          <w:rFonts w:ascii="Times New Roman" w:hAnsi="Times New Roman" w:cs="Times New Roman"/>
        </w:rPr>
        <w:t>. Brill's Companions to the Christian Tradition 11. Leiden: Brill, 2008. </w:t>
      </w:r>
      <w:hyperlink r:id="rId67" w:anchor="fnref27"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93826B2"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The personnel circulation between the Upper-Hungarian royal cities and the central mining towns is documented in: BODNÁROVÁ, M.: </w:t>
      </w:r>
      <w:proofErr w:type="spellStart"/>
      <w:r w:rsidRPr="003436C2">
        <w:rPr>
          <w:rFonts w:ascii="Times New Roman" w:hAnsi="Times New Roman" w:cs="Times New Roman"/>
        </w:rPr>
        <w:t>Reformácia</w:t>
      </w:r>
      <w:proofErr w:type="spellEnd"/>
      <w:r w:rsidRPr="003436C2">
        <w:rPr>
          <w:rFonts w:ascii="Times New Roman" w:hAnsi="Times New Roman" w:cs="Times New Roman"/>
        </w:rPr>
        <w:t xml:space="preserve"> v </w:t>
      </w:r>
      <w:proofErr w:type="spellStart"/>
      <w:r w:rsidRPr="003436C2">
        <w:rPr>
          <w:rFonts w:ascii="Times New Roman" w:hAnsi="Times New Roman" w:cs="Times New Roman"/>
        </w:rPr>
        <w:t>hornouhorských</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slobodných</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kráľovských</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mestách</w:t>
      </w:r>
      <w:proofErr w:type="spellEnd"/>
      <w:r w:rsidRPr="003436C2">
        <w:rPr>
          <w:rFonts w:ascii="Times New Roman" w:hAnsi="Times New Roman" w:cs="Times New Roman"/>
        </w:rPr>
        <w:t xml:space="preserve"> v 16. </w:t>
      </w:r>
      <w:proofErr w:type="spellStart"/>
      <w:r w:rsidRPr="003436C2">
        <w:rPr>
          <w:rFonts w:ascii="Times New Roman" w:hAnsi="Times New Roman" w:cs="Times New Roman"/>
        </w:rPr>
        <w:t>storočí</w:t>
      </w:r>
      <w:proofErr w:type="spellEnd"/>
      <w:r w:rsidRPr="003436C2">
        <w:rPr>
          <w:rFonts w:ascii="Times New Roman" w:hAnsi="Times New Roman" w:cs="Times New Roman"/>
        </w:rPr>
        <w:t>. In: KÓNYOVÁ, A. – KÓNYA, P. (eds.): </w:t>
      </w:r>
      <w:proofErr w:type="spellStart"/>
      <w:r w:rsidRPr="003436C2">
        <w:rPr>
          <w:rFonts w:ascii="Times New Roman" w:hAnsi="Times New Roman" w:cs="Times New Roman"/>
          <w:i/>
          <w:iCs/>
        </w:rPr>
        <w:t>Reformácia</w:t>
      </w:r>
      <w:proofErr w:type="spellEnd"/>
      <w:r w:rsidRPr="003436C2">
        <w:rPr>
          <w:rFonts w:ascii="Times New Roman" w:hAnsi="Times New Roman" w:cs="Times New Roman"/>
          <w:i/>
          <w:iCs/>
        </w:rPr>
        <w:t xml:space="preserve"> v </w:t>
      </w:r>
      <w:proofErr w:type="spellStart"/>
      <w:r w:rsidRPr="003436C2">
        <w:rPr>
          <w:rFonts w:ascii="Times New Roman" w:hAnsi="Times New Roman" w:cs="Times New Roman"/>
          <w:i/>
          <w:iCs/>
        </w:rPr>
        <w:t>strednej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Európe</w:t>
      </w:r>
      <w:proofErr w:type="spellEnd"/>
      <w:r w:rsidRPr="003436C2">
        <w:rPr>
          <w:rFonts w:ascii="Times New Roman" w:hAnsi="Times New Roman" w:cs="Times New Roman"/>
          <w:i/>
          <w:iCs/>
        </w:rPr>
        <w:t xml:space="preserve"> / </w:t>
      </w:r>
      <w:proofErr w:type="spellStart"/>
      <w:r w:rsidRPr="003436C2">
        <w:rPr>
          <w:rFonts w:ascii="Times New Roman" w:hAnsi="Times New Roman" w:cs="Times New Roman"/>
          <w:i/>
          <w:iCs/>
        </w:rPr>
        <w:t>Reformáció</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Közép-Európában</w:t>
      </w:r>
      <w:proofErr w:type="spellEnd"/>
      <w:r w:rsidRPr="003436C2">
        <w:rPr>
          <w:rFonts w:ascii="Times New Roman" w:hAnsi="Times New Roman" w:cs="Times New Roman"/>
          <w:i/>
          <w:iCs/>
        </w:rPr>
        <w:t xml:space="preserve"> / Reformation in Mittel-Europa I</w:t>
      </w:r>
      <w:r w:rsidRPr="003436C2">
        <w:rPr>
          <w:rFonts w:ascii="Times New Roman" w:hAnsi="Times New Roman" w:cs="Times New Roman"/>
        </w:rPr>
        <w:t xml:space="preserve">. </w:t>
      </w:r>
      <w:proofErr w:type="spellStart"/>
      <w:r w:rsidRPr="003436C2">
        <w:rPr>
          <w:rFonts w:ascii="Times New Roman" w:hAnsi="Times New Roman" w:cs="Times New Roman"/>
        </w:rPr>
        <w:t>Prešov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Vydavateľstvo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Prešovskej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univerzity</w:t>
      </w:r>
      <w:proofErr w:type="spellEnd"/>
      <w:r w:rsidRPr="003436C2">
        <w:rPr>
          <w:rFonts w:ascii="Times New Roman" w:hAnsi="Times New Roman" w:cs="Times New Roman"/>
        </w:rPr>
        <w:t xml:space="preserve">, 2018, pp. 132 – 153, here p. 142, fn. 63, documenting a 1540 dispute between </w:t>
      </w:r>
      <w:proofErr w:type="spellStart"/>
      <w:r w:rsidRPr="003436C2">
        <w:rPr>
          <w:rFonts w:ascii="Times New Roman" w:hAnsi="Times New Roman" w:cs="Times New Roman"/>
        </w:rPr>
        <w:t>Bardejov</w:t>
      </w:r>
      <w:proofErr w:type="spellEnd"/>
      <w:r w:rsidRPr="003436C2">
        <w:rPr>
          <w:rFonts w:ascii="Times New Roman" w:hAnsi="Times New Roman" w:cs="Times New Roman"/>
        </w:rPr>
        <w:t xml:space="preserve"> and the town council of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when </w:t>
      </w:r>
      <w:proofErr w:type="spellStart"/>
      <w:r w:rsidRPr="003436C2">
        <w:rPr>
          <w:rFonts w:ascii="Times New Roman" w:hAnsi="Times New Roman" w:cs="Times New Roman"/>
        </w:rPr>
        <w:t>Bardejov</w:t>
      </w:r>
      <w:proofErr w:type="spellEnd"/>
      <w:r w:rsidRPr="003436C2">
        <w:rPr>
          <w:rFonts w:ascii="Times New Roman" w:hAnsi="Times New Roman" w:cs="Times New Roman"/>
        </w:rPr>
        <w:t xml:space="preserve"> attempted to recruit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Bystrica's</w:t>
      </w:r>
      <w:proofErr w:type="spellEnd"/>
      <w:r w:rsidRPr="003436C2">
        <w:rPr>
          <w:rFonts w:ascii="Times New Roman" w:hAnsi="Times New Roman" w:cs="Times New Roman"/>
        </w:rPr>
        <w:t xml:space="preserve"> German preacher Bartolomej Franck — concrete documentary evidence of clerical mobility (and competition for it) between the Pentapolitana and the central mining-town milieu. </w:t>
      </w:r>
      <w:hyperlink r:id="rId68" w:anchor="fnref28"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A3125F9"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265 – 302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confession and Eucharistic-preparation material). </w:t>
      </w:r>
      <w:hyperlink r:id="rId69" w:anchor="fnref29"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A8A9AD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lastRenderedPageBreak/>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73 – 77. </w:t>
      </w:r>
      <w:hyperlink r:id="rId70" w:anchor="fnref30"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263450F"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The formula </w:t>
      </w:r>
      <w:proofErr w:type="spellStart"/>
      <w:r w:rsidRPr="003436C2">
        <w:rPr>
          <w:rFonts w:ascii="Times New Roman" w:hAnsi="Times New Roman" w:cs="Times New Roman"/>
          <w:i/>
          <w:iCs/>
        </w:rPr>
        <w:t>legem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credendi</w:t>
      </w:r>
      <w:proofErr w:type="spellEnd"/>
      <w:r w:rsidRPr="003436C2">
        <w:rPr>
          <w:rFonts w:ascii="Times New Roman" w:hAnsi="Times New Roman" w:cs="Times New Roman"/>
          <w:i/>
          <w:iCs/>
        </w:rPr>
        <w:t xml:space="preserve"> lex </w:t>
      </w:r>
      <w:proofErr w:type="spellStart"/>
      <w:r w:rsidRPr="003436C2">
        <w:rPr>
          <w:rFonts w:ascii="Times New Roman" w:hAnsi="Times New Roman" w:cs="Times New Roman"/>
          <w:i/>
          <w:iCs/>
        </w:rPr>
        <w:t>statuat</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supplicandi</w:t>
      </w:r>
      <w:proofErr w:type="spellEnd"/>
      <w:r w:rsidRPr="003436C2">
        <w:rPr>
          <w:rFonts w:ascii="Times New Roman" w:hAnsi="Times New Roman" w:cs="Times New Roman"/>
        </w:rPr>
        <w:t> derives from PROSPER OF AQUITAINE: </w:t>
      </w:r>
      <w:proofErr w:type="spellStart"/>
      <w:r w:rsidRPr="003436C2">
        <w:rPr>
          <w:rFonts w:ascii="Times New Roman" w:hAnsi="Times New Roman" w:cs="Times New Roman"/>
          <w:i/>
          <w:iCs/>
        </w:rPr>
        <w:t>Praeteritorum</w:t>
      </w:r>
      <w:proofErr w:type="spellEnd"/>
      <w:r w:rsidRPr="003436C2">
        <w:rPr>
          <w:rFonts w:ascii="Times New Roman" w:hAnsi="Times New Roman" w:cs="Times New Roman"/>
          <w:i/>
          <w:iCs/>
        </w:rPr>
        <w:t xml:space="preserve"> Sedis Apostolicae </w:t>
      </w:r>
      <w:proofErr w:type="spellStart"/>
      <w:r w:rsidRPr="003436C2">
        <w:rPr>
          <w:rFonts w:ascii="Times New Roman" w:hAnsi="Times New Roman" w:cs="Times New Roman"/>
          <w:i/>
          <w:iCs/>
        </w:rPr>
        <w:t>episcoporum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auctoritates</w:t>
      </w:r>
      <w:proofErr w:type="spellEnd"/>
      <w:r w:rsidRPr="003436C2">
        <w:rPr>
          <w:rFonts w:ascii="Times New Roman" w:hAnsi="Times New Roman" w:cs="Times New Roman"/>
          <w:i/>
          <w:iCs/>
        </w:rPr>
        <w:t xml:space="preserve"> de gratia Dei</w:t>
      </w:r>
      <w:r w:rsidRPr="003436C2">
        <w:rPr>
          <w:rFonts w:ascii="Times New Roman" w:hAnsi="Times New Roman" w:cs="Times New Roman"/>
        </w:rPr>
        <w:t> (also known as the </w:t>
      </w:r>
      <w:proofErr w:type="spellStart"/>
      <w:r w:rsidRPr="003436C2">
        <w:rPr>
          <w:rFonts w:ascii="Times New Roman" w:hAnsi="Times New Roman" w:cs="Times New Roman"/>
          <w:i/>
          <w:iCs/>
        </w:rPr>
        <w:t>Indiculus</w:t>
      </w:r>
      <w:proofErr w:type="spellEnd"/>
      <w:r w:rsidRPr="003436C2">
        <w:rPr>
          <w:rFonts w:ascii="Times New Roman" w:hAnsi="Times New Roman" w:cs="Times New Roman"/>
          <w:i/>
          <w:iCs/>
        </w:rPr>
        <w:t xml:space="preserve"> de gratia Dei</w:t>
      </w:r>
      <w:r w:rsidRPr="003436C2">
        <w:rPr>
          <w:rFonts w:ascii="Times New Roman" w:hAnsi="Times New Roman" w:cs="Times New Roman"/>
        </w:rPr>
        <w:t> or the </w:t>
      </w:r>
      <w:r w:rsidRPr="003436C2">
        <w:rPr>
          <w:rFonts w:ascii="Times New Roman" w:hAnsi="Times New Roman" w:cs="Times New Roman"/>
          <w:i/>
          <w:iCs/>
        </w:rPr>
        <w:t>Capitula pseudo-</w:t>
      </w:r>
      <w:proofErr w:type="spellStart"/>
      <w:r w:rsidRPr="003436C2">
        <w:rPr>
          <w:rFonts w:ascii="Times New Roman" w:hAnsi="Times New Roman" w:cs="Times New Roman"/>
          <w:i/>
          <w:iCs/>
        </w:rPr>
        <w:t>Caelestini</w:t>
      </w:r>
      <w:proofErr w:type="spellEnd"/>
      <w:r w:rsidRPr="003436C2">
        <w:rPr>
          <w:rFonts w:ascii="Times New Roman" w:hAnsi="Times New Roman" w:cs="Times New Roman"/>
        </w:rPr>
        <w:t>), c. 8 (5th century); standard reference at </w:t>
      </w:r>
      <w:proofErr w:type="spellStart"/>
      <w:r w:rsidRPr="003436C2">
        <w:rPr>
          <w:rFonts w:ascii="Times New Roman" w:hAnsi="Times New Roman" w:cs="Times New Roman"/>
          <w:i/>
          <w:iCs/>
        </w:rPr>
        <w:t>Patrologia</w:t>
      </w:r>
      <w:proofErr w:type="spellEnd"/>
      <w:r w:rsidRPr="003436C2">
        <w:rPr>
          <w:rFonts w:ascii="Times New Roman" w:hAnsi="Times New Roman" w:cs="Times New Roman"/>
          <w:i/>
          <w:iCs/>
        </w:rPr>
        <w:t xml:space="preserve"> Latina</w:t>
      </w:r>
      <w:r w:rsidRPr="003436C2">
        <w:rPr>
          <w:rFonts w:ascii="Times New Roman" w:hAnsi="Times New Roman" w:cs="Times New Roman"/>
        </w:rPr>
        <w:t> 51, col. 209. The brief invocation here treats the formula as a methodological orientation rather than a settled hermeneutical principle; the modern history of its uses and abuses in liturgical theology is extensive and is not the topic of the present paper. </w:t>
      </w:r>
      <w:hyperlink r:id="rId71" w:anchor="fnref3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55D1C35" w14:textId="77777777" w:rsidR="003436C2" w:rsidRPr="003436C2" w:rsidRDefault="003436C2" w:rsidP="003436C2">
      <w:pPr>
        <w:numPr>
          <w:ilvl w:val="0"/>
          <w:numId w:val="1"/>
        </w:numPr>
        <w:rPr>
          <w:rFonts w:ascii="Times New Roman" w:hAnsi="Times New Roman" w:cs="Times New Roman"/>
        </w:rPr>
      </w:pPr>
      <w:proofErr w:type="spellStart"/>
      <w:r w:rsidRPr="003436C2">
        <w:rPr>
          <w:rFonts w:ascii="Times New Roman" w:hAnsi="Times New Roman" w:cs="Times New Roman"/>
          <w:lang w:val="de-DE"/>
        </w:rPr>
        <w:t>For</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w:t>
      </w:r>
      <w:proofErr w:type="spellEnd"/>
      <w:r w:rsidRPr="003436C2">
        <w:rPr>
          <w:rFonts w:ascii="Times New Roman" w:hAnsi="Times New Roman" w:cs="Times New Roman"/>
          <w:lang w:val="de-DE"/>
        </w:rPr>
        <w:t xml:space="preserve"> classic </w:t>
      </w:r>
      <w:proofErr w:type="spellStart"/>
      <w:r w:rsidRPr="003436C2">
        <w:rPr>
          <w:rFonts w:ascii="Times New Roman" w:hAnsi="Times New Roman" w:cs="Times New Roman"/>
          <w:lang w:val="de-DE"/>
        </w:rPr>
        <w:t>articulations</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of</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confessionalisation</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thesis</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see</w:t>
      </w:r>
      <w:proofErr w:type="spellEnd"/>
      <w:r w:rsidRPr="003436C2">
        <w:rPr>
          <w:rFonts w:ascii="Times New Roman" w:hAnsi="Times New Roman" w:cs="Times New Roman"/>
          <w:lang w:val="de-DE"/>
        </w:rPr>
        <w:t xml:space="preserve"> SCHILLING, H.: Die Konfessionalisierung im Reich: Religiöser und gesellschaftlicher Wandel in Deutschland zwischen 1555 und 1620. In: </w:t>
      </w:r>
      <w:r w:rsidRPr="003436C2">
        <w:rPr>
          <w:rFonts w:ascii="Times New Roman" w:hAnsi="Times New Roman" w:cs="Times New Roman"/>
          <w:i/>
          <w:iCs/>
          <w:lang w:val="de-DE"/>
        </w:rPr>
        <w:t>Historische Zeitschrift</w:t>
      </w:r>
      <w:r w:rsidRPr="003436C2">
        <w:rPr>
          <w:rFonts w:ascii="Times New Roman" w:hAnsi="Times New Roman" w:cs="Times New Roman"/>
          <w:lang w:val="de-DE"/>
        </w:rPr>
        <w:t>, vol. 246 (1988), pp. 1 – 45; REINHARD, W.: Zwang zur Konfessionalisierung? Prolegomena zu einer Theorie des konfessionellen Zeitalters. In: </w:t>
      </w:r>
      <w:r w:rsidRPr="003436C2">
        <w:rPr>
          <w:rFonts w:ascii="Times New Roman" w:hAnsi="Times New Roman" w:cs="Times New Roman"/>
          <w:i/>
          <w:iCs/>
          <w:lang w:val="de-DE"/>
        </w:rPr>
        <w:t>Zeitschrift für Historische Forschung</w:t>
      </w:r>
      <w:r w:rsidRPr="003436C2">
        <w:rPr>
          <w:rFonts w:ascii="Times New Roman" w:hAnsi="Times New Roman" w:cs="Times New Roman"/>
          <w:lang w:val="de-DE"/>
        </w:rPr>
        <w:t xml:space="preserve">, vol. 10 (1983), pp. 257 – 277. </w:t>
      </w:r>
      <w:r w:rsidRPr="003436C2">
        <w:rPr>
          <w:rFonts w:ascii="Times New Roman" w:hAnsi="Times New Roman" w:cs="Times New Roman"/>
        </w:rPr>
        <w:t xml:space="preserve">The argument here extends the </w:t>
      </w:r>
      <w:proofErr w:type="spellStart"/>
      <w:r w:rsidRPr="003436C2">
        <w:rPr>
          <w:rFonts w:ascii="Times New Roman" w:hAnsi="Times New Roman" w:cs="Times New Roman"/>
        </w:rPr>
        <w:t>confessionalisation</w:t>
      </w:r>
      <w:proofErr w:type="spellEnd"/>
      <w:r w:rsidRPr="003436C2">
        <w:rPr>
          <w:rFonts w:ascii="Times New Roman" w:hAnsi="Times New Roman" w:cs="Times New Roman"/>
        </w:rPr>
        <w:t xml:space="preserve"> framework into the dimension of intra-confessional liturgical register, observable at the codex level. </w:t>
      </w:r>
      <w:hyperlink r:id="rId72" w:anchor="fnref3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600FC2DE"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For the older Calvinist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see, e.g., the "Bohemian Confession" entry in older editions of the </w:t>
      </w:r>
      <w:proofErr w:type="spellStart"/>
      <w:r w:rsidRPr="003436C2">
        <w:rPr>
          <w:rFonts w:ascii="Times New Roman" w:hAnsi="Times New Roman" w:cs="Times New Roman"/>
          <w:i/>
          <w:iCs/>
        </w:rPr>
        <w:t>Encyclopaedia</w:t>
      </w:r>
      <w:proofErr w:type="spellEnd"/>
      <w:r w:rsidRPr="003436C2">
        <w:rPr>
          <w:rFonts w:ascii="Times New Roman" w:hAnsi="Times New Roman" w:cs="Times New Roman"/>
          <w:i/>
          <w:iCs/>
        </w:rPr>
        <w:t xml:space="preserve"> Britannica</w:t>
      </w:r>
      <w:r w:rsidRPr="003436C2">
        <w:rPr>
          <w:rFonts w:ascii="Times New Roman" w:hAnsi="Times New Roman" w:cs="Times New Roman"/>
        </w:rPr>
        <w:t xml:space="preserve">, where the document has been described in terms that the Czech text does not support. The fuller historiographical engagement with this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and its philological refutation through close reading of the CB's Eucharistic article, is reserved for the forthcoming TEPALIT chapter. </w:t>
      </w:r>
      <w:hyperlink r:id="rId73" w:anchor="fnref3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7B39F8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The verbatim Czech formula </w:t>
      </w:r>
      <w:proofErr w:type="spellStart"/>
      <w:r w:rsidRPr="003436C2">
        <w:rPr>
          <w:rFonts w:ascii="Times New Roman" w:hAnsi="Times New Roman" w:cs="Times New Roman"/>
          <w:i/>
          <w:iCs/>
        </w:rPr>
        <w:t>duchovně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podstatně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věrou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také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ústy</w:t>
      </w:r>
      <w:proofErr w:type="spellEnd"/>
      <w:r w:rsidRPr="003436C2">
        <w:rPr>
          <w:rFonts w:ascii="Times New Roman" w:hAnsi="Times New Roman" w:cs="Times New Roman"/>
        </w:rPr>
        <w:t> appears in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Bohemica</w:t>
      </w:r>
      <w:r w:rsidRPr="003436C2">
        <w:rPr>
          <w:rFonts w:ascii="Times New Roman" w:hAnsi="Times New Roman" w:cs="Times New Roman"/>
        </w:rPr>
        <w:t>'s</w:t>
      </w:r>
      <w:proofErr w:type="spellEnd"/>
      <w:r w:rsidRPr="003436C2">
        <w:rPr>
          <w:rFonts w:ascii="Times New Roman" w:hAnsi="Times New Roman" w:cs="Times New Roman"/>
        </w:rPr>
        <w:t xml:space="preserve"> Eucharistic article. For the standard early Czech edition and the foundational historical study, see HREJSA, F.: </w:t>
      </w:r>
      <w:proofErr w:type="spellStart"/>
      <w:r w:rsidRPr="003436C2">
        <w:rPr>
          <w:rFonts w:ascii="Times New Roman" w:hAnsi="Times New Roman" w:cs="Times New Roman"/>
          <w:i/>
          <w:iCs/>
        </w:rPr>
        <w:t>Česká</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konfesse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její</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vznik</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podstata</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dějiny</w:t>
      </w:r>
      <w:proofErr w:type="spellEnd"/>
      <w:r w:rsidRPr="003436C2">
        <w:rPr>
          <w:rFonts w:ascii="Times New Roman" w:hAnsi="Times New Roman" w:cs="Times New Roman"/>
        </w:rPr>
        <w:t xml:space="preserve">. Praha: </w:t>
      </w:r>
      <w:proofErr w:type="spellStart"/>
      <w:r w:rsidRPr="003436C2">
        <w:rPr>
          <w:rFonts w:ascii="Times New Roman" w:hAnsi="Times New Roman" w:cs="Times New Roman"/>
        </w:rPr>
        <w:t>Česká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akademie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císaře</w:t>
      </w:r>
      <w:proofErr w:type="spellEnd"/>
      <w:r w:rsidRPr="003436C2">
        <w:rPr>
          <w:rFonts w:ascii="Times New Roman" w:hAnsi="Times New Roman" w:cs="Times New Roman"/>
        </w:rPr>
        <w:t xml:space="preserve"> Františka Josefa pro </w:t>
      </w:r>
      <w:proofErr w:type="spellStart"/>
      <w:r w:rsidRPr="003436C2">
        <w:rPr>
          <w:rFonts w:ascii="Times New Roman" w:hAnsi="Times New Roman" w:cs="Times New Roman"/>
        </w:rPr>
        <w:t>vědy</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slovesnost</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umění</w:t>
      </w:r>
      <w:proofErr w:type="spellEnd"/>
      <w:r w:rsidRPr="003436C2">
        <w:rPr>
          <w:rFonts w:ascii="Times New Roman" w:hAnsi="Times New Roman" w:cs="Times New Roman"/>
        </w:rPr>
        <w:t xml:space="preserve">, 1912, 818 pp. </w:t>
      </w:r>
      <w:proofErr w:type="gramStart"/>
      <w:r w:rsidRPr="003436C2">
        <w:rPr>
          <w:rFonts w:ascii="Times New Roman" w:hAnsi="Times New Roman" w:cs="Times New Roman"/>
        </w:rPr>
        <w:t>The both</w:t>
      </w:r>
      <w:proofErr w:type="gramEnd"/>
      <w:r w:rsidRPr="003436C2">
        <w:rPr>
          <w:rFonts w:ascii="Times New Roman" w:hAnsi="Times New Roman" w:cs="Times New Roman"/>
        </w:rPr>
        <w:t>/and irenic register and its philological details are treated in the forthcoming TEPALIT chapter. </w:t>
      </w:r>
      <w:hyperlink r:id="rId74" w:anchor="fnref3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0FBF8E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GREŠOVÁ-SEKELSKÁ, A.: </w:t>
      </w:r>
      <w:proofErr w:type="spellStart"/>
      <w:r w:rsidRPr="003436C2">
        <w:rPr>
          <w:rFonts w:ascii="Times New Roman" w:hAnsi="Times New Roman" w:cs="Times New Roman"/>
        </w:rPr>
        <w:t>Príspevok</w:t>
      </w:r>
      <w:proofErr w:type="spellEnd"/>
      <w:r w:rsidRPr="003436C2">
        <w:rPr>
          <w:rFonts w:ascii="Times New Roman" w:hAnsi="Times New Roman" w:cs="Times New Roman"/>
        </w:rPr>
        <w:t xml:space="preserve"> k </w:t>
      </w:r>
      <w:proofErr w:type="spellStart"/>
      <w:r w:rsidRPr="003436C2">
        <w:rPr>
          <w:rFonts w:ascii="Times New Roman" w:hAnsi="Times New Roman" w:cs="Times New Roman"/>
        </w:rPr>
        <w:t>vzniku</w:t>
      </w:r>
      <w:proofErr w:type="spellEnd"/>
      <w:r w:rsidRPr="003436C2">
        <w:rPr>
          <w:rFonts w:ascii="Times New Roman" w:hAnsi="Times New Roman" w:cs="Times New Roman"/>
        </w:rPr>
        <w:t xml:space="preserve"> </w:t>
      </w:r>
      <w:proofErr w:type="gramStart"/>
      <w:r w:rsidRPr="003436C2">
        <w:rPr>
          <w:rFonts w:ascii="Times New Roman" w:hAnsi="Times New Roman" w:cs="Times New Roman"/>
        </w:rPr>
        <w:t>a</w:t>
      </w:r>
      <w:proofErr w:type="gramEnd"/>
      <w:r w:rsidRPr="003436C2">
        <w:rPr>
          <w:rFonts w:ascii="Times New Roman" w:hAnsi="Times New Roman" w:cs="Times New Roman"/>
        </w:rPr>
        <w:t xml:space="preserve"> </w:t>
      </w:r>
      <w:proofErr w:type="spellStart"/>
      <w:r w:rsidRPr="003436C2">
        <w:rPr>
          <w:rFonts w:ascii="Times New Roman" w:hAnsi="Times New Roman" w:cs="Times New Roman"/>
        </w:rPr>
        <w:t>obsahu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Cithary</w:t>
      </w:r>
      <w:proofErr w:type="spellEnd"/>
      <w:r w:rsidRPr="003436C2">
        <w:rPr>
          <w:rFonts w:ascii="Times New Roman" w:hAnsi="Times New Roman" w:cs="Times New Roman"/>
        </w:rPr>
        <w:t xml:space="preserve"> sanctorum. In: </w:t>
      </w:r>
      <w:proofErr w:type="spellStart"/>
      <w:r w:rsidRPr="003436C2">
        <w:rPr>
          <w:rFonts w:ascii="Times New Roman" w:hAnsi="Times New Roman" w:cs="Times New Roman"/>
          <w:i/>
          <w:iCs/>
        </w:rPr>
        <w:t>Clavibus</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unitis</w:t>
      </w:r>
      <w:proofErr w:type="spellEnd"/>
      <w:r w:rsidRPr="003436C2">
        <w:rPr>
          <w:rFonts w:ascii="Times New Roman" w:hAnsi="Times New Roman" w:cs="Times New Roman"/>
        </w:rPr>
        <w:t xml:space="preserve">, vol. 10, no. 4 (2021), pp. 5 – 14, on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differential editorial strategy across confessionally neutral and confessionally weighted rubrics. See also </w:t>
      </w:r>
      <w:proofErr w:type="spellStart"/>
      <w:r w:rsidRPr="003436C2">
        <w:rPr>
          <w:rFonts w:ascii="Times New Roman" w:hAnsi="Times New Roman" w:cs="Times New Roman"/>
        </w:rPr>
        <w:t>Grešová-Sekelská</w:t>
      </w:r>
      <w:proofErr w:type="spellEnd"/>
      <w:r w:rsidRPr="003436C2">
        <w:rPr>
          <w:rFonts w:ascii="Times New Roman" w:hAnsi="Times New Roman" w:cs="Times New Roman"/>
        </w:rPr>
        <w:t xml:space="preserve"> 2023 (above, n. 4). </w:t>
      </w:r>
      <w:hyperlink r:id="rId75" w:anchor="fnref3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D8971B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VALČO, M.: </w:t>
      </w:r>
      <w:r w:rsidRPr="003436C2">
        <w:rPr>
          <w:rFonts w:ascii="Times New Roman" w:hAnsi="Times New Roman" w:cs="Times New Roman"/>
          <w:i/>
          <w:iCs/>
        </w:rPr>
        <w:t>TEPALIT Digital Companion: AC 1581 / BA 1585 / Cithara Sanctorum 1636 hymn-pair dossier</w:t>
      </w:r>
      <w:r w:rsidRPr="003436C2">
        <w:rPr>
          <w:rFonts w:ascii="Times New Roman" w:hAnsi="Times New Roman" w:cs="Times New Roman"/>
        </w:rPr>
        <w:t> (concept DOI: 10.5281/zenodo.20081435). Bratislava, 2026. CC BY 4.0. Record PAIR_006_AC_BA_EUCHARIST carries the trust signature FACTUAL / DOCUMENTED / VERIFIED; the verification dossier is published as part of the dataset. </w:t>
      </w:r>
      <w:hyperlink r:id="rId76" w:anchor="fnref3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24D5581" w14:textId="77777777" w:rsidR="00015F25" w:rsidRPr="003436C2" w:rsidRDefault="00015F25">
      <w:pPr>
        <w:rPr>
          <w:rFonts w:ascii="Times New Roman" w:hAnsi="Times New Roman" w:cs="Times New Roman"/>
        </w:rPr>
      </w:pPr>
    </w:p>
    <w:sectPr w:rsidR="00015F25" w:rsidRPr="003436C2" w:rsidSect="00F94CC6">
      <w:pgSz w:w="11906" w:h="16838" w:code="9"/>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144D6"/>
    <w:multiLevelType w:val="multilevel"/>
    <w:tmpl w:val="0F0C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913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6C2"/>
    <w:rsid w:val="00015F25"/>
    <w:rsid w:val="00070554"/>
    <w:rsid w:val="00115DA9"/>
    <w:rsid w:val="00182074"/>
    <w:rsid w:val="001B3C6C"/>
    <w:rsid w:val="003436C2"/>
    <w:rsid w:val="004267CB"/>
    <w:rsid w:val="00524666"/>
    <w:rsid w:val="0063440A"/>
    <w:rsid w:val="00796566"/>
    <w:rsid w:val="007B362D"/>
    <w:rsid w:val="00875153"/>
    <w:rsid w:val="00D70E86"/>
    <w:rsid w:val="00F94CC6"/>
    <w:rsid w:val="00F97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F5376"/>
  <w15:chartTrackingRefBased/>
  <w15:docId w15:val="{AAF7384E-8219-4026-A304-5FD2AAF39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6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6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6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6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6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6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6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6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6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6C2"/>
    <w:rPr>
      <w:rFonts w:eastAsiaTheme="majorEastAsia" w:cstheme="majorBidi"/>
      <w:color w:val="272727" w:themeColor="text1" w:themeTint="D8"/>
    </w:rPr>
  </w:style>
  <w:style w:type="paragraph" w:styleId="Title">
    <w:name w:val="Title"/>
    <w:basedOn w:val="Normal"/>
    <w:next w:val="Normal"/>
    <w:link w:val="TitleChar"/>
    <w:uiPriority w:val="10"/>
    <w:qFormat/>
    <w:rsid w:val="003436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6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6C2"/>
    <w:pPr>
      <w:spacing w:before="160"/>
      <w:jc w:val="center"/>
    </w:pPr>
    <w:rPr>
      <w:i/>
      <w:iCs/>
      <w:color w:val="404040" w:themeColor="text1" w:themeTint="BF"/>
    </w:rPr>
  </w:style>
  <w:style w:type="character" w:customStyle="1" w:styleId="QuoteChar">
    <w:name w:val="Quote Char"/>
    <w:basedOn w:val="DefaultParagraphFont"/>
    <w:link w:val="Quote"/>
    <w:uiPriority w:val="29"/>
    <w:rsid w:val="003436C2"/>
    <w:rPr>
      <w:i/>
      <w:iCs/>
      <w:color w:val="404040" w:themeColor="text1" w:themeTint="BF"/>
    </w:rPr>
  </w:style>
  <w:style w:type="paragraph" w:styleId="ListParagraph">
    <w:name w:val="List Paragraph"/>
    <w:basedOn w:val="Normal"/>
    <w:uiPriority w:val="34"/>
    <w:qFormat/>
    <w:rsid w:val="003436C2"/>
    <w:pPr>
      <w:ind w:left="720"/>
      <w:contextualSpacing/>
    </w:pPr>
  </w:style>
  <w:style w:type="character" w:styleId="IntenseEmphasis">
    <w:name w:val="Intense Emphasis"/>
    <w:basedOn w:val="DefaultParagraphFont"/>
    <w:uiPriority w:val="21"/>
    <w:qFormat/>
    <w:rsid w:val="003436C2"/>
    <w:rPr>
      <w:i/>
      <w:iCs/>
      <w:color w:val="0F4761" w:themeColor="accent1" w:themeShade="BF"/>
    </w:rPr>
  </w:style>
  <w:style w:type="paragraph" w:styleId="IntenseQuote">
    <w:name w:val="Intense Quote"/>
    <w:basedOn w:val="Normal"/>
    <w:next w:val="Normal"/>
    <w:link w:val="IntenseQuoteChar"/>
    <w:uiPriority w:val="30"/>
    <w:qFormat/>
    <w:rsid w:val="003436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6C2"/>
    <w:rPr>
      <w:i/>
      <w:iCs/>
      <w:color w:val="0F4761" w:themeColor="accent1" w:themeShade="BF"/>
    </w:rPr>
  </w:style>
  <w:style w:type="character" w:styleId="IntenseReference">
    <w:name w:val="Intense Reference"/>
    <w:basedOn w:val="DefaultParagraphFont"/>
    <w:uiPriority w:val="32"/>
    <w:qFormat/>
    <w:rsid w:val="003436C2"/>
    <w:rPr>
      <w:b/>
      <w:bCs/>
      <w:smallCaps/>
      <w:color w:val="0F4761" w:themeColor="accent1" w:themeShade="BF"/>
      <w:spacing w:val="5"/>
    </w:rPr>
  </w:style>
  <w:style w:type="character" w:styleId="Hyperlink">
    <w:name w:val="Hyperlink"/>
    <w:basedOn w:val="DefaultParagraphFont"/>
    <w:uiPriority w:val="99"/>
    <w:unhideWhenUsed/>
    <w:rsid w:val="003436C2"/>
    <w:rPr>
      <w:color w:val="467886" w:themeColor="hyperlink"/>
      <w:u w:val="single"/>
    </w:rPr>
  </w:style>
  <w:style w:type="character" w:styleId="UnresolvedMention">
    <w:name w:val="Unresolved Mention"/>
    <w:basedOn w:val="DefaultParagraphFont"/>
    <w:uiPriority w:val="99"/>
    <w:semiHidden/>
    <w:unhideWhenUsed/>
    <w:rsid w:val="00343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vscode-resource.vscode-cdn.net/c%3A/Users/valco/OneDrive/Documents/GitHub/apvv2026-hymnals/Drafts/Theologos_Draft_v0.1_Full.md" TargetMode="External"/><Relationship Id="rId21" Type="http://schemas.openxmlformats.org/officeDocument/2006/relationships/hyperlink" Target="https://file+.vscode-resource.vscode-cdn.net/c%3A/Users/valco/OneDrive/Documents/GitHub/apvv2026-hymnals/Drafts/Theologos_Draft_v0.1_Full.md" TargetMode="External"/><Relationship Id="rId42" Type="http://schemas.openxmlformats.org/officeDocument/2006/relationships/hyperlink" Target="https://file+.vscode-resource.vscode-cdn.net/c%3A/Users/valco/OneDrive/Documents/GitHub/apvv2026-hymnals/Drafts/Theologos_Draft_v0.1_Full.md" TargetMode="External"/><Relationship Id="rId47" Type="http://schemas.openxmlformats.org/officeDocument/2006/relationships/hyperlink" Target="https://file+.vscode-resource.vscode-cdn.net/c%3A/Users/valco/OneDrive/Documents/GitHub/apvv2026-hymnals/Drafts/Theologos_Draft_v0.1_Full.md" TargetMode="External"/><Relationship Id="rId63" Type="http://schemas.openxmlformats.org/officeDocument/2006/relationships/hyperlink" Target="https://file+.vscode-resource.vscode-cdn.net/c%3A/Users/valco/OneDrive/Documents/GitHub/apvv2026-hymnals/Drafts/Theologos_Draft_v0.1_Full.md" TargetMode="External"/><Relationship Id="rId68" Type="http://schemas.openxmlformats.org/officeDocument/2006/relationships/hyperlink" Target="https://file+.vscode-resource.vscode-cdn.net/c%3A/Users/valco/OneDrive/Documents/GitHub/apvv2026-hymnals/Drafts/Theologos_Draft_v0.1_Full.md" TargetMode="External"/><Relationship Id="rId16" Type="http://schemas.openxmlformats.org/officeDocument/2006/relationships/hyperlink" Target="https://file+.vscode-resource.vscode-cdn.net/c%3A/Users/valco/OneDrive/Documents/GitHub/apvv2026-hymnals/Drafts/Theologos_Draft_v0.1_Full.md" TargetMode="External"/><Relationship Id="rId11" Type="http://schemas.openxmlformats.org/officeDocument/2006/relationships/hyperlink" Target="https://file+.vscode-resource.vscode-cdn.net/c%3A/Users/valco/OneDrive/Documents/GitHub/apvv2026-hymnals/Drafts/Theologos_Draft_v0.1_Full.md" TargetMode="External"/><Relationship Id="rId24" Type="http://schemas.openxmlformats.org/officeDocument/2006/relationships/hyperlink" Target="https://file+.vscode-resource.vscode-cdn.net/c%3A/Users/valco/OneDrive/Documents/GitHub/apvv2026-hymnals/Drafts/Theologos_Draft_v0.1_Full.md" TargetMode="External"/><Relationship Id="rId32" Type="http://schemas.openxmlformats.org/officeDocument/2006/relationships/hyperlink" Target="https://file+.vscode-resource.vscode-cdn.net/c%3A/Users/valco/OneDrive/Documents/GitHub/apvv2026-hymnals/Drafts/Theologos_Draft_v0.1_Full.md" TargetMode="External"/><Relationship Id="rId37" Type="http://schemas.openxmlformats.org/officeDocument/2006/relationships/hyperlink" Target="https://file+.vscode-resource.vscode-cdn.net/c%3A/Users/valco/OneDrive/Documents/GitHub/apvv2026-hymnals/Drafts/Theologos_Draft_v0.1_Full.md" TargetMode="External"/><Relationship Id="rId40" Type="http://schemas.openxmlformats.org/officeDocument/2006/relationships/hyperlink" Target="https://file+.vscode-resource.vscode-cdn.net/c%3A/Users/valco/OneDrive/Documents/GitHub/apvv2026-hymnals/Drafts/Theologos_Draft_v0.1_Full.md" TargetMode="External"/><Relationship Id="rId45" Type="http://schemas.openxmlformats.org/officeDocument/2006/relationships/hyperlink" Target="https://file+.vscode-resource.vscode-cdn.net/c%3A/Users/valco/OneDrive/Documents/GitHub/apvv2026-hymnals/Drafts/Theologos_Draft_v0.1_Full.md" TargetMode="External"/><Relationship Id="rId53" Type="http://schemas.openxmlformats.org/officeDocument/2006/relationships/hyperlink" Target="https://file+.vscode-resource.vscode-cdn.net/c%3A/Users/valco/OneDrive/Documents/GitHub/apvv2026-hymnals/Drafts/Theologos_Draft_v0.1_Full.md" TargetMode="External"/><Relationship Id="rId58" Type="http://schemas.openxmlformats.org/officeDocument/2006/relationships/hyperlink" Target="https://file+.vscode-resource.vscode-cdn.net/c%3A/Users/valco/OneDrive/Documents/GitHub/apvv2026-hymnals/Drafts/Theologos_Draft_v0.1_Full.md" TargetMode="External"/><Relationship Id="rId66" Type="http://schemas.openxmlformats.org/officeDocument/2006/relationships/hyperlink" Target="https://file+.vscode-resource.vscode-cdn.net/c%3A/Users/valco/OneDrive/Documents/GitHub/apvv2026-hymnals/Drafts/Theologos_Draft_v0.1_Full.md" TargetMode="External"/><Relationship Id="rId74" Type="http://schemas.openxmlformats.org/officeDocument/2006/relationships/hyperlink" Target="https://file+.vscode-resource.vscode-cdn.net/c%3A/Users/valco/OneDrive/Documents/GitHub/apvv2026-hymnals/Drafts/Theologos_Draft_v0.1_Full.md" TargetMode="External"/><Relationship Id="rId5" Type="http://schemas.openxmlformats.org/officeDocument/2006/relationships/hyperlink" Target="https://file+.vscode-resource.vscode-cdn.net/c%3A/Users/valco/OneDrive/Documents/GitHub/apvv2026-hymnals/Drafts/Theologos_Draft_v0.1_Full.md" TargetMode="External"/><Relationship Id="rId61" Type="http://schemas.openxmlformats.org/officeDocument/2006/relationships/hyperlink" Target="https://file+.vscode-resource.vscode-cdn.net/c%3A/Users/valco/OneDrive/Documents/GitHub/apvv2026-hymnals/Drafts/Theologos_Draft_v0.1_Full.md" TargetMode="External"/><Relationship Id="rId19" Type="http://schemas.openxmlformats.org/officeDocument/2006/relationships/hyperlink" Target="https://file+.vscode-resource.vscode-cdn.net/c%3A/Users/valco/OneDrive/Documents/GitHub/apvv2026-hymnals/Drafts/Theologos_Draft_v0.1_Full.md" TargetMode="External"/><Relationship Id="rId14" Type="http://schemas.openxmlformats.org/officeDocument/2006/relationships/hyperlink" Target="https://file+.vscode-resource.vscode-cdn.net/c%3A/Users/valco/OneDrive/Documents/GitHub/apvv2026-hymnals/Drafts/Theologos_Draft_v0.1_Full.md" TargetMode="External"/><Relationship Id="rId22" Type="http://schemas.openxmlformats.org/officeDocument/2006/relationships/hyperlink" Target="https://file+.vscode-resource.vscode-cdn.net/c%3A/Users/valco/OneDrive/Documents/GitHub/apvv2026-hymnals/Drafts/Theologos_Draft_v0.1_Full.md" TargetMode="External"/><Relationship Id="rId27" Type="http://schemas.openxmlformats.org/officeDocument/2006/relationships/hyperlink" Target="https://file+.vscode-resource.vscode-cdn.net/c%3A/Users/valco/OneDrive/Documents/GitHub/apvv2026-hymnals/Drafts/Theologos_Draft_v0.1_Full.md" TargetMode="External"/><Relationship Id="rId30" Type="http://schemas.openxmlformats.org/officeDocument/2006/relationships/hyperlink" Target="https://file+.vscode-resource.vscode-cdn.net/c%3A/Users/valco/OneDrive/Documents/GitHub/apvv2026-hymnals/Drafts/Theologos_Draft_v0.1_Full.md" TargetMode="External"/><Relationship Id="rId35" Type="http://schemas.openxmlformats.org/officeDocument/2006/relationships/hyperlink" Target="https://file+.vscode-resource.vscode-cdn.net/c%3A/Users/valco/OneDrive/Documents/GitHub/apvv2026-hymnals/Drafts/Theologos_Draft_v0.1_Full.md" TargetMode="External"/><Relationship Id="rId43" Type="http://schemas.openxmlformats.org/officeDocument/2006/relationships/hyperlink" Target="https://file+.vscode-resource.vscode-cdn.net/c%3A/Users/valco/OneDrive/Documents/GitHub/apvv2026-hymnals/Drafts/Theologos_Draft_v0.1_Full.md" TargetMode="External"/><Relationship Id="rId48" Type="http://schemas.openxmlformats.org/officeDocument/2006/relationships/hyperlink" Target="https://file+.vscode-resource.vscode-cdn.net/c%3A/Users/valco/OneDrive/Documents/GitHub/apvv2026-hymnals/Drafts/Theologos_Draft_v0.1_Full.md" TargetMode="External"/><Relationship Id="rId56" Type="http://schemas.openxmlformats.org/officeDocument/2006/relationships/hyperlink" Target="https://file+.vscode-resource.vscode-cdn.net/c%3A/Users/valco/OneDrive/Documents/GitHub/apvv2026-hymnals/Drafts/Theologos_Draft_v0.1_Full.md" TargetMode="External"/><Relationship Id="rId64" Type="http://schemas.openxmlformats.org/officeDocument/2006/relationships/hyperlink" Target="https://file+.vscode-resource.vscode-cdn.net/c%3A/Users/valco/OneDrive/Documents/GitHub/apvv2026-hymnals/Drafts/Theologos_Draft_v0.1_Full.md" TargetMode="External"/><Relationship Id="rId69" Type="http://schemas.openxmlformats.org/officeDocument/2006/relationships/hyperlink" Target="https://file+.vscode-resource.vscode-cdn.net/c%3A/Users/valco/OneDrive/Documents/GitHub/apvv2026-hymnals/Drafts/Theologos_Draft_v0.1_Full.md" TargetMode="External"/><Relationship Id="rId77" Type="http://schemas.openxmlformats.org/officeDocument/2006/relationships/fontTable" Target="fontTable.xml"/><Relationship Id="rId8" Type="http://schemas.openxmlformats.org/officeDocument/2006/relationships/hyperlink" Target="https://file+.vscode-resource.vscode-cdn.net/c%3A/Users/valco/OneDrive/Documents/GitHub/apvv2026-hymnals/Drafts/Theologos_Draft_v0.1_Full.md" TargetMode="External"/><Relationship Id="rId51" Type="http://schemas.openxmlformats.org/officeDocument/2006/relationships/hyperlink" Target="https://file+.vscode-resource.vscode-cdn.net/c%3A/Users/valco/OneDrive/Documents/GitHub/apvv2026-hymnals/Drafts/Theologos_Draft_v0.1_Full.md" TargetMode="External"/><Relationship Id="rId72" Type="http://schemas.openxmlformats.org/officeDocument/2006/relationships/hyperlink" Target="https://file+.vscode-resource.vscode-cdn.net/c%3A/Users/valco/OneDrive/Documents/GitHub/apvv2026-hymnals/Drafts/Theologos_Draft_v0.1_Full.md" TargetMode="External"/><Relationship Id="rId3" Type="http://schemas.openxmlformats.org/officeDocument/2006/relationships/settings" Target="settings.xml"/><Relationship Id="rId12" Type="http://schemas.openxmlformats.org/officeDocument/2006/relationships/hyperlink" Target="https://file+.vscode-resource.vscode-cdn.net/c%3A/Users/valco/OneDrive/Documents/GitHub/apvv2026-hymnals/Drafts/Theologos_Draft_v0.1_Full.md" TargetMode="External"/><Relationship Id="rId17" Type="http://schemas.openxmlformats.org/officeDocument/2006/relationships/hyperlink" Target="https://file+.vscode-resource.vscode-cdn.net/c%3A/Users/valco/OneDrive/Documents/GitHub/apvv2026-hymnals/Drafts/Theologos_Draft_v0.1_Full.md" TargetMode="External"/><Relationship Id="rId25" Type="http://schemas.openxmlformats.org/officeDocument/2006/relationships/hyperlink" Target="https://file+.vscode-resource.vscode-cdn.net/c%3A/Users/valco/OneDrive/Documents/GitHub/apvv2026-hymnals/Drafts/Theologos_Draft_v0.1_Full.md" TargetMode="External"/><Relationship Id="rId33" Type="http://schemas.openxmlformats.org/officeDocument/2006/relationships/hyperlink" Target="https://file+.vscode-resource.vscode-cdn.net/c%3A/Users/valco/OneDrive/Documents/GitHub/apvv2026-hymnals/Drafts/Theologos_Draft_v0.1_Full.md" TargetMode="External"/><Relationship Id="rId38" Type="http://schemas.openxmlformats.org/officeDocument/2006/relationships/hyperlink" Target="https://file+.vscode-resource.vscode-cdn.net/c%3A/Users/valco/OneDrive/Documents/GitHub/apvv2026-hymnals/Drafts/Theologos_Draft_v0.1_Full.md" TargetMode="External"/><Relationship Id="rId46" Type="http://schemas.openxmlformats.org/officeDocument/2006/relationships/hyperlink" Target="https://file+.vscode-resource.vscode-cdn.net/c%3A/Users/valco/OneDrive/Documents/GitHub/apvv2026-hymnals/Drafts/Theologos_Draft_v0.1_Full.md" TargetMode="External"/><Relationship Id="rId59" Type="http://schemas.openxmlformats.org/officeDocument/2006/relationships/hyperlink" Target="https://file+.vscode-resource.vscode-cdn.net/c%3A/Users/valco/OneDrive/Documents/GitHub/apvv2026-hymnals/Drafts/Theologos_Draft_v0.1_Full.md" TargetMode="External"/><Relationship Id="rId67" Type="http://schemas.openxmlformats.org/officeDocument/2006/relationships/hyperlink" Target="https://file+.vscode-resource.vscode-cdn.net/c%3A/Users/valco/OneDrive/Documents/GitHub/apvv2026-hymnals/Drafts/Theologos_Draft_v0.1_Full.md" TargetMode="External"/><Relationship Id="rId20" Type="http://schemas.openxmlformats.org/officeDocument/2006/relationships/hyperlink" Target="https://file+.vscode-resource.vscode-cdn.net/c%3A/Users/valco/OneDrive/Documents/GitHub/apvv2026-hymnals/Drafts/Theologos_Draft_v0.1_Full.md" TargetMode="External"/><Relationship Id="rId41" Type="http://schemas.openxmlformats.org/officeDocument/2006/relationships/hyperlink" Target="https://file+.vscode-resource.vscode-cdn.net/c%3A/Users/valco/OneDrive/Documents/GitHub/apvv2026-hymnals/Drafts/Theologos_Draft_v0.1_Full.md" TargetMode="External"/><Relationship Id="rId54" Type="http://schemas.openxmlformats.org/officeDocument/2006/relationships/hyperlink" Target="https://file+.vscode-resource.vscode-cdn.net/c%3A/Users/valco/OneDrive/Documents/GitHub/apvv2026-hymnals/Drafts/Theologos_Draft_v0.1_Full.md" TargetMode="External"/><Relationship Id="rId62" Type="http://schemas.openxmlformats.org/officeDocument/2006/relationships/hyperlink" Target="https://file+.vscode-resource.vscode-cdn.net/c%3A/Users/valco/OneDrive/Documents/GitHub/apvv2026-hymnals/Drafts/Theologos_Draft_v0.1_Full.md" TargetMode="External"/><Relationship Id="rId70" Type="http://schemas.openxmlformats.org/officeDocument/2006/relationships/hyperlink" Target="https://file+.vscode-resource.vscode-cdn.net/c%3A/Users/valco/OneDrive/Documents/GitHub/apvv2026-hymnals/Drafts/Theologos_Draft_v0.1_Full.md" TargetMode="External"/><Relationship Id="rId75" Type="http://schemas.openxmlformats.org/officeDocument/2006/relationships/hyperlink" Target="https://file+.vscode-resource.vscode-cdn.net/c%3A/Users/valco/OneDrive/Documents/GitHub/apvv2026-hymnals/Drafts/Theologos_Draft_v0.1_Full.md" TargetMode="External"/><Relationship Id="rId1" Type="http://schemas.openxmlformats.org/officeDocument/2006/relationships/numbering" Target="numbering.xml"/><Relationship Id="rId6" Type="http://schemas.openxmlformats.org/officeDocument/2006/relationships/hyperlink" Target="https://file+.vscode-resource.vscode-cdn.net/c%3A/Users/valco/OneDrive/Documents/GitHub/apvv2026-hymnals/Drafts/Theologos_Draft_v0.1_Full.md" TargetMode="External"/><Relationship Id="rId15" Type="http://schemas.openxmlformats.org/officeDocument/2006/relationships/hyperlink" Target="https://file+.vscode-resource.vscode-cdn.net/c%3A/Users/valco/OneDrive/Documents/GitHub/apvv2026-hymnals/Drafts/Theologos_Draft_v0.1_Full.md" TargetMode="External"/><Relationship Id="rId23" Type="http://schemas.openxmlformats.org/officeDocument/2006/relationships/hyperlink" Target="https://file+.vscode-resource.vscode-cdn.net/c%3A/Users/valco/OneDrive/Documents/GitHub/apvv2026-hymnals/Drafts/Theologos_Draft_v0.1_Full.md" TargetMode="External"/><Relationship Id="rId28" Type="http://schemas.openxmlformats.org/officeDocument/2006/relationships/hyperlink" Target="https://file+.vscode-resource.vscode-cdn.net/c%3A/Users/valco/OneDrive/Documents/GitHub/apvv2026-hymnals/Drafts/Theologos_Draft_v0.1_Full.md" TargetMode="External"/><Relationship Id="rId36" Type="http://schemas.openxmlformats.org/officeDocument/2006/relationships/hyperlink" Target="https://file+.vscode-resource.vscode-cdn.net/c%3A/Users/valco/OneDrive/Documents/GitHub/apvv2026-hymnals/Drafts/Theologos_Draft_v0.1_Full.md" TargetMode="External"/><Relationship Id="rId49" Type="http://schemas.openxmlformats.org/officeDocument/2006/relationships/hyperlink" Target="https://file+.vscode-resource.vscode-cdn.net/c%3A/Users/valco/OneDrive/Documents/GitHub/apvv2026-hymnals/Drafts/Theologos_Draft_v0.1_Full.md" TargetMode="External"/><Relationship Id="rId57" Type="http://schemas.openxmlformats.org/officeDocument/2006/relationships/hyperlink" Target="https://file+.vscode-resource.vscode-cdn.net/c%3A/Users/valco/OneDrive/Documents/GitHub/apvv2026-hymnals/Drafts/Theologos_Draft_v0.1_Full.md" TargetMode="External"/><Relationship Id="rId10" Type="http://schemas.openxmlformats.org/officeDocument/2006/relationships/hyperlink" Target="https://file+.vscode-resource.vscode-cdn.net/c%3A/Users/valco/OneDrive/Documents/GitHub/apvv2026-hymnals/Drafts/Theologos_Draft_v0.1_Full.md" TargetMode="External"/><Relationship Id="rId31" Type="http://schemas.openxmlformats.org/officeDocument/2006/relationships/hyperlink" Target="https://file+.vscode-resource.vscode-cdn.net/c%3A/Users/valco/OneDrive/Documents/GitHub/apvv2026-hymnals/Drafts/Theologos_Draft_v0.1_Full.md" TargetMode="External"/><Relationship Id="rId44" Type="http://schemas.openxmlformats.org/officeDocument/2006/relationships/hyperlink" Target="https://file+.vscode-resource.vscode-cdn.net/c%3A/Users/valco/OneDrive/Documents/GitHub/apvv2026-hymnals/Drafts/Theologos_Draft_v0.1_Full.md" TargetMode="External"/><Relationship Id="rId52" Type="http://schemas.openxmlformats.org/officeDocument/2006/relationships/hyperlink" Target="https://file+.vscode-resource.vscode-cdn.net/c%3A/Users/valco/OneDrive/Documents/GitHub/apvv2026-hymnals/Drafts/Theologos_Draft_v0.1_Full.md" TargetMode="External"/><Relationship Id="rId60" Type="http://schemas.openxmlformats.org/officeDocument/2006/relationships/hyperlink" Target="https://file+.vscode-resource.vscode-cdn.net/c%3A/Users/valco/OneDrive/Documents/GitHub/apvv2026-hymnals/Drafts/Theologos_Draft_v0.1_Full.md" TargetMode="External"/><Relationship Id="rId65" Type="http://schemas.openxmlformats.org/officeDocument/2006/relationships/hyperlink" Target="https://file+.vscode-resource.vscode-cdn.net/c%3A/Users/valco/OneDrive/Documents/GitHub/apvv2026-hymnals/Drafts/Theologos_Draft_v0.1_Full.md" TargetMode="External"/><Relationship Id="rId73" Type="http://schemas.openxmlformats.org/officeDocument/2006/relationships/hyperlink" Target="https://file+.vscode-resource.vscode-cdn.net/c%3A/Users/valco/OneDrive/Documents/GitHub/apvv2026-hymnals/Drafts/Theologos_Draft_v0.1_Full.md"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file+.vscode-resource.vscode-cdn.net/c%3A/Users/valco/OneDrive/Documents/GitHub/apvv2026-hymnals/Drafts/Theologos_Draft_v0.1_Full.md" TargetMode="External"/><Relationship Id="rId13" Type="http://schemas.openxmlformats.org/officeDocument/2006/relationships/hyperlink" Target="https://file+.vscode-resource.vscode-cdn.net/c%3A/Users/valco/OneDrive/Documents/GitHub/apvv2026-hymnals/Drafts/Theologos_Draft_v0.1_Full.md" TargetMode="External"/><Relationship Id="rId18" Type="http://schemas.openxmlformats.org/officeDocument/2006/relationships/hyperlink" Target="https://file+.vscode-resource.vscode-cdn.net/c%3A/Users/valco/OneDrive/Documents/GitHub/apvv2026-hymnals/Drafts/Theologos_Draft_v0.1_Full.md" TargetMode="External"/><Relationship Id="rId39" Type="http://schemas.openxmlformats.org/officeDocument/2006/relationships/hyperlink" Target="https://file+.vscode-resource.vscode-cdn.net/c%3A/Users/valco/OneDrive/Documents/GitHub/apvv2026-hymnals/Drafts/Theologos_Draft_v0.1_Full.md" TargetMode="External"/><Relationship Id="rId34" Type="http://schemas.openxmlformats.org/officeDocument/2006/relationships/hyperlink" Target="https://file+.vscode-resource.vscode-cdn.net/c%3A/Users/valco/OneDrive/Documents/GitHub/apvv2026-hymnals/Drafts/Theologos_Draft_v0.1_Full.md" TargetMode="External"/><Relationship Id="rId50" Type="http://schemas.openxmlformats.org/officeDocument/2006/relationships/hyperlink" Target="https://file+.vscode-resource.vscode-cdn.net/c%3A/Users/valco/OneDrive/Documents/GitHub/apvv2026-hymnals/Drafts/Theologos_Draft_v0.1_Full.md" TargetMode="External"/><Relationship Id="rId55" Type="http://schemas.openxmlformats.org/officeDocument/2006/relationships/hyperlink" Target="https://file+.vscode-resource.vscode-cdn.net/c%3A/Users/valco/OneDrive/Documents/GitHub/apvv2026-hymnals/Drafts/Theologos_Draft_v0.1_Full.md" TargetMode="External"/><Relationship Id="rId76" Type="http://schemas.openxmlformats.org/officeDocument/2006/relationships/hyperlink" Target="https://file+.vscode-resource.vscode-cdn.net/c%3A/Users/valco/OneDrive/Documents/GitHub/apvv2026-hymnals/Drafts/Theologos_Draft_v0.1_Full.md" TargetMode="External"/><Relationship Id="rId7" Type="http://schemas.openxmlformats.org/officeDocument/2006/relationships/hyperlink" Target="https://file+.vscode-resource.vscode-cdn.net/c%3A/Users/valco/OneDrive/Documents/GitHub/apvv2026-hymnals/Drafts/Theologos_Draft_v0.1_Full.md" TargetMode="External"/><Relationship Id="rId71" Type="http://schemas.openxmlformats.org/officeDocument/2006/relationships/hyperlink" Target="https://file+.vscode-resource.vscode-cdn.net/c%3A/Users/valco/OneDrive/Documents/GitHub/apvv2026-hymnals/Drafts/Theologos_Draft_v0.1_Full.md" TargetMode="External"/><Relationship Id="rId2" Type="http://schemas.openxmlformats.org/officeDocument/2006/relationships/styles" Target="styles.xml"/><Relationship Id="rId29" Type="http://schemas.openxmlformats.org/officeDocument/2006/relationships/hyperlink" Target="https://file+.vscode-resource.vscode-cdn.net/c%3A/Users/valco/OneDrive/Documents/GitHub/apvv2026-hymnals/Drafts/Theologos_Draft_v0.1_Fu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550</TotalTime>
  <Pages>19</Pages>
  <Words>11290</Words>
  <Characters>64355</Characters>
  <Application>Microsoft Office Word</Application>
  <DocSecurity>0</DocSecurity>
  <Lines>536</Lines>
  <Paragraphs>150</Paragraphs>
  <ScaleCrop>false</ScaleCrop>
  <Company/>
  <LinksUpToDate>false</LinksUpToDate>
  <CharactersWithSpaces>75495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Valco</dc:creator>
  <cp:keywords/>
  <dc:description/>
  <cp:lastModifiedBy>Michal Valco</cp:lastModifiedBy>
  <cp:revision>4</cp:revision>
  <dcterms:created xsi:type="dcterms:W3CDTF">2026-05-09T07:21:00Z</dcterms:created>
  <dcterms:modified xsi:type="dcterms:W3CDTF">2026-05-09T19:06:00Z</dcterms:modified>
</cp:coreProperties>
</file>